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vzero-executive-summary"/>
    <w:p>
      <w:pPr>
        <w:pStyle w:val="Heading1"/>
      </w:pPr>
      <w:r>
        <w:t xml:space="preserve">vZero: Executive Summary</w:t>
      </w:r>
    </w:p>
    <w:p>
      <w:pPr>
        <w:pStyle w:val="FirstParagraph"/>
      </w:pPr>
      <w:r>
        <w:rPr>
          <w:b/>
          <w:bCs/>
        </w:rPr>
        <w:t xml:space="preserve">Classification:</w:t>
      </w:r>
      <w:r>
        <w:t xml:space="preserve"> </w:t>
      </w:r>
      <w:r>
        <w:t xml:space="preserve">Confidential</w:t>
      </w:r>
      <w:r>
        <w:t xml:space="preserve"> </w:t>
      </w:r>
      <w:r>
        <w:rPr>
          <w:b/>
          <w:bCs/>
        </w:rPr>
        <w:t xml:space="preserve">Date:</w:t>
      </w:r>
      <w:r>
        <w:t xml:space="preserve"> </w:t>
      </w:r>
      <w:r>
        <w:t xml:space="preserve">February 2026</w:t>
      </w:r>
    </w:p>
    <w:p>
      <w:r>
        <w:pict>
          <v:rect style="width:0;height:1.5pt" o:hralign="center" o:hrstd="t" o:hr="t"/>
        </w:pict>
      </w:r>
    </w:p>
    <w:bookmarkStart w:id="9" w:name="the-proposition"/>
    <w:p>
      <w:pPr>
        <w:pStyle w:val="Heading2"/>
      </w:pPr>
      <w:r>
        <w:t xml:space="preserve">The Proposition</w:t>
      </w:r>
    </w:p>
    <w:p>
      <w:pPr>
        <w:pStyle w:val="FirstParagraph"/>
      </w:pPr>
      <w:r>
        <w:t xml:space="preserve">vZero is a vertically integrated platform for volumetric presence — purpose-built venues where audiences of 12 experience lifelike performances of A-list artists through untethered VR headsets, physically grounded by Wave Field Synthesis audio and haptic infrastructure. The same content scales to millions of homes through a hardware-included subscription.</w:t>
      </w:r>
    </w:p>
    <w:p>
      <w:pPr>
        <w:pStyle w:val="BodyText"/>
      </w:pPr>
      <w:r>
        <w:t xml:space="preserve">No one has built this. The Sphere ($2.3B, ~$900M/year revenue) proved audiences will pay $150+ for technology-driven spectacle — but it is a LED screen. ABBA Voyage (£141M investment, £104M/year, 1M tickets/year) proved virtual residency works — but it uses motion-captured avatars. Neither is volumetric. Neither achieves spatial presence. vZero does.</w:t>
      </w:r>
    </w:p>
    <w:bookmarkEnd w:id="9"/>
    <w:bookmarkStart w:id="10" w:name="why-now"/>
    <w:p>
      <w:pPr>
        <w:pStyle w:val="Heading2"/>
      </w:pPr>
      <w:r>
        <w:t xml:space="preserve">Why Now</w:t>
      </w:r>
    </w:p>
    <w:p>
      <w:pPr>
        <w:pStyle w:val="FirstParagraph"/>
      </w:pPr>
      <w:r>
        <w:t xml:space="preserve">Three things converge in 2026 that did not exist 18 months ago:</w:t>
      </w:r>
    </w:p>
    <w:p>
      <w:pPr>
        <w:numPr>
          <w:ilvl w:val="0"/>
          <w:numId w:val="1001"/>
        </w:numPr>
      </w:pPr>
      <w:r>
        <w:rPr>
          <w:b/>
          <w:bCs/>
        </w:rPr>
        <w:t xml:space="preserve">The Steam Frame</w:t>
      </w:r>
      <w:r>
        <w:t xml:space="preserve"> </w:t>
      </w:r>
      <w:r>
        <w:t xml:space="preserve">ships Q2 2026 — the first VR headset built for wireless server-side rendering. Its architecture (Wi-Fi 7, 2160×2160/eye, 144Hz, eye tracking) is exactly what vZero needs. No other headset can do this.</w:t>
      </w:r>
    </w:p>
    <w:p>
      <w:pPr>
        <w:numPr>
          <w:ilvl w:val="0"/>
          <w:numId w:val="1001"/>
        </w:numPr>
      </w:pPr>
      <w:r>
        <w:rPr>
          <w:b/>
          <w:bCs/>
        </w:rPr>
        <w:t xml:space="preserve">4D Gaussian Splatting</w:t>
      </w:r>
      <w:r>
        <w:t xml:space="preserve"> </w:t>
      </w:r>
      <w:r>
        <w:t xml:space="preserve">is production-ready. Current state of the art (UBS-7D) achieves 32+ dB PSNR — visually indistinguishable from source video. Rendering performance exceeds 1000 FPS per GPU. NVIDIA Rubin (shipping mid-2026) provides 288GB HBM4 per GPU to hold entire shows in memory.</w:t>
      </w:r>
    </w:p>
    <w:p>
      <w:pPr>
        <w:numPr>
          <w:ilvl w:val="0"/>
          <w:numId w:val="1001"/>
        </w:numPr>
      </w:pPr>
      <w:r>
        <w:rPr>
          <w:b/>
          <w:bCs/>
        </w:rPr>
        <w:t xml:space="preserve">The Steam Frame has no killer app.</w:t>
      </w:r>
      <w:r>
        <w:t xml:space="preserve"> </w:t>
      </w:r>
      <w:r>
        <w:t xml:space="preserve">The highest-profile VR content is Beat Saber (2018) and Half-Life: Alyx (2020). There is no content that demonstrates why server-side rendering matters. vZero is that content.</w:t>
      </w:r>
    </w:p>
    <w:p>
      <w:pPr>
        <w:pStyle w:val="FirstParagraph"/>
      </w:pPr>
      <w:r>
        <w:t xml:space="preserve">We have secured a partnership with a Tier-1 global artist.</w:t>
      </w:r>
    </w:p>
    <w:bookmarkEnd w:id="10"/>
    <w:bookmarkStart w:id="11" w:name="how-it-works"/>
    <w:p>
      <w:pPr>
        <w:pStyle w:val="Heading2"/>
      </w:pPr>
      <w:r>
        <w:t xml:space="preserve">How It Works</w:t>
      </w:r>
    </w:p>
    <w:p>
      <w:pPr>
        <w:pStyle w:val="FirstParagraph"/>
      </w:pPr>
      <w:r>
        <w:rPr>
          <w:b/>
          <w:bCs/>
        </w:rPr>
        <w:t xml:space="preserve">Venues:</w:t>
      </w:r>
      <w:r>
        <w:t xml:space="preserve"> </w:t>
      </w:r>
      <w:r>
        <w:t xml:space="preserve">Each flagship has two performance rooms (300 m² / ~3,200 sq ft each, 12 viewers per room), a server room with 8–12 Rubin-class GPUs, a 1,200+ driver WFS speaker array per room, and a haptic transducer floor. The GPUs render the volumetric performer; the Steam Frames display it wirelessly. The WFS array makes the performer’s voice physically originate from their virtual position in the room. The floor transmits the acoustic pressure of the music. The experience is 20–30 minutes. Ticket price: $100.</w:t>
      </w:r>
    </w:p>
    <w:p>
      <w:pPr>
        <w:pStyle w:val="BodyText"/>
      </w:pPr>
      <w:r>
        <w:rPr>
          <w:b/>
          <w:bCs/>
        </w:rPr>
        <w:t xml:space="preserve">Home:</w:t>
      </w:r>
      <w:r>
        <w:t xml:space="preserve"> </w:t>
      </w:r>
      <w:r>
        <w:t xml:space="preserve">The Neural Pass subscription ($49.99/month, 24-month contract) ships subscribers a Steam Frame and haptic vest. They get unlimited access to the full vZero content library. A Digital-Only tier ($14.99/month) captures existing Steam Frame owners at pure software margin.</w:t>
      </w:r>
    </w:p>
    <w:bookmarkEnd w:id="11"/>
    <w:bookmarkStart w:id="12" w:name="the-content-strategy"/>
    <w:p>
      <w:pPr>
        <w:pStyle w:val="Heading2"/>
      </w:pPr>
      <w:r>
        <w:t xml:space="preserve">The Content Strategy</w:t>
      </w:r>
    </w:p>
    <w:p>
      <w:pPr>
        <w:pStyle w:val="FirstParagraph"/>
      </w:pPr>
      <w:r>
        <w:rPr>
          <w:b/>
          <w:bCs/>
        </w:rPr>
        <w:t xml:space="preserve">AAA Spectacles</w:t>
      </w:r>
      <w:r>
        <w:t xml:space="preserve"> </w:t>
      </w:r>
      <w:r>
        <w:t xml:space="preserve">— 2 per year, $10M each. Full interactive volumetric experiences with game mechanics and spatial audio. These are the tentpoles.</w:t>
      </w:r>
    </w:p>
    <w:p>
      <w:pPr>
        <w:pStyle w:val="BodyText"/>
      </w:pPr>
      <w:r>
        <w:rPr>
          <w:b/>
          <w:bCs/>
        </w:rPr>
        <w:t xml:space="preserve">Weekly Sessions</w:t>
      </w:r>
      <w:r>
        <w:t xml:space="preserve"> </w:t>
      </w:r>
      <w:r>
        <w:t xml:space="preserve">— ~50 per year from a permanent capture studio at Miraval. Intimate 10-minute performances. No game mechanics — pure Neural Presence. The volumetric MTV Unplugged. Keeps the library growing every week.</w:t>
      </w:r>
    </w:p>
    <w:p>
      <w:pPr>
        <w:pStyle w:val="BodyText"/>
      </w:pPr>
      <w:r>
        <w:rPr>
          <w:b/>
          <w:bCs/>
        </w:rPr>
        <w:t xml:space="preserve">Sports</w:t>
      </w:r>
      <w:r>
        <w:t xml:space="preserve"> </w:t>
      </w:r>
      <w:r>
        <w:t xml:space="preserve">— from Year 3. Starting with individual sports (tennis, boxing) where 4DGS capture is feasible, expanding to team sports as the technology scales. Sports is the mass-market unlock: 1 billion tennis fans, 2 billion+ basketball fans, 3.5 billion football fans.</w:t>
      </w:r>
    </w:p>
    <w:bookmarkEnd w:id="12"/>
    <w:bookmarkStart w:id="13" w:name="the-business"/>
    <w:p>
      <w:pPr>
        <w:pStyle w:val="Heading2"/>
      </w:pPr>
      <w:r>
        <w:t xml:space="preserve">The Business</w:t>
      </w:r>
    </w:p>
    <w:p>
      <w:pPr>
        <w:pStyle w:val="FirstParagraph"/>
      </w:pPr>
      <w:r>
        <w:rPr>
          <w:b/>
          <w:bCs/>
        </w:rPr>
        <w:t xml:space="preserve">Revenue by year (consolidated):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c>
          <w:tcPr/>
          <w:p>
            <w:pPr>
              <w:pStyle w:val="Compact"/>
            </w:pPr>
            <w:r>
              <w:t xml:space="preserve">Y6</w:t>
            </w:r>
          </w:p>
        </w:tc>
      </w:tr>
      <w:tr>
        <w:tc>
          <w:tcPr/>
          <w:p>
            <w:pPr>
              <w:pStyle w:val="Compact"/>
            </w:pPr>
            <w:r>
              <w:rPr>
                <w:b/>
                <w:bCs/>
              </w:rPr>
              <w:t xml:space="preserve">Flagships</w:t>
            </w:r>
          </w:p>
        </w:tc>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10</w:t>
            </w:r>
          </w:p>
        </w:tc>
        <w:tc>
          <w:tcPr/>
          <w:p>
            <w:pPr>
              <w:pStyle w:val="Compact"/>
            </w:pPr>
            <w:r>
              <w:t xml:space="preserve">12</w:t>
            </w:r>
          </w:p>
        </w:tc>
      </w:tr>
      <w:tr>
        <w:tc>
          <w:tcPr/>
          <w:p>
            <w:pPr>
              <w:pStyle w:val="Compact"/>
            </w:pPr>
            <w:r>
              <w:rPr>
                <w:b/>
                <w:bCs/>
              </w:rPr>
              <w:t xml:space="preserve">Subscribers</w:t>
            </w:r>
          </w:p>
        </w:tc>
        <w:tc>
          <w:tcPr/>
          <w:p>
            <w:pPr>
              <w:pStyle w:val="Compact"/>
            </w:pPr>
            <w:r>
              <w:t xml:space="preserve">—</w:t>
            </w:r>
          </w:p>
        </w:tc>
        <w:tc>
          <w:tcPr/>
          <w:p>
            <w:pPr>
              <w:pStyle w:val="Compact"/>
            </w:pPr>
            <w:r>
              <w:t xml:space="preserve">75K</w:t>
            </w:r>
          </w:p>
        </w:tc>
        <w:tc>
          <w:tcPr/>
          <w:p>
            <w:pPr>
              <w:pStyle w:val="Compact"/>
            </w:pPr>
            <w:r>
              <w:t xml:space="preserve">275K</w:t>
            </w:r>
          </w:p>
        </w:tc>
        <w:tc>
          <w:tcPr/>
          <w:p>
            <w:pPr>
              <w:pStyle w:val="Compact"/>
            </w:pPr>
            <w:r>
              <w:t xml:space="preserve">900K</w:t>
            </w:r>
          </w:p>
        </w:tc>
        <w:tc>
          <w:tcPr/>
          <w:p>
            <w:pPr>
              <w:pStyle w:val="Compact"/>
            </w:pPr>
            <w:r>
              <w:t xml:space="preserve">2.1M</w:t>
            </w:r>
          </w:p>
        </w:tc>
        <w:tc>
          <w:tcPr/>
          <w:p>
            <w:pPr>
              <w:pStyle w:val="Compact"/>
            </w:pPr>
            <w:r>
              <w:t xml:space="preserve">4.0M</w:t>
            </w:r>
          </w:p>
        </w:tc>
      </w:tr>
      <w:tr>
        <w:tc>
          <w:tcPr/>
          <w:p>
            <w:pPr>
              <w:pStyle w:val="Compact"/>
            </w:pPr>
            <w:r>
              <w:rPr>
                <w:b/>
                <w:bCs/>
              </w:rPr>
              <w:t xml:space="preserve">Revenue</w:t>
            </w:r>
          </w:p>
        </w:tc>
        <w:tc>
          <w:tcPr/>
          <w:p>
            <w:pPr>
              <w:pStyle w:val="Compact"/>
            </w:pPr>
            <w:r>
              <w:t xml:space="preserve">$13M</w:t>
            </w:r>
          </w:p>
        </w:tc>
        <w:tc>
          <w:tcPr/>
          <w:p>
            <w:pPr>
              <w:pStyle w:val="Compact"/>
            </w:pPr>
            <w:r>
              <w:t xml:space="preserve">$69M</w:t>
            </w:r>
          </w:p>
        </w:tc>
        <w:tc>
          <w:tcPr/>
          <w:p>
            <w:pPr>
              <w:pStyle w:val="Compact"/>
            </w:pPr>
            <w:r>
              <w:t xml:space="preserve">$204M</w:t>
            </w:r>
          </w:p>
        </w:tc>
        <w:tc>
          <w:tcPr/>
          <w:p>
            <w:pPr>
              <w:pStyle w:val="Compact"/>
            </w:pPr>
            <w:r>
              <w:t xml:space="preserve">$497M</w:t>
            </w:r>
          </w:p>
        </w:tc>
        <w:tc>
          <w:tcPr/>
          <w:p>
            <w:pPr>
              <w:pStyle w:val="Compact"/>
            </w:pPr>
            <w:r>
              <w:t xml:space="preserve">$1.1B</w:t>
            </w:r>
          </w:p>
        </w:tc>
        <w:tc>
          <w:tcPr/>
          <w:p>
            <w:pPr>
              <w:pStyle w:val="Compact"/>
            </w:pPr>
            <w:r>
              <w:rPr>
                <w:b/>
                <w:bCs/>
              </w:rPr>
              <w:t xml:space="preserve">$2.0B</w:t>
            </w:r>
          </w:p>
        </w:tc>
      </w:tr>
      <w:tr>
        <w:tc>
          <w:tcPr/>
          <w:p>
            <w:pPr>
              <w:pStyle w:val="Compact"/>
            </w:pPr>
            <w:r>
              <w:rPr>
                <w:b/>
                <w:bCs/>
              </w:rPr>
              <w:t xml:space="preserve">EBITDA Margin</w:t>
            </w:r>
          </w:p>
        </w:tc>
        <w:tc>
          <w:tcPr/>
          <w:p>
            <w:pPr>
              <w:pStyle w:val="Compact"/>
            </w:pPr>
            <w:r>
              <w:t xml:space="preserve">(177%)</w:t>
            </w:r>
          </w:p>
        </w:tc>
        <w:tc>
          <w:tcPr/>
          <w:p>
            <w:pPr>
              <w:pStyle w:val="Compact"/>
            </w:pPr>
            <w:r>
              <w:t xml:space="preserve">(13%)</w:t>
            </w:r>
          </w:p>
        </w:tc>
        <w:tc>
          <w:tcPr/>
          <w:p>
            <w:pPr>
              <w:pStyle w:val="Compact"/>
            </w:pPr>
            <w:r>
              <w:t xml:space="preserve">45%</w:t>
            </w:r>
          </w:p>
        </w:tc>
        <w:tc>
          <w:tcPr/>
          <w:p>
            <w:pPr>
              <w:pStyle w:val="Compact"/>
            </w:pPr>
            <w:r>
              <w:t xml:space="preserve">63%</w:t>
            </w:r>
          </w:p>
        </w:tc>
        <w:tc>
          <w:tcPr/>
          <w:p>
            <w:pPr>
              <w:pStyle w:val="Compact"/>
            </w:pPr>
            <w:r>
              <w:t xml:space="preserve">73%</w:t>
            </w:r>
          </w:p>
        </w:tc>
        <w:tc>
          <w:tcPr/>
          <w:p>
            <w:pPr>
              <w:pStyle w:val="Compact"/>
            </w:pPr>
            <w:r>
              <w:rPr>
                <w:b/>
                <w:bCs/>
              </w:rPr>
              <w:t xml:space="preserve">76%</w:t>
            </w:r>
          </w:p>
        </w:tc>
      </w:tr>
    </w:tbl>
    <w:p>
      <w:pPr>
        <w:pStyle w:val="BodyText"/>
      </w:pPr>
      <w:r>
        <w:t xml:space="preserve">Year 1 is a planned loss (2 venues, no subscription yet). The subscription launches in Year 2 and dominates by Year 4. By Year 6, the Neural Pass generates 19x venue revenue. Content costs are fixed — the same library serves 75K or 4M subscribers.</w:t>
      </w:r>
    </w:p>
    <w:p>
      <w:pPr>
        <w:pStyle w:val="BodyText"/>
      </w:pPr>
      <w:r>
        <w:rPr>
          <w:b/>
          <w:bCs/>
        </w:rPr>
        <w:t xml:space="preserve">Corporate structure:</w:t>
      </w:r>
      <w:r>
        <w:t xml:space="preserve"> </w:t>
      </w:r>
      <w:r>
        <w:t xml:space="preserve">vZero Publisher (owns IP, content rights, subscription revenue) and vZero Retail (operates venues) under vZero Holdings. A separate SPV finances the subscriber hardware off balance sheet. The Publisher commands ARR-based multiples. The Retail business is valuable but secondary.</w:t>
      </w:r>
    </w:p>
    <w:bookmarkEnd w:id="13"/>
    <w:bookmarkStart w:id="14" w:name="capital-requirements"/>
    <w:p>
      <w:pPr>
        <w:pStyle w:val="Heading2"/>
      </w:pPr>
      <w:r>
        <w:t xml:space="preserve">Capital Requirements</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Round</w:t>
            </w:r>
          </w:p>
        </w:tc>
        <w:tc>
          <w:tcPr/>
          <w:p>
            <w:pPr>
              <w:pStyle w:val="Compact"/>
            </w:pPr>
            <w:r>
              <w:t xml:space="preserve">Amount</w:t>
            </w:r>
          </w:p>
        </w:tc>
        <w:tc>
          <w:tcPr/>
          <w:p>
            <w:pPr>
              <w:pStyle w:val="Compact"/>
            </w:pPr>
            <w:r>
              <w:t xml:space="preserve">Purpose</w:t>
            </w:r>
          </w:p>
        </w:tc>
      </w:tr>
      <w:tr>
        <w:tc>
          <w:tcPr/>
          <w:p>
            <w:pPr>
              <w:pStyle w:val="Compact"/>
            </w:pPr>
            <w:r>
              <w:rPr>
                <w:b/>
                <w:bCs/>
              </w:rPr>
              <w:t xml:space="preserve">Series A</w:t>
            </w:r>
          </w:p>
        </w:tc>
        <w:tc>
          <w:tcPr/>
          <w:p>
            <w:pPr>
              <w:pStyle w:val="Compact"/>
            </w:pPr>
            <w:r>
              <w:t xml:space="preserve">$40M</w:t>
            </w:r>
          </w:p>
        </w:tc>
        <w:tc>
          <w:tcPr/>
          <w:p>
            <w:pPr>
              <w:pStyle w:val="Compact"/>
            </w:pPr>
            <w:r>
              <w:t xml:space="preserve">Flagships 1–2, Show 1, engineering team, 30 months to launch</w:t>
            </w:r>
          </w:p>
        </w:tc>
      </w:tr>
      <w:tr>
        <w:tc>
          <w:tcPr/>
          <w:p>
            <w:pPr>
              <w:pStyle w:val="Compact"/>
            </w:pPr>
            <w:r>
              <w:rPr>
                <w:b/>
                <w:bCs/>
              </w:rPr>
              <w:t xml:space="preserve">Series B</w:t>
            </w:r>
          </w:p>
        </w:tc>
        <w:tc>
          <w:tcPr/>
          <w:p>
            <w:pPr>
              <w:pStyle w:val="Compact"/>
            </w:pPr>
            <w:r>
              <w:t xml:space="preserve">$80–100M</w:t>
            </w:r>
          </w:p>
        </w:tc>
        <w:tc>
          <w:tcPr/>
          <w:p>
            <w:pPr>
              <w:pStyle w:val="Compact"/>
            </w:pPr>
            <w:r>
              <w:t xml:space="preserve">Shows 2–4, Flagships 3–4, Neural Pass pilot, Miraval studio, sports scouting</w:t>
            </w:r>
          </w:p>
        </w:tc>
      </w:tr>
      <w:tr>
        <w:tc>
          <w:tcPr/>
          <w:p>
            <w:pPr>
              <w:pStyle w:val="Compact"/>
            </w:pPr>
            <w:r>
              <w:rPr>
                <w:b/>
                <w:bCs/>
              </w:rPr>
              <w:t xml:space="preserve">Series C</w:t>
            </w:r>
          </w:p>
        </w:tc>
        <w:tc>
          <w:tcPr/>
          <w:p>
            <w:pPr>
              <w:pStyle w:val="Compact"/>
            </w:pPr>
            <w:r>
              <w:t xml:space="preserve">$120–180M</w:t>
            </w:r>
          </w:p>
        </w:tc>
        <w:tc>
          <w:tcPr/>
          <w:p>
            <w:pPr>
              <w:pStyle w:val="Compact"/>
            </w:pPr>
            <w:r>
              <w:t xml:space="preserve">Flagships 5–8, sports rights, international expansion</w:t>
            </w:r>
          </w:p>
        </w:tc>
      </w:tr>
      <w:tr>
        <w:tc>
          <w:tcPr/>
          <w:p>
            <w:pPr>
              <w:pStyle w:val="Compact"/>
            </w:pPr>
            <w:r>
              <w:rPr>
                <w:b/>
                <w:bCs/>
              </w:rPr>
              <w:t xml:space="preserve">SPV</w:t>
            </w:r>
          </w:p>
        </w:tc>
        <w:tc>
          <w:tcPr/>
          <w:p>
            <w:pPr>
              <w:pStyle w:val="Compact"/>
            </w:pPr>
            <w:r>
              <w:t xml:space="preserve">$300M–$5B+</w:t>
            </w:r>
          </w:p>
        </w:tc>
        <w:tc>
          <w:tcPr/>
          <w:p>
            <w:pPr>
              <w:pStyle w:val="Compact"/>
            </w:pPr>
            <w:r>
              <w:t xml:space="preserve">Subscriber hardware (off balance sheet, scales with subscriber count)</w:t>
            </w:r>
          </w:p>
        </w:tc>
      </w:tr>
    </w:tbl>
    <w:bookmarkEnd w:id="14"/>
    <w:bookmarkStart w:id="15" w:name="the-founding-partners-role"/>
    <w:p>
      <w:pPr>
        <w:pStyle w:val="Heading2"/>
      </w:pPr>
      <w:r>
        <w:t xml:space="preserve">The Founding Partner’s Role</w:t>
      </w:r>
    </w:p>
    <w:p>
      <w:pPr>
        <w:pStyle w:val="FirstParagraph"/>
      </w:pPr>
      <w:r>
        <w:t xml:space="preserve">The founding partner provides anchor equity, hardware access (dev kits, priority allocation, manufacturing commitment at scale), platform distribution, and the financial credibility that de-risks the SPV facility. In return: preferred equity, board seat, and the single largest distribution channel for the partner’s VR hardware — millions of headsets into homes that would never have bought one for gaming alone.</w:t>
      </w:r>
    </w:p>
    <w:p>
      <w:pPr>
        <w:pStyle w:val="BodyText"/>
      </w:pPr>
      <w:r>
        <w:t xml:space="preserve">At 4 million Neural Pass subscribers, vZero is moving more of the partner’s hardware than any other channel. The content sells the platform.</w:t>
      </w:r>
    </w:p>
    <w:bookmarkEnd w:id="15"/>
    <w:bookmarkStart w:id="16" w:name="timeline"/>
    <w:p>
      <w:pPr>
        <w:pStyle w:val="Heading2"/>
      </w:pPr>
      <w:r>
        <w:t xml:space="preserve">Timeline</w:t>
      </w:r>
    </w:p>
    <w:p>
      <w:pPr>
        <w:pStyle w:val="FirstParagraph"/>
      </w:pPr>
      <w:r>
        <w:t xml:space="preserve">30 months from kickoff to launch. The critical path:</w:t>
      </w:r>
    </w:p>
    <w:p>
      <w:pPr>
        <w:pStyle w:val="Compact"/>
        <w:numPr>
          <w:ilvl w:val="0"/>
          <w:numId w:val="1002"/>
        </w:numPr>
      </w:pPr>
      <w:r>
        <w:rPr>
          <w:b/>
          <w:bCs/>
        </w:rPr>
        <w:t xml:space="preserve">M0–M4:</w:t>
      </w:r>
      <w:r>
        <w:t xml:space="preserve"> </w:t>
      </w:r>
      <w:r>
        <w:t xml:space="preserve">Dev kits, artist contract, Technical Director hire, real estate search</w:t>
      </w:r>
    </w:p>
    <w:p>
      <w:pPr>
        <w:pStyle w:val="Compact"/>
        <w:numPr>
          <w:ilvl w:val="0"/>
          <w:numId w:val="1002"/>
        </w:numPr>
      </w:pPr>
      <w:r>
        <w:rPr>
          <w:b/>
          <w:bCs/>
        </w:rPr>
        <w:t xml:space="preserve">M5–M11:</w:t>
      </w:r>
      <w:r>
        <w:t xml:space="preserve"> </w:t>
      </w:r>
      <w:r>
        <w:t xml:space="preserve">Engineering team (15–18), 4DGS prototype on Steam Frame, multi-viewer rendering proof, venue site locked</w:t>
      </w:r>
    </w:p>
    <w:p>
      <w:pPr>
        <w:pStyle w:val="Compact"/>
        <w:numPr>
          <w:ilvl w:val="0"/>
          <w:numId w:val="1002"/>
        </w:numPr>
      </w:pPr>
      <w:r>
        <w:rPr>
          <w:b/>
          <w:bCs/>
        </w:rPr>
        <w:t xml:space="preserve">M12–M20:</w:t>
      </w:r>
      <w:r>
        <w:t xml:space="preserve"> </w:t>
      </w:r>
      <w:r>
        <w:t xml:space="preserve">Full show capture and processing, venue construction, WFS array ordered</w:t>
      </w:r>
    </w:p>
    <w:p>
      <w:pPr>
        <w:pStyle w:val="Compact"/>
        <w:numPr>
          <w:ilvl w:val="0"/>
          <w:numId w:val="1002"/>
        </w:numPr>
      </w:pPr>
      <w:r>
        <w:rPr>
          <w:b/>
          <w:bCs/>
        </w:rPr>
        <w:t xml:space="preserve">M21–M26:</w:t>
      </w:r>
      <w:r>
        <w:t xml:space="preserve"> </w:t>
      </w:r>
      <w:r>
        <w:t xml:space="preserve">Hardware installation, full system integration, 12-viewer stress testing</w:t>
      </w:r>
    </w:p>
    <w:p>
      <w:pPr>
        <w:pStyle w:val="Compact"/>
        <w:numPr>
          <w:ilvl w:val="0"/>
          <w:numId w:val="1002"/>
        </w:numPr>
      </w:pPr>
      <w:r>
        <w:rPr>
          <w:b/>
          <w:bCs/>
        </w:rPr>
        <w:t xml:space="preserve">M27–M29:</w:t>
      </w:r>
      <w:r>
        <w:t xml:space="preserve"> </w:t>
      </w:r>
      <w:r>
        <w:t xml:space="preserve">Staff training, soft launch, press campaign</w:t>
      </w:r>
    </w:p>
    <w:p>
      <w:pPr>
        <w:pStyle w:val="Compact"/>
        <w:numPr>
          <w:ilvl w:val="0"/>
          <w:numId w:val="1002"/>
        </w:numPr>
      </w:pPr>
      <w:r>
        <w:rPr>
          <w:b/>
          <w:bCs/>
        </w:rPr>
        <w:t xml:space="preserve">M30:</w:t>
      </w:r>
      <w:r>
        <w:t xml:space="preserve"> </w:t>
      </w:r>
      <w:r>
        <w:t xml:space="preserve">Flagship 1 opens. Show 1 on Steam Store. Series B raise begins.</w:t>
      </w:r>
    </w:p>
    <w:p>
      <w:pPr>
        <w:pStyle w:val="FirstParagraph"/>
      </w:pPr>
      <w:r>
        <w:rPr>
          <w:b/>
          <w:bCs/>
        </w:rPr>
        <w:t xml:space="preserve">The highest-risk gate is M11.</w:t>
      </w:r>
      <w:r>
        <w:t xml:space="preserve"> </w:t>
      </w:r>
      <w:r>
        <w:t xml:space="preserve">If lifelike 4DGS cannot stream wirelessly to a Steam Frame at &lt;25ms latency, the venture model must be reconsidered. The $8M invested to that point is the cost of knowing.</w:t>
      </w:r>
    </w:p>
    <w:bookmarkEnd w:id="16"/>
    <w:bookmarkStart w:id="17" w:name="exit"/>
    <w:p>
      <w:pPr>
        <w:pStyle w:val="Heading2"/>
      </w:pPr>
      <w:r>
        <w:t xml:space="preserve">Exit</w:t>
      </w:r>
    </w:p>
    <w:p>
      <w:pPr>
        <w:pStyle w:val="FirstParagraph"/>
      </w:pPr>
      <w:r>
        <w:t xml:space="preserve">Minimum 6-year horizon. At Year 6:</w:t>
      </w:r>
    </w:p>
    <w:tbl>
      <w:tblPr>
        <w:tblStyle w:val="Table"/>
        <w:tblW w:type="pct" w:w="5000"/>
        <w:tblLayout w:type="fixed"/>
        <w:tblLook w:firstRow="1" w:lastRow="0" w:firstColumn="0" w:lastColumn="0" w:noHBand="0" w:noVBand="0" w:val="0020"/>
      </w:tblPr>
      <w:tblGrid>
        <w:gridCol w:w="792"/>
        <w:gridCol w:w="2772"/>
        <w:gridCol w:w="4356"/>
      </w:tblGrid>
      <w:tr>
        <w:trPr>
          <w:tblHeader w:val="on"/>
        </w:trPr>
        <w:tc>
          <w:tcPr/>
          <w:p>
            <w:pPr>
              <w:pStyle w:val="Compact"/>
            </w:pPr>
          </w:p>
        </w:tc>
        <w:tc>
          <w:tcPr/>
          <w:p>
            <w:pPr>
              <w:pStyle w:val="Compact"/>
            </w:pPr>
            <w:r>
              <w:t xml:space="preserve">Basis</w:t>
            </w:r>
          </w:p>
        </w:tc>
        <w:tc>
          <w:tcPr/>
          <w:p>
            <w:pPr>
              <w:pStyle w:val="Compact"/>
            </w:pPr>
            <w:r>
              <w:t xml:space="preserve">Valuation</w:t>
            </w:r>
          </w:p>
        </w:tc>
      </w:tr>
      <w:tr>
        <w:tc>
          <w:tcPr/>
          <w:p>
            <w:pPr>
              <w:pStyle w:val="Compact"/>
            </w:pPr>
            <w:r>
              <w:rPr>
                <w:b/>
                <w:bCs/>
              </w:rPr>
              <w:t xml:space="preserve">Publisher</w:t>
            </w:r>
          </w:p>
        </w:tc>
        <w:tc>
          <w:tcPr/>
          <w:p>
            <w:pPr>
              <w:pStyle w:val="Compact"/>
            </w:pPr>
            <w:r>
              <w:t xml:space="preserve">$1.9B ARR (subscription + licensing) at 6–8x</w:t>
            </w:r>
          </w:p>
        </w:tc>
        <w:tc>
          <w:tcPr/>
          <w:p>
            <w:pPr>
              <w:pStyle w:val="Compact"/>
            </w:pPr>
            <w:r>
              <w:t xml:space="preserve">$11.3B–$15.1B</w:t>
            </w:r>
          </w:p>
        </w:tc>
      </w:tr>
      <w:tr>
        <w:tc>
          <w:tcPr/>
          <w:p>
            <w:pPr>
              <w:pStyle w:val="Compact"/>
            </w:pPr>
            <w:r>
              <w:rPr>
                <w:b/>
                <w:bCs/>
              </w:rPr>
              <w:t xml:space="preserve">Retail</w:t>
            </w:r>
          </w:p>
        </w:tc>
        <w:tc>
          <w:tcPr/>
          <w:p>
            <w:pPr>
              <w:pStyle w:val="Compact"/>
            </w:pPr>
            <w:r>
              <w:t xml:space="preserve">$56M EBITDA from 12 venues at 8–10x</w:t>
            </w:r>
          </w:p>
        </w:tc>
        <w:tc>
          <w:tcPr/>
          <w:p>
            <w:pPr>
              <w:pStyle w:val="Compact"/>
            </w:pPr>
            <w:r>
              <w:t xml:space="preserve">$0.4B–$0.6B</w:t>
            </w:r>
          </w:p>
        </w:tc>
      </w:tr>
      <w:tr>
        <w:tc>
          <w:tcPr/>
          <w:p>
            <w:pPr>
              <w:pStyle w:val="Compact"/>
            </w:pPr>
            <w:r>
              <w:rPr>
                <w:b/>
                <w:bCs/>
              </w:rPr>
              <w:t xml:space="preserve">Blended</w:t>
            </w:r>
          </w:p>
        </w:tc>
        <w:tc>
          <w:tcPr/>
          <w:p>
            <w:pPr>
              <w:pStyle w:val="Compact"/>
            </w:pPr>
          </w:p>
        </w:tc>
        <w:tc>
          <w:tcPr/>
          <w:p>
            <w:pPr>
              <w:pStyle w:val="Compact"/>
            </w:pPr>
            <w:r>
              <w:rPr>
                <w:b/>
                <w:bCs/>
              </w:rPr>
              <w:t xml:space="preserve">$11.8B–$15.6B</w:t>
            </w:r>
          </w:p>
        </w:tc>
      </w:tr>
    </w:tbl>
    <w:p>
      <w:pPr>
        <w:pStyle w:val="BodyText"/>
      </w:pPr>
      <w:r>
        <w:t xml:space="preserve">The most natural acquirer is the founding partner’s company — buying vZero means buying a $1.9B recurring revenue business that sells millions of units of their own hardware. This is the Xbox-Halo dynamic at platform scale.</w:t>
      </w:r>
    </w:p>
    <w:p>
      <w:r>
        <w:pict>
          <v:rect style="width:0;height:1.5pt" o:hralign="center" o:hrstd="t" o:hr="t"/>
        </w:pict>
      </w:r>
    </w:p>
    <w:p>
      <w:pPr>
        <w:pStyle w:val="FirstParagraph"/>
      </w:pPr>
      <w:r>
        <w:rPr>
          <w:i/>
          <w:iCs/>
        </w:rPr>
        <w:t xml:space="preserve">Supporting documents: Strategic Vision &amp; Market Opportunity, Technical Architecture, Business Model &amp; Financial Architecture, Execution Roadmap.</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2026-02-16T11:52:43Z</dcterms:created>
  <dcterms:modified xsi:type="dcterms:W3CDTF">2026-02-16T11:52:43Z</dcterms:modified>
</cp:coreProperties>
</file>

<file path=docProps/custom.xml><?xml version="1.0" encoding="utf-8"?>
<Properties xmlns="http://schemas.openxmlformats.org/officeDocument/2006/custom-properties" xmlns:vt="http://schemas.openxmlformats.org/officeDocument/2006/docPropsVTypes"/>
</file>