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vzero-volumetric-presence-at-scale"/>
    <w:p>
      <w:pPr>
        <w:pStyle w:val="Heading1"/>
      </w:pPr>
      <w:r>
        <w:t xml:space="preserve">vZero: Volumetric Presence at Scale</w:t>
      </w:r>
    </w:p>
    <w:p>
      <w:pPr>
        <w:pStyle w:val="FirstParagraph"/>
      </w:pPr>
      <w:r>
        <w:rPr>
          <w:b/>
          <w:bCs/>
        </w:rPr>
        <w:t xml:space="preserve">Confidential — February 2026</w:t>
      </w:r>
    </w:p>
    <w:p>
      <w:r>
        <w:pict>
          <v:rect style="width:0;height:1.5pt" o:hralign="center" o:hrstd="t" o:hr="t"/>
        </w:pict>
      </w:r>
    </w:p>
    <w:p>
      <w:pPr>
        <w:pStyle w:val="FirstParagraph"/>
      </w:pPr>
      <w:r>
        <w:t xml:space="preserve">vZero puts you in the room with the artist. You stand three feet from a performer, walk around them, hear their voice come from their lips — and your brain cannot tell the difference between this and a real encounter. We capture artists in volumetric video, render them on GPU clusters, and deliver them wirelessly through VR headsets into purpose-built venues and millions of living rooms. This is the first new performance medium since film.</w:t>
      </w:r>
    </w:p>
    <w:p>
      <w:r>
        <w:pict>
          <v:rect style="width:0;height:1.5pt" o:hralign="center" o:hrstd="t" o:hr="t"/>
        </w:pict>
      </w:r>
    </w:p>
    <w:p>
      <w:pPr>
        <w:pStyle w:val="FirstParagraph"/>
      </w:pPr>
      <w:r>
        <w:rPr>
          <w:b/>
          <w:bCs/>
        </w:rPr>
        <w:t xml:space="preserve">Lifelike performances, delivered wirelessly.</w:t>
      </w:r>
      <w:r>
        <w:t xml:space="preserve"> </w:t>
      </w:r>
      <w:r>
        <w:t xml:space="preserve">A network of purpose-built venues where audiences of 12 experience volumetric performances of A-list artists — captured in 4D Gaussian Splatting, rendered by GPU clusters, delivered wirelessly through Steam Frame headsets, and physically grounded by Wave Field Synthesis audio and haptic floors. The same content scales to millions of homes through a hardware-included subscription.</w:t>
      </w:r>
    </w:p>
    <w:p>
      <w:pPr>
        <w:pStyle w:val="BodyText"/>
      </w:pPr>
      <w:r>
        <w:rPr>
          <w:b/>
          <w:bCs/>
        </w:rPr>
        <w:t xml:space="preserve">The hardware exists. The content doesn’t.</w:t>
      </w:r>
      <w:r>
        <w:t xml:space="preserve"> </w:t>
      </w:r>
      <w:r>
        <w:t xml:space="preserve">The Steam Frame ships Q2 2026 — the first headset built for wireless server-side rendering. 4DGS is production-ready. NVIDIA Rubin ships mid-2026. There is no killer app for any of it. We have a confirmed Tier-1 artist. The window is open now and will be contested within 18 months.</w:t>
      </w:r>
    </w:p>
    <w:p>
      <w:pPr>
        <w:pStyle w:val="BodyText"/>
      </w:pPr>
      <w:r>
        <w:rPr>
          <w:b/>
          <w:bCs/>
        </w:rPr>
        <w:t xml:space="preserve">A library that grows every week.</w:t>
      </w:r>
      <w:r>
        <w:t xml:space="preserve"> </w:t>
      </w:r>
      <w:r>
        <w:t xml:space="preserve">Two AAA interactive spectacles per year. Weekly intimate sessions from a permanent studio at Miraval. Live sports from Year 3 — starting with tennis and boxing, expanding to major leagues. Subscribers never run out of reasons to keep the headset on.</w:t>
      </w:r>
    </w:p>
    <w:p>
      <w:pPr>
        <w:pStyle w:val="BodyText"/>
      </w:pPr>
      <w:r>
        <w:rPr>
          <w:b/>
          <w:bCs/>
        </w:rPr>
        <w:t xml:space="preserve">$2B in revenue by Year 6.</w:t>
      </w:r>
      <w:r>
        <w:t xml:space="preserve"> </w:t>
      </w:r>
      <w:r>
        <w:t xml:space="preserve">12 flagship venues worldwide. 4 million home subscribers generating $1.87B in annual recurring revenue. EBITDA margin: 76%.</w:t>
      </w:r>
    </w:p>
    <w:p>
      <w:r>
        <w:pict>
          <v:rect style="width:0;height:1.5pt" o:hralign="center" o:hrstd="t" o:hr="t"/>
        </w:pict>
      </w:r>
    </w:p>
    <w:p>
      <w:pPr>
        <w:pStyle w:val="FirstParagraph"/>
      </w:pPr>
      <w:r>
        <w:rPr>
          <w:b/>
          <w:bCs/>
        </w:rPr>
        <w:t xml:space="preserve">$40M to launch.</w:t>
      </w:r>
      <w:r>
        <w:t xml:space="preserve"> </w:t>
      </w:r>
      <w:r>
        <w:t xml:space="preserve">Series A funds two flagship venues, the first show, and 30 months of engineering.</w:t>
      </w:r>
    </w:p>
    <w:p>
      <w:pPr>
        <w:pStyle w:val="BodyText"/>
      </w:pPr>
      <w:r>
        <w:rPr>
          <w:b/>
          <w:bCs/>
        </w:rPr>
        <w:t xml:space="preserve">The partner gets a distribution channel.</w:t>
      </w:r>
      <w:r>
        <w:t xml:space="preserve"> </w:t>
      </w:r>
      <w:r>
        <w:t xml:space="preserve">Anchor equity. Hardware access and manufacturing commitment at scale. Platform distribution. In return: preferred equity, board seat, and the single largest channel for the partner’s VR hardware — millions of units into homes that would never have bought a headset for gaming alone.</w:t>
      </w:r>
    </w:p>
    <w:p>
      <w:pPr>
        <w:pStyle w:val="BodyText"/>
      </w:pPr>
      <w:r>
        <w:rPr>
          <w:b/>
          <w:bCs/>
        </w:rPr>
        <w:t xml:space="preserve">$12B–$16B enterprise value at Year 6.</w:t>
      </w:r>
      <w:r>
        <w:t xml:space="preserve"> </w:t>
      </w:r>
      <w:r>
        <w:t xml:space="preserve">The most natural exit is the founding partner’s company acquiring vZero — a $1.9B ARR business that sells millions of units of their own hardware.</w:t>
      </w:r>
    </w:p>
    <w:p>
      <w:r>
        <w:pict>
          <v:rect style="width:0;height:1.5pt" o:hralign="center" o:hrstd="t" o:hr="t"/>
        </w:pict>
      </w:r>
    </w:p>
    <w:p>
      <w:pPr>
        <w:pStyle w:val="FirstParagraph"/>
      </w:pPr>
      <w:r>
        <w:rPr>
          <w:i/>
          <w:iCs/>
        </w:rPr>
        <w:t xml:space="preserve">Full strategic document suite available: Vision &amp; Market Opportunity, Technical Architecture, Business Model, Execution Roadmap.</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2026-02-16T11:52:42Z</dcterms:created>
  <dcterms:modified xsi:type="dcterms:W3CDTF">2026-02-16T11:52:42Z</dcterms:modified>
</cp:coreProperties>
</file>

<file path=docProps/custom.xml><?xml version="1.0" encoding="utf-8"?>
<Properties xmlns="http://schemas.openxmlformats.org/officeDocument/2006/custom-properties" xmlns:vt="http://schemas.openxmlformats.org/officeDocument/2006/docPropsVTypes"/>
</file>