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vzero-the-dual-entity-framework"/>
    <w:p>
      <w:pPr>
        <w:pStyle w:val="Heading1"/>
      </w:pPr>
      <w:r>
        <w:t xml:space="preserve">vZero: The Dual-Entity Framework</w:t>
      </w:r>
    </w:p>
    <w:bookmarkStart w:id="9" w:name="business-model-financial-architecture"/>
    <w:p>
      <w:pPr>
        <w:pStyle w:val="Heading2"/>
      </w:pPr>
      <w:r>
        <w:t xml:space="preserve">Business Model &amp; Financial Architecture</w:t>
      </w:r>
    </w:p>
    <w:p>
      <w:pPr>
        <w:pStyle w:val="FirstParagraph"/>
      </w:pPr>
      <w:r>
        <w:rPr>
          <w:b/>
          <w:bCs/>
        </w:rPr>
        <w:t xml:space="preserve">Classification:</w:t>
      </w:r>
      <w:r>
        <w:t xml:space="preserve"> </w:t>
      </w:r>
      <w:r>
        <w:t xml:space="preserve">Financial Strategy — Confidential</w:t>
      </w:r>
      <w:r>
        <w:t xml:space="preserve"> </w:t>
      </w:r>
      <w:r>
        <w:rPr>
          <w:b/>
          <w:bCs/>
        </w:rPr>
        <w:t xml:space="preserve">Date:</w:t>
      </w:r>
      <w:r>
        <w:t xml:space="preserve"> </w:t>
      </w:r>
      <w:r>
        <w:t xml:space="preserve">February 2026</w:t>
      </w:r>
      <w:r>
        <w:t xml:space="preserve"> </w:t>
      </w:r>
      <w:r>
        <w:rPr>
          <w:b/>
          <w:bCs/>
        </w:rPr>
        <w:t xml:space="preserve">Version:</w:t>
      </w:r>
      <w:r>
        <w:t xml:space="preserve"> </w:t>
      </w:r>
      <w:r>
        <w:t xml:space="preserve">1.0</w:t>
      </w:r>
    </w:p>
    <w:p>
      <w:r>
        <w:pict>
          <v:rect style="width:0;height:1.5pt" o:hralign="center" o:hrstd="t" o:hr="t"/>
        </w:pict>
      </w:r>
    </w:p>
    <w:bookmarkEnd w:id="9"/>
    <w:bookmarkStart w:id="10" w:name="i.-corporate-structure"/>
    <w:p>
      <w:pPr>
        <w:pStyle w:val="Heading2"/>
      </w:pPr>
      <w:r>
        <w:t xml:space="preserve">I. Corporate Structure</w:t>
      </w:r>
    </w:p>
    <w:p>
      <w:pPr>
        <w:pStyle w:val="FirstParagraph"/>
      </w:pPr>
      <w:r>
        <w:t xml:space="preserve">vZero operates as three entities under a single Holding Company. This structure separates high-value intellectual property from operational risk and enables distinct financing strategies for each business.</w:t>
      </w:r>
    </w:p>
    <w:p>
      <w:pPr>
        <w:pStyle w:val="SourceCode"/>
      </w:pPr>
      <w:r>
        <w:rPr>
          <w:rStyle w:val="VerbatimChar"/>
        </w:rPr>
        <w:t xml:space="preserve">vZero Holdings</w:t>
      </w:r>
      <w:r>
        <w:br/>
      </w:r>
      <w:r>
        <w:rPr>
          <w:rStyle w:val="VerbatimChar"/>
        </w:rPr>
        <w:t xml:space="preserve">├── vZero Publisher (IP Co)</w:t>
      </w:r>
      <w:r>
        <w:br/>
      </w:r>
      <w:r>
        <w:rPr>
          <w:rStyle w:val="VerbatimChar"/>
        </w:rPr>
        <w:t xml:space="preserve">│   - Owns volumetric masters and distribution rights</w:t>
      </w:r>
      <w:r>
        <w:br/>
      </w:r>
      <w:r>
        <w:rPr>
          <w:rStyle w:val="VerbatimChar"/>
        </w:rPr>
        <w:t xml:space="preserve">│   - Negotiates artist contracts and music licensing</w:t>
      </w:r>
      <w:r>
        <w:br/>
      </w:r>
      <w:r>
        <w:rPr>
          <w:rStyle w:val="VerbatimChar"/>
        </w:rPr>
        <w:t xml:space="preserve">│   - Develops capture technology and content tooling</w:t>
      </w:r>
      <w:r>
        <w:br/>
      </w:r>
      <w:r>
        <w:rPr>
          <w:rStyle w:val="VerbatimChar"/>
        </w:rPr>
        <w:t xml:space="preserve">│   - Revenue: content licensing, home sales, B2B royalties</w:t>
      </w:r>
      <w:r>
        <w:br/>
      </w:r>
      <w:r>
        <w:rPr>
          <w:rStyle w:val="VerbatimChar"/>
        </w:rPr>
        <w:t xml:space="preserve">│</w:t>
      </w:r>
      <w:r>
        <w:br/>
      </w:r>
      <w:r>
        <w:rPr>
          <w:rStyle w:val="VerbatimChar"/>
        </w:rPr>
        <w:t xml:space="preserve">├── vZero Retail (Op Co)</w:t>
      </w:r>
      <w:r>
        <w:br/>
      </w:r>
      <w:r>
        <w:rPr>
          <w:rStyle w:val="VerbatimChar"/>
        </w:rPr>
        <w:t xml:space="preserve">│   - Operates flagship venues</w:t>
      </w:r>
      <w:r>
        <w:br/>
      </w:r>
      <w:r>
        <w:rPr>
          <w:rStyle w:val="VerbatimChar"/>
        </w:rPr>
        <w:t xml:space="preserve">│   - Owns/leases real estate and hardware infrastructure</w:t>
      </w:r>
      <w:r>
        <w:br/>
      </w:r>
      <w:r>
        <w:rPr>
          <w:rStyle w:val="VerbatimChar"/>
        </w:rPr>
        <w:t xml:space="preserve">│   - Revenue: ticket sales, F&amp;B, merchandise, corporate rentals</w:t>
      </w:r>
      <w:r>
        <w:br/>
      </w:r>
      <w:r>
        <w:rPr>
          <w:rStyle w:val="VerbatimChar"/>
        </w:rPr>
        <w:t xml:space="preserve">│</w:t>
      </w:r>
      <w:r>
        <w:br/>
      </w:r>
      <w:r>
        <w:rPr>
          <w:rStyle w:val="VerbatimChar"/>
        </w:rPr>
        <w:t xml:space="preserve">└── vZero Finance (SPV — Year 2+)</w:t>
      </w:r>
      <w:r>
        <w:br/>
      </w:r>
      <w:r>
        <w:rPr>
          <w:rStyle w:val="VerbatimChar"/>
        </w:rPr>
        <w:t xml:space="preserve">    - Off-balance-sheet vehicle for home hardware deployment</w:t>
      </w:r>
      <w:r>
        <w:br/>
      </w:r>
      <w:r>
        <w:rPr>
          <w:rStyle w:val="VerbatimChar"/>
        </w:rPr>
        <w:t xml:space="preserve">    - Holds Neural Pass subscriber contracts and leased devices</w:t>
      </w:r>
      <w:r>
        <w:br/>
      </w:r>
      <w:r>
        <w:rPr>
          <w:rStyle w:val="VerbatimChar"/>
        </w:rPr>
        <w:t xml:space="preserve">    - Funded by structured debt facility</w:t>
      </w:r>
    </w:p>
    <w:p>
      <w:pPr>
        <w:pStyle w:val="FirstParagraph"/>
      </w:pPr>
      <w:r>
        <w:rPr>
          <w:b/>
          <w:bCs/>
        </w:rPr>
        <w:t xml:space="preserve">Why separate?</w:t>
      </w:r>
      <w:r>
        <w:t xml:space="preserve"> </w:t>
      </w:r>
      <w:r>
        <w:t xml:space="preserve">The Publisher is valued on IP and recurring revenue — commanding ARR-based multiples characteristic of SaaS and media companies. The Retailer is valued on EBITDA and asset value — commanding lower, asset-based multiples. Combining them would suppress the Publisher’s valuation multiple. Separating them also insulates the high-value music rights from the operational liabilities (lease obligations, employment, hardware depreciation) of physical venues.</w:t>
      </w:r>
    </w:p>
    <w:p>
      <w:r>
        <w:pict>
          <v:rect style="width:0;height:1.5pt" o:hralign="center" o:hrstd="t" o:hr="t"/>
        </w:pict>
      </w:r>
    </w:p>
    <w:bookmarkEnd w:id="10"/>
    <w:bookmarkStart w:id="15" w:name="ii.-revenue-architecture"/>
    <w:p>
      <w:pPr>
        <w:pStyle w:val="Heading2"/>
      </w:pPr>
      <w:r>
        <w:t xml:space="preserve">II. Revenue Architecture</w:t>
      </w:r>
    </w:p>
    <w:p>
      <w:pPr>
        <w:pStyle w:val="FirstParagraph"/>
      </w:pPr>
      <w:r>
        <w:t xml:space="preserve">vZero generates revenue through four channels, each utilizing the same 4DGS content asset.</w:t>
      </w:r>
    </w:p>
    <w:bookmarkStart w:id="11" w:name="channel-1-flagship-venues-vzero-retail"/>
    <w:p>
      <w:pPr>
        <w:pStyle w:val="Heading3"/>
      </w:pPr>
      <w:r>
        <w:t xml:space="preserve">Channel 1: Flagship Venues (vZero Retail)</w:t>
      </w:r>
    </w:p>
    <w:p>
      <w:pPr>
        <w:pStyle w:val="FirstParagraph"/>
      </w:pPr>
      <w:r>
        <w:rPr>
          <w:b/>
          <w:bCs/>
        </w:rPr>
        <w:t xml:space="preserve">Per-Ticket Economics (2-Room Flagship):</w:t>
      </w:r>
    </w:p>
    <w:tbl>
      <w:tblPr>
        <w:tblStyle w:val="Table"/>
        <w:tblW w:type="pct" w:w="5000"/>
        <w:tblLayout w:type="fixed"/>
        <w:tblLook w:firstRow="1" w:lastRow="0" w:firstColumn="0" w:lastColumn="0" w:noHBand="0" w:noVBand="0" w:val="0020"/>
      </w:tblPr>
      <w:tblGrid>
        <w:gridCol w:w="2262"/>
        <w:gridCol w:w="3017"/>
        <w:gridCol w:w="2640"/>
      </w:tblGrid>
      <w:tr>
        <w:trPr>
          <w:tblHeader w:val="on"/>
        </w:trPr>
        <w:tc>
          <w:tcPr/>
          <w:p>
            <w:pPr>
              <w:pStyle w:val="Compact"/>
            </w:pPr>
            <w:r>
              <w:t xml:space="preserve">Item</w:t>
            </w:r>
          </w:p>
        </w:tc>
        <w:tc>
          <w:tcPr/>
          <w:p>
            <w:pPr>
              <w:pStyle w:val="Compact"/>
            </w:pPr>
            <w:r>
              <w:t xml:space="preserve">Amount</w:t>
            </w:r>
          </w:p>
        </w:tc>
        <w:tc>
          <w:tcPr/>
          <w:p>
            <w:pPr>
              <w:pStyle w:val="Compact"/>
            </w:pPr>
            <w:r>
              <w:t xml:space="preserve">Notes</w:t>
            </w:r>
          </w:p>
        </w:tc>
      </w:tr>
      <w:tr>
        <w:tc>
          <w:tcPr/>
          <w:p>
            <w:pPr>
              <w:pStyle w:val="Compact"/>
            </w:pPr>
            <w:r>
              <w:rPr>
                <w:b/>
                <w:bCs/>
              </w:rPr>
              <w:t xml:space="preserve">Ticket Price</w:t>
            </w:r>
          </w:p>
        </w:tc>
        <w:tc>
          <w:tcPr/>
          <w:p>
            <w:pPr>
              <w:pStyle w:val="Compact"/>
            </w:pPr>
            <w:r>
              <w:t xml:space="preserve">$100</w:t>
            </w:r>
          </w:p>
        </w:tc>
        <w:tc>
          <w:tcPr/>
          <w:p>
            <w:pPr>
              <w:pStyle w:val="Compact"/>
            </w:pPr>
            <w:r>
              <w:t xml:space="preserve">Positioned between Sandbox VR ($55) and Sphere average ($217)</w:t>
            </w:r>
          </w:p>
        </w:tc>
      </w:tr>
      <w:tr>
        <w:tc>
          <w:tcPr/>
          <w:p>
            <w:pPr>
              <w:pStyle w:val="Compact"/>
            </w:pPr>
            <w:r>
              <w:t xml:space="preserve">vZero Retail retention (50%)</w:t>
            </w:r>
          </w:p>
        </w:tc>
        <w:tc>
          <w:tcPr/>
          <w:p>
            <w:pPr>
              <w:pStyle w:val="Compact"/>
            </w:pPr>
            <w:r>
              <w:t xml:space="preserve">$50</w:t>
            </w:r>
          </w:p>
        </w:tc>
        <w:tc>
          <w:tcPr/>
          <w:p>
            <w:pPr>
              <w:pStyle w:val="Compact"/>
            </w:pPr>
            <w:r>
              <w:t xml:space="preserve">Covers rent, staff, power, hardware amortization</w:t>
            </w:r>
          </w:p>
        </w:tc>
      </w:tr>
      <w:tr>
        <w:tc>
          <w:tcPr/>
          <w:p>
            <w:pPr>
              <w:pStyle w:val="Compact"/>
            </w:pPr>
            <w:r>
              <w:t xml:space="preserve">vZero Publisher retention (50%)</w:t>
            </w:r>
          </w:p>
        </w:tc>
        <w:tc>
          <w:tcPr/>
          <w:p>
            <w:pPr>
              <w:pStyle w:val="Compact"/>
            </w:pPr>
            <w:r>
              <w:t xml:space="preserve">$50</w:t>
            </w:r>
          </w:p>
        </w:tc>
        <w:tc>
          <w:tcPr/>
          <w:p>
            <w:pPr>
              <w:pStyle w:val="Compact"/>
            </w:pPr>
            <w:r>
              <w:t xml:space="preserve">Content license fee</w:t>
            </w:r>
          </w:p>
        </w:tc>
      </w:tr>
      <w:tr>
        <w:tc>
          <w:tcPr/>
          <w:p>
            <w:pPr>
              <w:pStyle w:val="Compact"/>
            </w:pPr>
            <w:r>
              <w:t xml:space="preserve">Publisher → Artist/Label royalty (30% of Publisher gross)</w:t>
            </w:r>
          </w:p>
        </w:tc>
        <w:tc>
          <w:tcPr/>
          <w:p>
            <w:pPr>
              <w:pStyle w:val="Compact"/>
            </w:pPr>
            <w:r>
              <w:t xml:space="preserve">($15)</w:t>
            </w:r>
          </w:p>
        </w:tc>
        <w:tc>
          <w:tcPr/>
          <w:p>
            <w:pPr>
              <w:pStyle w:val="Compact"/>
            </w:pPr>
            <w:r>
              <w:t xml:space="preserve">Standard LBE sync/performance royalty</w:t>
            </w:r>
          </w:p>
        </w:tc>
      </w:tr>
      <w:tr>
        <w:tc>
          <w:tcPr/>
          <w:p>
            <w:pPr>
              <w:pStyle w:val="Compact"/>
            </w:pPr>
            <w:r>
              <w:rPr>
                <w:b/>
                <w:bCs/>
              </w:rPr>
              <w:t xml:space="preserve">Publisher net per ticket</w:t>
            </w:r>
          </w:p>
        </w:tc>
        <w:tc>
          <w:tcPr/>
          <w:p>
            <w:pPr>
              <w:pStyle w:val="Compact"/>
            </w:pPr>
            <w:r>
              <w:rPr>
                <w:b/>
                <w:bCs/>
              </w:rPr>
              <w:t xml:space="preserve">$35</w:t>
            </w:r>
          </w:p>
        </w:tc>
        <w:tc>
          <w:tcPr/>
          <w:p>
            <w:pPr>
              <w:pStyle w:val="Compact"/>
            </w:pPr>
            <w:r>
              <w:t xml:space="preserve">Used to recoup production capex</w:t>
            </w:r>
          </w:p>
        </w:tc>
      </w:tr>
      <w:tr>
        <w:tc>
          <w:tcPr/>
          <w:p>
            <w:pPr>
              <w:pStyle w:val="Compact"/>
            </w:pPr>
            <w:r>
              <w:rPr>
                <w:b/>
                <w:bCs/>
              </w:rPr>
              <w:t xml:space="preserve">Retail net per ticket</w:t>
            </w:r>
          </w:p>
        </w:tc>
        <w:tc>
          <w:tcPr/>
          <w:p>
            <w:pPr>
              <w:pStyle w:val="Compact"/>
            </w:pPr>
            <w:r>
              <w:rPr>
                <w:b/>
                <w:bCs/>
              </w:rPr>
              <w:t xml:space="preserve">$15–$20</w:t>
            </w:r>
          </w:p>
        </w:tc>
        <w:tc>
          <w:tcPr/>
          <w:p>
            <w:pPr>
              <w:pStyle w:val="Compact"/>
            </w:pPr>
            <w:r>
              <w:t xml:space="preserve">After operating expenses</w:t>
            </w:r>
          </w:p>
        </w:tc>
      </w:tr>
    </w:tbl>
    <w:p>
      <w:pPr>
        <w:pStyle w:val="BodyText"/>
      </w:pPr>
      <w:r>
        <w:rPr>
          <w:b/>
          <w:bCs/>
        </w:rPr>
        <w:t xml:space="preserve">Venue Throughput (Per 2-Room Flagship):</w:t>
      </w:r>
    </w:p>
    <w:tbl>
      <w:tblPr>
        <w:tblStyle w:val="Table"/>
        <w:tblW w:type="pct" w:w="5000"/>
        <w:tblLayout w:type="fixed"/>
        <w:tblLook w:firstRow="1" w:lastRow="0" w:firstColumn="0" w:lastColumn="0" w:noHBand="0" w:noVBand="0" w:val="0020"/>
      </w:tblPr>
      <w:tblGrid>
        <w:gridCol w:w="1667"/>
        <w:gridCol w:w="2709"/>
        <w:gridCol w:w="1250"/>
        <w:gridCol w:w="2292"/>
      </w:tblGrid>
      <w:tr>
        <w:trPr>
          <w:tblHeader w:val="on"/>
        </w:trPr>
        <w:tc>
          <w:tcPr/>
          <w:p>
            <w:pPr>
              <w:pStyle w:val="Compact"/>
            </w:pPr>
            <w:r>
              <w:t xml:space="preserve">Metric</w:t>
            </w:r>
          </w:p>
        </w:tc>
        <w:tc>
          <w:tcPr/>
          <w:p>
            <w:pPr>
              <w:pStyle w:val="Compact"/>
            </w:pPr>
            <w:r>
              <w:t xml:space="preserve">Conservative</w:t>
            </w:r>
          </w:p>
        </w:tc>
        <w:tc>
          <w:tcPr/>
          <w:p>
            <w:pPr>
              <w:pStyle w:val="Compact"/>
            </w:pPr>
            <w:r>
              <w:t xml:space="preserve">Base</w:t>
            </w:r>
          </w:p>
        </w:tc>
        <w:tc>
          <w:tcPr/>
          <w:p>
            <w:pPr>
              <w:pStyle w:val="Compact"/>
            </w:pPr>
            <w:r>
              <w:t xml:space="preserve">Optimistic</w:t>
            </w:r>
          </w:p>
        </w:tc>
      </w:tr>
      <w:tr>
        <w:tc>
          <w:tcPr/>
          <w:p>
            <w:pPr>
              <w:pStyle w:val="Compact"/>
            </w:pPr>
            <w:r>
              <w:t xml:space="preserve">Capacity per room</w:t>
            </w:r>
          </w:p>
        </w:tc>
        <w:tc>
          <w:tcPr/>
          <w:p>
            <w:pPr>
              <w:pStyle w:val="Compact"/>
            </w:pPr>
            <w:r>
              <w:t xml:space="preserve">12</w:t>
            </w:r>
          </w:p>
        </w:tc>
        <w:tc>
          <w:tcPr/>
          <w:p>
            <w:pPr>
              <w:pStyle w:val="Compact"/>
            </w:pPr>
            <w:r>
              <w:t xml:space="preserve">12</w:t>
            </w:r>
          </w:p>
        </w:tc>
        <w:tc>
          <w:tcPr/>
          <w:p>
            <w:pPr>
              <w:pStyle w:val="Compact"/>
            </w:pPr>
            <w:r>
              <w:t xml:space="preserve">12</w:t>
            </w:r>
          </w:p>
        </w:tc>
      </w:tr>
      <w:tr>
        <w:tc>
          <w:tcPr/>
          <w:p>
            <w:pPr>
              <w:pStyle w:val="Compact"/>
            </w:pPr>
            <w:r>
              <w:t xml:space="preserve">Sessions per day (per room)</w:t>
            </w:r>
          </w:p>
        </w:tc>
        <w:tc>
          <w:tcPr/>
          <w:p>
            <w:pPr>
              <w:pStyle w:val="Compact"/>
            </w:pPr>
            <w:r>
              <w:t xml:space="preserve">14</w:t>
            </w:r>
          </w:p>
        </w:tc>
        <w:tc>
          <w:tcPr/>
          <w:p>
            <w:pPr>
              <w:pStyle w:val="Compact"/>
            </w:pPr>
            <w:r>
              <w:t xml:space="preserve">16</w:t>
            </w:r>
          </w:p>
        </w:tc>
        <w:tc>
          <w:tcPr/>
          <w:p>
            <w:pPr>
              <w:pStyle w:val="Compact"/>
            </w:pPr>
            <w:r>
              <w:t xml:space="preserve">18</w:t>
            </w:r>
          </w:p>
        </w:tc>
      </w:tr>
      <w:tr>
        <w:tc>
          <w:tcPr/>
          <w:p>
            <w:pPr>
              <w:pStyle w:val="Compact"/>
            </w:pPr>
            <w:r>
              <w:t xml:space="preserve">Daily capacity (2 rooms)</w:t>
            </w:r>
          </w:p>
        </w:tc>
        <w:tc>
          <w:tcPr/>
          <w:p>
            <w:pPr>
              <w:pStyle w:val="Compact"/>
            </w:pPr>
            <w:r>
              <w:t xml:space="preserve">336</w:t>
            </w:r>
          </w:p>
        </w:tc>
        <w:tc>
          <w:tcPr/>
          <w:p>
            <w:pPr>
              <w:pStyle w:val="Compact"/>
            </w:pPr>
            <w:r>
              <w:t xml:space="preserve">384</w:t>
            </w:r>
          </w:p>
        </w:tc>
        <w:tc>
          <w:tcPr/>
          <w:p>
            <w:pPr>
              <w:pStyle w:val="Compact"/>
            </w:pPr>
            <w:r>
              <w:t xml:space="preserve">432</w:t>
            </w:r>
          </w:p>
        </w:tc>
      </w:tr>
      <w:tr>
        <w:tc>
          <w:tcPr/>
          <w:p>
            <w:pPr>
              <w:pStyle w:val="Compact"/>
            </w:pPr>
            <w:r>
              <w:t xml:space="preserve">Occupancy rate</w:t>
            </w:r>
          </w:p>
        </w:tc>
        <w:tc>
          <w:tcPr/>
          <w:p>
            <w:pPr>
              <w:pStyle w:val="Compact"/>
            </w:pPr>
            <w:r>
              <w:t xml:space="preserve">70%</w:t>
            </w:r>
          </w:p>
        </w:tc>
        <w:tc>
          <w:tcPr/>
          <w:p>
            <w:pPr>
              <w:pStyle w:val="Compact"/>
            </w:pPr>
            <w:r>
              <w:t xml:space="preserve">80%</w:t>
            </w:r>
          </w:p>
        </w:tc>
        <w:tc>
          <w:tcPr/>
          <w:p>
            <w:pPr>
              <w:pStyle w:val="Compact"/>
            </w:pPr>
            <w:r>
              <w:t xml:space="preserve">90%</w:t>
            </w:r>
          </w:p>
        </w:tc>
      </w:tr>
      <w:tr>
        <w:tc>
          <w:tcPr/>
          <w:p>
            <w:pPr>
              <w:pStyle w:val="Compact"/>
            </w:pPr>
            <w:r>
              <w:rPr>
                <w:b/>
                <w:bCs/>
              </w:rPr>
              <w:t xml:space="preserve">Daily visitors</w:t>
            </w:r>
          </w:p>
        </w:tc>
        <w:tc>
          <w:tcPr/>
          <w:p>
            <w:pPr>
              <w:pStyle w:val="Compact"/>
            </w:pPr>
            <w:r>
              <w:rPr>
                <w:b/>
                <w:bCs/>
              </w:rPr>
              <w:t xml:space="preserve">235</w:t>
            </w:r>
          </w:p>
        </w:tc>
        <w:tc>
          <w:tcPr/>
          <w:p>
            <w:pPr>
              <w:pStyle w:val="Compact"/>
            </w:pPr>
            <w:r>
              <w:rPr>
                <w:b/>
                <w:bCs/>
              </w:rPr>
              <w:t xml:space="preserve">307</w:t>
            </w:r>
          </w:p>
        </w:tc>
        <w:tc>
          <w:tcPr/>
          <w:p>
            <w:pPr>
              <w:pStyle w:val="Compact"/>
            </w:pPr>
            <w:r>
              <w:rPr>
                <w:b/>
                <w:bCs/>
              </w:rPr>
              <w:t xml:space="preserve">389</w:t>
            </w:r>
          </w:p>
        </w:tc>
      </w:tr>
      <w:tr>
        <w:tc>
          <w:tcPr/>
          <w:p>
            <w:pPr>
              <w:pStyle w:val="Compact"/>
            </w:pPr>
            <w:r>
              <w:rPr>
                <w:b/>
                <w:bCs/>
              </w:rPr>
              <w:t xml:space="preserve">Annual visitors</w:t>
            </w:r>
          </w:p>
        </w:tc>
        <w:tc>
          <w:tcPr/>
          <w:p>
            <w:pPr>
              <w:pStyle w:val="Compact"/>
            </w:pPr>
            <w:r>
              <w:rPr>
                <w:b/>
                <w:bCs/>
              </w:rPr>
              <w:t xml:space="preserve">86,000</w:t>
            </w:r>
          </w:p>
        </w:tc>
        <w:tc>
          <w:tcPr/>
          <w:p>
            <w:pPr>
              <w:pStyle w:val="Compact"/>
            </w:pPr>
            <w:r>
              <w:rPr>
                <w:b/>
                <w:bCs/>
              </w:rPr>
              <w:t xml:space="preserve">112,000</w:t>
            </w:r>
          </w:p>
        </w:tc>
        <w:tc>
          <w:tcPr/>
          <w:p>
            <w:pPr>
              <w:pStyle w:val="Compact"/>
            </w:pPr>
            <w:r>
              <w:rPr>
                <w:b/>
                <w:bCs/>
              </w:rPr>
              <w:t xml:space="preserve">142,000</w:t>
            </w:r>
          </w:p>
        </w:tc>
      </w:tr>
      <w:tr>
        <w:tc>
          <w:tcPr/>
          <w:p>
            <w:pPr>
              <w:pStyle w:val="Compact"/>
            </w:pPr>
            <w:r>
              <w:rPr>
                <w:b/>
                <w:bCs/>
              </w:rPr>
              <w:t xml:space="preserve">Annual gross ticket revenue</w:t>
            </w:r>
          </w:p>
        </w:tc>
        <w:tc>
          <w:tcPr/>
          <w:p>
            <w:pPr>
              <w:pStyle w:val="Compact"/>
            </w:pPr>
            <w:r>
              <w:rPr>
                <w:b/>
                <w:bCs/>
              </w:rPr>
              <w:t xml:space="preserve">$8.6M</w:t>
            </w:r>
          </w:p>
        </w:tc>
        <w:tc>
          <w:tcPr/>
          <w:p>
            <w:pPr>
              <w:pStyle w:val="Compact"/>
            </w:pPr>
            <w:r>
              <w:rPr>
                <w:b/>
                <w:bCs/>
              </w:rPr>
              <w:t xml:space="preserve">$11.2M</w:t>
            </w:r>
          </w:p>
        </w:tc>
        <w:tc>
          <w:tcPr/>
          <w:p>
            <w:pPr>
              <w:pStyle w:val="Compact"/>
            </w:pPr>
            <w:r>
              <w:rPr>
                <w:b/>
                <w:bCs/>
              </w:rPr>
              <w:t xml:space="preserve">$14.2M</w:t>
            </w:r>
          </w:p>
        </w:tc>
      </w:tr>
    </w:tbl>
    <w:p>
      <w:pPr>
        <w:pStyle w:val="BodyText"/>
      </w:pPr>
      <w:r>
        <w:rPr>
          <w:b/>
          <w:bCs/>
        </w:rPr>
        <w:t xml:space="preserve">Operating assumptions:</w:t>
      </w:r>
      <w:r>
        <w:t xml:space="preserve"> </w:t>
      </w:r>
      <w:r>
        <w:t xml:space="preserve">- 12 operating hours/day (11 AM – 11 PM)</w:t>
      </w:r>
      <w:r>
        <w:t xml:space="preserve"> </w:t>
      </w:r>
      <w:r>
        <w:t xml:space="preserve">- 30-minute sessions (20 min experience + 10 min turnover)</w:t>
      </w:r>
      <w:r>
        <w:t xml:space="preserve"> </w:t>
      </w:r>
      <w:r>
        <w:t xml:space="preserve">- 2 rooms on staggered 15-minute starts (shared onboarding staff)</w:t>
      </w:r>
      <w:r>
        <w:t xml:space="preserve"> </w:t>
      </w:r>
      <w:r>
        <w:t xml:space="preserve">- 365 days/year (with 10 maintenance days)</w:t>
      </w:r>
    </w:p>
    <w:p>
      <w:pPr>
        <w:pStyle w:val="BodyText"/>
      </w:pPr>
      <w:r>
        <w:rPr>
          <w:b/>
          <w:bCs/>
        </w:rPr>
        <w:t xml:space="preserve">Note on occupancy:</w:t>
      </w:r>
      <w:r>
        <w:t xml:space="preserve"> </w:t>
      </w:r>
      <w:r>
        <w:t xml:space="preserve">With confirmed A-list artists and only 24 slots per session, demand will significantly exceed supply. ABBA Voyage sustains near-capacity after 4 years with motion-captured avatars of a legacy act. vZero launches with living global superstars whose fanbases number in the tens of millions — and we’re offering only ~112,000 tickets per venue per year. 80% occupancy is the conservative baseline; the constraint is supply, not demand. We model 80% to account for operational ramp-up and off-peak hours, but sustained 90%+ is realistic once word-of-mouth builds.</w:t>
      </w:r>
    </w:p>
    <w:bookmarkEnd w:id="11"/>
    <w:bookmarkStart w:id="12" w:name="channel-2-b2b-licensing-vzero-publisher"/>
    <w:p>
      <w:pPr>
        <w:pStyle w:val="Heading3"/>
      </w:pPr>
      <w:r>
        <w:t xml:space="preserve">Channel 2: B2B Licensing (vZero Publisher)</w:t>
      </w:r>
    </w:p>
    <w:p>
      <w:pPr>
        <w:pStyle w:val="FirstParagraph"/>
      </w:pPr>
      <w:r>
        <w:t xml:space="preserve">The Publisher licenses vZero content to third-party LBE operators who have Steam Frame/PCVR infrastructure but not the WFS audio or haptic floor.</w:t>
      </w:r>
    </w:p>
    <w:p>
      <w:pPr>
        <w:pStyle w:val="BodyText"/>
      </w:pPr>
      <w:r>
        <w:rPr>
          <w:b/>
          <w:bCs/>
        </w:rPr>
        <w:t xml:space="preserve">Model:</w:t>
      </w:r>
      <w:r>
        <w:t xml:space="preserve"> </w:t>
      </w:r>
      <w:r>
        <w:t xml:space="preserve">Platform license fee + per-ticket royalty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Year 1</w:t>
            </w:r>
          </w:p>
        </w:tc>
        <w:tc>
          <w:tcPr/>
          <w:p>
            <w:pPr>
              <w:pStyle w:val="Compact"/>
            </w:pPr>
            <w:r>
              <w:t xml:space="preserve">Year 2</w:t>
            </w:r>
          </w:p>
        </w:tc>
        <w:tc>
          <w:tcPr/>
          <w:p>
            <w:pPr>
              <w:pStyle w:val="Compact"/>
            </w:pPr>
            <w:r>
              <w:t xml:space="preserve">Year 3</w:t>
            </w:r>
          </w:p>
        </w:tc>
      </w:tr>
      <w:tr>
        <w:tc>
          <w:tcPr/>
          <w:p>
            <w:pPr>
              <w:pStyle w:val="Compact"/>
            </w:pPr>
            <w:r>
              <w:t xml:space="preserve">Licensed sites</w:t>
            </w:r>
          </w:p>
        </w:tc>
        <w:tc>
          <w:tcPr/>
          <w:p>
            <w:pPr>
              <w:pStyle w:val="Compact"/>
            </w:pPr>
            <w:r>
              <w:t xml:space="preserve">0</w:t>
            </w:r>
          </w:p>
        </w:tc>
        <w:tc>
          <w:tcPr/>
          <w:p>
            <w:pPr>
              <w:pStyle w:val="Compact"/>
            </w:pPr>
            <w:r>
              <w:t xml:space="preserve">30</w:t>
            </w:r>
          </w:p>
        </w:tc>
        <w:tc>
          <w:tcPr/>
          <w:p>
            <w:pPr>
              <w:pStyle w:val="Compact"/>
            </w:pPr>
            <w:r>
              <w:t xml:space="preserve">80</w:t>
            </w:r>
          </w:p>
        </w:tc>
      </w:tr>
      <w:tr>
        <w:tc>
          <w:tcPr/>
          <w:p>
            <w:pPr>
              <w:pStyle w:val="Compact"/>
            </w:pPr>
            <w:r>
              <w:t xml:space="preserve">Avg. tickets/site/year</w:t>
            </w:r>
          </w:p>
        </w:tc>
        <w:tc>
          <w:tcPr/>
          <w:p>
            <w:pPr>
              <w:pStyle w:val="Compact"/>
            </w:pPr>
            <w:r>
              <w:t xml:space="preserve">—</w:t>
            </w:r>
          </w:p>
        </w:tc>
        <w:tc>
          <w:tcPr/>
          <w:p>
            <w:pPr>
              <w:pStyle w:val="Compact"/>
            </w:pPr>
            <w:r>
              <w:t xml:space="preserve">8,000</w:t>
            </w:r>
          </w:p>
        </w:tc>
        <w:tc>
          <w:tcPr/>
          <w:p>
            <w:pPr>
              <w:pStyle w:val="Compact"/>
            </w:pPr>
            <w:r>
              <w:t xml:space="preserve">10,000</w:t>
            </w:r>
          </w:p>
        </w:tc>
      </w:tr>
      <w:tr>
        <w:tc>
          <w:tcPr/>
          <w:p>
            <w:pPr>
              <w:pStyle w:val="Compact"/>
            </w:pPr>
            <w:r>
              <w:t xml:space="preserve">Per-ticket royalty</w:t>
            </w:r>
          </w:p>
        </w:tc>
        <w:tc>
          <w:tcPr/>
          <w:p>
            <w:pPr>
              <w:pStyle w:val="Compact"/>
            </w:pPr>
            <w:r>
              <w:t xml:space="preserve">—</w:t>
            </w:r>
          </w:p>
        </w:tc>
        <w:tc>
          <w:tcPr/>
          <w:p>
            <w:pPr>
              <w:pStyle w:val="Compact"/>
            </w:pPr>
            <w:r>
              <w:t xml:space="preserve">$5.00</w:t>
            </w:r>
          </w:p>
        </w:tc>
        <w:tc>
          <w:tcPr/>
          <w:p>
            <w:pPr>
              <w:pStyle w:val="Compact"/>
            </w:pPr>
            <w:r>
              <w:t xml:space="preserve">$5.00</w:t>
            </w:r>
          </w:p>
        </w:tc>
      </w:tr>
      <w:tr>
        <w:tc>
          <w:tcPr/>
          <w:p>
            <w:pPr>
              <w:pStyle w:val="Compact"/>
            </w:pPr>
            <w:r>
              <w:t xml:space="preserve">Annual platform fee/site</w:t>
            </w:r>
          </w:p>
        </w:tc>
        <w:tc>
          <w:tcPr/>
          <w:p>
            <w:pPr>
              <w:pStyle w:val="Compact"/>
            </w:pPr>
            <w:r>
              <w:t xml:space="preserve">—</w:t>
            </w:r>
          </w:p>
        </w:tc>
        <w:tc>
          <w:tcPr/>
          <w:p>
            <w:pPr>
              <w:pStyle w:val="Compact"/>
            </w:pPr>
            <w:r>
              <w:t xml:space="preserve">$5,000</w:t>
            </w:r>
          </w:p>
        </w:tc>
        <w:tc>
          <w:tcPr/>
          <w:p>
            <w:pPr>
              <w:pStyle w:val="Compact"/>
            </w:pPr>
            <w:r>
              <w:t xml:space="preserve">$5,000</w:t>
            </w:r>
          </w:p>
        </w:tc>
      </w:tr>
      <w:tr>
        <w:tc>
          <w:tcPr/>
          <w:p>
            <w:pPr>
              <w:pStyle w:val="Compact"/>
            </w:pPr>
            <w:r>
              <w:rPr>
                <w:b/>
                <w:bCs/>
              </w:rPr>
              <w:t xml:space="preserve">Annual B2B revenue</w:t>
            </w:r>
          </w:p>
        </w:tc>
        <w:tc>
          <w:tcPr/>
          <w:p>
            <w:pPr>
              <w:pStyle w:val="Compact"/>
            </w:pPr>
            <w:r>
              <w:rPr>
                <w:b/>
                <w:bCs/>
              </w:rPr>
              <w:t xml:space="preserve">$0</w:t>
            </w:r>
          </w:p>
        </w:tc>
        <w:tc>
          <w:tcPr/>
          <w:p>
            <w:pPr>
              <w:pStyle w:val="Compact"/>
            </w:pPr>
            <w:r>
              <w:rPr>
                <w:b/>
                <w:bCs/>
              </w:rPr>
              <w:t xml:space="preserve">$1.35M</w:t>
            </w:r>
          </w:p>
        </w:tc>
        <w:tc>
          <w:tcPr/>
          <w:p>
            <w:pPr>
              <w:pStyle w:val="Compact"/>
            </w:pPr>
            <w:r>
              <w:rPr>
                <w:b/>
                <w:bCs/>
              </w:rPr>
              <w:t xml:space="preserve">$4.4M</w:t>
            </w:r>
          </w:p>
        </w:tc>
      </w:tr>
    </w:tbl>
    <w:p>
      <w:pPr>
        <w:pStyle w:val="BodyText"/>
      </w:pPr>
      <w:r>
        <w:rPr>
          <w:b/>
          <w:bCs/>
        </w:rPr>
        <w:t xml:space="preserve">Why conservative?</w:t>
      </w:r>
      <w:r>
        <w:t xml:space="preserve"> </w:t>
      </w:r>
      <w:r>
        <w:t xml:space="preserve">Third-party LBE operators need to (a) own Steam Frame headsets, (b) have PCVR server infrastructure, and (c) commit to a new content format. Adoption will be gradual. 30 sites by Year 2 is ambitious but achievable if vZero provides a turnkey software solution and the Flagship generates significant press.</w:t>
      </w:r>
    </w:p>
    <w:bookmarkEnd w:id="12"/>
    <w:bookmarkStart w:id="13" w:name="X3cb3fd8feecf0ce05eca60425708c7b26ed9e34"/>
    <w:p>
      <w:pPr>
        <w:pStyle w:val="Heading3"/>
      </w:pPr>
      <w:r>
        <w:t xml:space="preserve">Channel 3: Home B2C (vZero Publisher via Steam Store)</w:t>
      </w:r>
    </w:p>
    <w:p>
      <w:pPr>
        <w:pStyle w:val="FirstParagraph"/>
      </w:pPr>
      <w:r>
        <w:t xml:space="preserve">Individual spectacles sold as digital purchases on the Steam Store.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Year 1</w:t>
            </w:r>
          </w:p>
        </w:tc>
        <w:tc>
          <w:tcPr/>
          <w:p>
            <w:pPr>
              <w:pStyle w:val="Compact"/>
            </w:pPr>
            <w:r>
              <w:t xml:space="preserve">Year 2</w:t>
            </w:r>
          </w:p>
        </w:tc>
        <w:tc>
          <w:tcPr/>
          <w:p>
            <w:pPr>
              <w:pStyle w:val="Compact"/>
            </w:pPr>
            <w:r>
              <w:t xml:space="preserve">Year 3</w:t>
            </w:r>
          </w:p>
        </w:tc>
      </w:tr>
      <w:tr>
        <w:tc>
          <w:tcPr/>
          <w:p>
            <w:pPr>
              <w:pStyle w:val="Compact"/>
            </w:pPr>
            <w:r>
              <w:t xml:space="preserve">Steam Frame installed base (est.)</w:t>
            </w:r>
          </w:p>
        </w:tc>
        <w:tc>
          <w:tcPr/>
          <w:p>
            <w:pPr>
              <w:pStyle w:val="Compact"/>
            </w:pPr>
            <w:r>
              <w:t xml:space="preserve">2M</w:t>
            </w:r>
          </w:p>
        </w:tc>
        <w:tc>
          <w:tcPr/>
          <w:p>
            <w:pPr>
              <w:pStyle w:val="Compact"/>
            </w:pPr>
            <w:r>
              <w:t xml:space="preserve">4M</w:t>
            </w:r>
          </w:p>
        </w:tc>
        <w:tc>
          <w:tcPr/>
          <w:p>
            <w:pPr>
              <w:pStyle w:val="Compact"/>
            </w:pPr>
            <w:r>
              <w:t xml:space="preserve">7M</w:t>
            </w:r>
          </w:p>
        </w:tc>
      </w:tr>
      <w:tr>
        <w:tc>
          <w:tcPr/>
          <w:p>
            <w:pPr>
              <w:pStyle w:val="Compact"/>
            </w:pPr>
            <w:r>
              <w:t xml:space="preserve">vZero conversion rate</w:t>
            </w:r>
          </w:p>
        </w:tc>
        <w:tc>
          <w:tcPr/>
          <w:p>
            <w:pPr>
              <w:pStyle w:val="Compact"/>
            </w:pPr>
            <w:r>
              <w:t xml:space="preserve">1%</w:t>
            </w:r>
          </w:p>
        </w:tc>
        <w:tc>
          <w:tcPr/>
          <w:p>
            <w:pPr>
              <w:pStyle w:val="Compact"/>
            </w:pPr>
            <w:r>
              <w:t xml:space="preserve">2%</w:t>
            </w:r>
          </w:p>
        </w:tc>
        <w:tc>
          <w:tcPr/>
          <w:p>
            <w:pPr>
              <w:pStyle w:val="Compact"/>
            </w:pPr>
            <w:r>
              <w:t xml:space="preserve">3%</w:t>
            </w:r>
          </w:p>
        </w:tc>
      </w:tr>
      <w:tr>
        <w:tc>
          <w:tcPr/>
          <w:p>
            <w:pPr>
              <w:pStyle w:val="Compact"/>
            </w:pPr>
            <w:r>
              <w:t xml:space="preserve">Units sold</w:t>
            </w:r>
          </w:p>
        </w:tc>
        <w:tc>
          <w:tcPr/>
          <w:p>
            <w:pPr>
              <w:pStyle w:val="Compact"/>
            </w:pPr>
            <w:r>
              <w:t xml:space="preserve">20,000</w:t>
            </w:r>
          </w:p>
        </w:tc>
        <w:tc>
          <w:tcPr/>
          <w:p>
            <w:pPr>
              <w:pStyle w:val="Compact"/>
            </w:pPr>
            <w:r>
              <w:t xml:space="preserve">80,000</w:t>
            </w:r>
          </w:p>
        </w:tc>
        <w:tc>
          <w:tcPr/>
          <w:p>
            <w:pPr>
              <w:pStyle w:val="Compact"/>
            </w:pPr>
            <w:r>
              <w:t xml:space="preserve">210,000</w:t>
            </w:r>
          </w:p>
        </w:tc>
      </w:tr>
      <w:tr>
        <w:tc>
          <w:tcPr/>
          <w:p>
            <w:pPr>
              <w:pStyle w:val="Compact"/>
            </w:pPr>
            <w:r>
              <w:t xml:space="preserve">Price per show</w:t>
            </w:r>
          </w:p>
        </w:tc>
        <w:tc>
          <w:tcPr/>
          <w:p>
            <w:pPr>
              <w:pStyle w:val="Compact"/>
            </w:pPr>
            <w:r>
              <w:t xml:space="preserve">$29.99</w:t>
            </w:r>
          </w:p>
        </w:tc>
        <w:tc>
          <w:tcPr/>
          <w:p>
            <w:pPr>
              <w:pStyle w:val="Compact"/>
            </w:pPr>
            <w:r>
              <w:t xml:space="preserve">$29.99</w:t>
            </w:r>
          </w:p>
        </w:tc>
        <w:tc>
          <w:tcPr/>
          <w:p>
            <w:pPr>
              <w:pStyle w:val="Compact"/>
            </w:pPr>
            <w:r>
              <w:t xml:space="preserve">$29.99</w:t>
            </w:r>
          </w:p>
        </w:tc>
      </w:tr>
      <w:tr>
        <w:tc>
          <w:tcPr/>
          <w:p>
            <w:pPr>
              <w:pStyle w:val="Compact"/>
            </w:pPr>
            <w:r>
              <w:rPr>
                <w:b/>
                <w:bCs/>
              </w:rPr>
              <w:t xml:space="preserve">Annual home revenue</w:t>
            </w:r>
          </w:p>
        </w:tc>
        <w:tc>
          <w:tcPr/>
          <w:p>
            <w:pPr>
              <w:pStyle w:val="Compact"/>
            </w:pPr>
            <w:r>
              <w:rPr>
                <w:b/>
                <w:bCs/>
              </w:rPr>
              <w:t xml:space="preserve">$600K</w:t>
            </w:r>
          </w:p>
        </w:tc>
        <w:tc>
          <w:tcPr/>
          <w:p>
            <w:pPr>
              <w:pStyle w:val="Compact"/>
            </w:pPr>
            <w:r>
              <w:rPr>
                <w:b/>
                <w:bCs/>
              </w:rPr>
              <w:t xml:space="preserve">$2.4M</w:t>
            </w:r>
          </w:p>
        </w:tc>
        <w:tc>
          <w:tcPr/>
          <w:p>
            <w:pPr>
              <w:pStyle w:val="Compact"/>
            </w:pPr>
            <w:r>
              <w:rPr>
                <w:b/>
                <w:bCs/>
              </w:rPr>
              <w:t xml:space="preserve">$6.3M</w:t>
            </w:r>
          </w:p>
        </w:tc>
      </w:tr>
    </w:tbl>
    <w:p>
      <w:pPr>
        <w:pStyle w:val="BodyText"/>
      </w:pPr>
      <w:r>
        <w:rPr>
          <w:b/>
          <w:bCs/>
        </w:rPr>
        <w:t xml:space="preserve">Why conservative?</w:t>
      </w:r>
      <w:r>
        <w:t xml:space="preserve"> </w:t>
      </w:r>
      <w:r>
        <w:t xml:space="preserve">For reference, Half-Life: Alyx sold ~2M units on a 2M+ SteamVR installed base, but it was a first-party Valve title with 15 years of franchise equity. A third-party music experience will convert at a lower rate until brand awareness builds. We model conservatively and treat upside as optionality.</w:t>
      </w:r>
    </w:p>
    <w:bookmarkEnd w:id="13"/>
    <w:bookmarkStart w:id="14" w:name="Xe4c0e3acfef94b7acd2eb1b3f1229956327ec5b"/>
    <w:p>
      <w:pPr>
        <w:pStyle w:val="Heading3"/>
      </w:pPr>
      <w:r>
        <w:t xml:space="preserve">Channel 4: Corporate &amp; Premium Events (vZero Retail)</w:t>
      </w:r>
    </w:p>
    <w:p>
      <w:pPr>
        <w:pStyle w:val="FirstParagraph"/>
      </w:pPr>
      <w:r>
        <w:t xml:space="preserve">During off-peak hours (weekday mornings, corporate events), the performance rooms are available for high-margin rentals.</w:t>
      </w:r>
    </w:p>
    <w:tbl>
      <w:tblPr>
        <w:tblStyle w:val="Table"/>
        <w:tblW w:type="pct" w:w="5000"/>
        <w:tblLayout w:type="fixed"/>
        <w:tblLook w:firstRow="1" w:lastRow="0" w:firstColumn="0" w:lastColumn="0" w:noHBand="0" w:noVBand="0" w:val="0020"/>
      </w:tblPr>
      <w:tblGrid>
        <w:gridCol w:w="1841"/>
        <w:gridCol w:w="1289"/>
        <w:gridCol w:w="2026"/>
        <w:gridCol w:w="2762"/>
      </w:tblGrid>
      <w:tr>
        <w:trPr>
          <w:tblHeader w:val="on"/>
        </w:trPr>
        <w:tc>
          <w:tcPr/>
          <w:p>
            <w:pPr>
              <w:pStyle w:val="Compact"/>
            </w:pPr>
            <w:r>
              <w:t xml:space="preserve">Use Case</w:t>
            </w:r>
          </w:p>
        </w:tc>
        <w:tc>
          <w:tcPr/>
          <w:p>
            <w:pPr>
              <w:pStyle w:val="Compact"/>
            </w:pPr>
            <w:r>
              <w:t xml:space="preserve">Price</w:t>
            </w:r>
          </w:p>
        </w:tc>
        <w:tc>
          <w:tcPr/>
          <w:p>
            <w:pPr>
              <w:pStyle w:val="Compact"/>
            </w:pPr>
            <w:r>
              <w:t xml:space="preserve">Frequency</w:t>
            </w:r>
          </w:p>
        </w:tc>
        <w:tc>
          <w:tcPr/>
          <w:p>
            <w:pPr>
              <w:pStyle w:val="Compact"/>
            </w:pPr>
            <w:r>
              <w:t xml:space="preserve">Annual Revenue</w:t>
            </w:r>
          </w:p>
        </w:tc>
      </w:tr>
      <w:tr>
        <w:tc>
          <w:tcPr/>
          <w:p>
            <w:pPr>
              <w:pStyle w:val="Compact"/>
            </w:pPr>
            <w:r>
              <w:t xml:space="preserve">Corporate keynote / product launch</w:t>
            </w:r>
          </w:p>
        </w:tc>
        <w:tc>
          <w:tcPr/>
          <w:p>
            <w:pPr>
              <w:pStyle w:val="Compact"/>
            </w:pPr>
            <w:r>
              <w:t xml:space="preserve">$25,000–$50,000/day</w:t>
            </w:r>
          </w:p>
        </w:tc>
        <w:tc>
          <w:tcPr/>
          <w:p>
            <w:pPr>
              <w:pStyle w:val="Compact"/>
            </w:pPr>
            <w:r>
              <w:t xml:space="preserve">2x/month</w:t>
            </w:r>
          </w:p>
        </w:tc>
        <w:tc>
          <w:tcPr/>
          <w:p>
            <w:pPr>
              <w:pStyle w:val="Compact"/>
            </w:pPr>
            <w:r>
              <w:t xml:space="preserve">$600K–$1.2M</w:t>
            </w:r>
          </w:p>
        </w:tc>
      </w:tr>
      <w:tr>
        <w:tc>
          <w:tcPr/>
          <w:p>
            <w:pPr>
              <w:pStyle w:val="Compact"/>
            </w:pPr>
            <w:r>
              <w:t xml:space="preserve">VIP private sessions (4-person, $250/ticket)</w:t>
            </w:r>
          </w:p>
        </w:tc>
        <w:tc>
          <w:tcPr/>
          <w:p>
            <w:pPr>
              <w:pStyle w:val="Compact"/>
            </w:pPr>
            <w:r>
              <w:t xml:space="preserve">$1,000/session</w:t>
            </w:r>
          </w:p>
        </w:tc>
        <w:tc>
          <w:tcPr/>
          <w:p>
            <w:pPr>
              <w:pStyle w:val="Compact"/>
            </w:pPr>
            <w:r>
              <w:t xml:space="preserve">4x/week</w:t>
            </w:r>
          </w:p>
        </w:tc>
        <w:tc>
          <w:tcPr/>
          <w:p>
            <w:pPr>
              <w:pStyle w:val="Compact"/>
            </w:pPr>
            <w:r>
              <w:t xml:space="preserve">$200K</w:t>
            </w:r>
          </w:p>
        </w:tc>
      </w:tr>
      <w:tr>
        <w:tc>
          <w:tcPr/>
          <w:p>
            <w:pPr>
              <w:pStyle w:val="Compact"/>
            </w:pPr>
            <w:r>
              <w:t xml:space="preserve">Wellness/meditation (off-peak, $40/ticket)</w:t>
            </w:r>
          </w:p>
        </w:tc>
        <w:tc>
          <w:tcPr/>
          <w:p>
            <w:pPr>
              <w:pStyle w:val="Compact"/>
            </w:pPr>
            <w:r>
              <w:t xml:space="preserve">$480/session</w:t>
            </w:r>
          </w:p>
        </w:tc>
        <w:tc>
          <w:tcPr/>
          <w:p>
            <w:pPr>
              <w:pStyle w:val="Compact"/>
            </w:pPr>
            <w:r>
              <w:t xml:space="preserve">5x/week</w:t>
            </w:r>
          </w:p>
        </w:tc>
        <w:tc>
          <w:tcPr/>
          <w:p>
            <w:pPr>
              <w:pStyle w:val="Compact"/>
            </w:pPr>
            <w:r>
              <w:t xml:space="preserve">$125K</w:t>
            </w:r>
          </w:p>
        </w:tc>
      </w:tr>
      <w:tr>
        <w:tc>
          <w:tcPr/>
          <w:p>
            <w:pPr>
              <w:pStyle w:val="Compact"/>
            </w:pPr>
            <w:r>
              <w:rPr>
                <w:b/>
                <w:bCs/>
              </w:rPr>
              <w:t xml:space="preserve">Total ancillary</w:t>
            </w:r>
          </w:p>
        </w:tc>
        <w:tc>
          <w:tcPr/>
          <w:p>
            <w:pPr>
              <w:pStyle w:val="Compact"/>
            </w:pPr>
          </w:p>
        </w:tc>
        <w:tc>
          <w:tcPr/>
          <w:p>
            <w:pPr>
              <w:pStyle w:val="Compact"/>
            </w:pPr>
          </w:p>
        </w:tc>
        <w:tc>
          <w:tcPr/>
          <w:p>
            <w:pPr>
              <w:pStyle w:val="Compact"/>
            </w:pPr>
            <w:r>
              <w:rPr>
                <w:b/>
                <w:bCs/>
              </w:rPr>
              <w:t xml:space="preserve">$925K–$1.5M</w:t>
            </w:r>
          </w:p>
        </w:tc>
      </w:tr>
    </w:tbl>
    <w:p>
      <w:r>
        <w:pict>
          <v:rect style="width:0;height:1.5pt" o:hralign="center" o:hrstd="t" o:hr="t"/>
        </w:pict>
      </w:r>
    </w:p>
    <w:bookmarkEnd w:id="14"/>
    <w:bookmarkEnd w:id="15"/>
    <w:bookmarkStart w:id="21" w:name="iii.-the-content-strategy-the-pyramid"/>
    <w:p>
      <w:pPr>
        <w:pStyle w:val="Heading2"/>
      </w:pPr>
      <w:r>
        <w:t xml:space="preserve">III. The Content Strategy: The Pyramid</w:t>
      </w:r>
    </w:p>
    <w:p>
      <w:pPr>
        <w:pStyle w:val="FirstParagraph"/>
      </w:pPr>
      <w:r>
        <w:t xml:space="preserve">vZero’s content operates on three tiers, each serving a distinct strategic function. Together, they create both the tentpole events that drive sign-ups and the persistent content flow that prevents churn.</w:t>
      </w:r>
    </w:p>
    <w:bookmarkStart w:id="16" w:name="X663f83b1a061625d76954b3ef1c0083ab863a8b"/>
    <w:p>
      <w:pPr>
        <w:pStyle w:val="Heading3"/>
      </w:pPr>
      <w:r>
        <w:t xml:space="preserve">Tier 1: AAA Spectacles (2 per year, $10M each)</w:t>
      </w:r>
    </w:p>
    <w:p>
      <w:pPr>
        <w:pStyle w:val="FirstParagraph"/>
      </w:pPr>
      <w:r>
        <w:t xml:space="preserve">Full interactive volumetric experiences with game mechanics, WFS spatial audio, and 20+ minutes of runtime. These are the flagship productions — the reason someone subscribes.</w:t>
      </w:r>
    </w:p>
    <w:tbl>
      <w:tblPr>
        <w:tblStyle w:val="Table"/>
        <w:tblW w:type="pct" w:w="5000"/>
        <w:tblLayout w:type="fixed"/>
        <w:tblLook w:firstRow="1" w:lastRow="0" w:firstColumn="0" w:lastColumn="0" w:noHBand="0" w:noVBand="0" w:val="0020"/>
      </w:tblPr>
      <w:tblGrid>
        <w:gridCol w:w="3300"/>
        <w:gridCol w:w="1980"/>
        <w:gridCol w:w="2640"/>
      </w:tblGrid>
      <w:tr>
        <w:trPr>
          <w:tblHeader w:val="on"/>
        </w:trPr>
        <w:tc>
          <w:tcPr/>
          <w:p>
            <w:pPr>
              <w:pStyle w:val="Compact"/>
            </w:pPr>
            <w:r>
              <w:t xml:space="preserve">Category</w:t>
            </w:r>
          </w:p>
        </w:tc>
        <w:tc>
          <w:tcPr/>
          <w:p>
            <w:pPr>
              <w:pStyle w:val="Compact"/>
            </w:pPr>
            <w:r>
              <w:t xml:space="preserve">Cost</w:t>
            </w:r>
          </w:p>
        </w:tc>
        <w:tc>
          <w:tcPr/>
          <w:p>
            <w:pPr>
              <w:pStyle w:val="Compact"/>
            </w:pPr>
            <w:r>
              <w:t xml:space="preserve">Detail</w:t>
            </w:r>
          </w:p>
        </w:tc>
      </w:tr>
      <w:tr>
        <w:tc>
          <w:tcPr/>
          <w:p>
            <w:pPr>
              <w:pStyle w:val="Compact"/>
            </w:pPr>
            <w:r>
              <w:rPr>
                <w:b/>
                <w:bCs/>
              </w:rPr>
              <w:t xml:space="preserve">Artist advance</w:t>
            </w:r>
          </w:p>
        </w:tc>
        <w:tc>
          <w:tcPr/>
          <w:p>
            <w:pPr>
              <w:pStyle w:val="Compact"/>
            </w:pPr>
            <w:r>
              <w:t xml:space="preserve">$4M–$6M</w:t>
            </w:r>
          </w:p>
        </w:tc>
        <w:tc>
          <w:tcPr/>
          <w:p>
            <w:pPr>
              <w:pStyle w:val="Compact"/>
            </w:pPr>
            <w:r>
              <w:t xml:space="preserve">Recoupable against royalties. For a Tier-1 artist, this is below a standard Vegas residency advance ($10M+) because vZero offers global distribution — the artist earns on every venue, every licensed site, and every home sale.</w:t>
            </w:r>
          </w:p>
        </w:tc>
      </w:tr>
      <w:tr>
        <w:tc>
          <w:tcPr/>
          <w:p>
            <w:pPr>
              <w:pStyle w:val="Compact"/>
            </w:pPr>
            <w:r>
              <w:rPr>
                <w:b/>
                <w:bCs/>
              </w:rPr>
              <w:t xml:space="preserve">Volumetric capture</w:t>
            </w:r>
          </w:p>
        </w:tc>
        <w:tc>
          <w:tcPr/>
          <w:p>
            <w:pPr>
              <w:pStyle w:val="Compact"/>
            </w:pPr>
            <w:r>
              <w:t xml:space="preserve">$1.5M–$2M</w:t>
            </w:r>
          </w:p>
        </w:tc>
        <w:tc>
          <w:tcPr/>
          <w:p>
            <w:pPr>
              <w:pStyle w:val="Compact"/>
            </w:pPr>
            <w:r>
              <w:t xml:space="preserve">Studio lease (4DViews or Metastage), camera crew, lighting design, 3–4 months of capture sessions</w:t>
            </w:r>
          </w:p>
        </w:tc>
      </w:tr>
      <w:tr>
        <w:tc>
          <w:tcPr/>
          <w:p>
            <w:pPr>
              <w:pStyle w:val="Compact"/>
            </w:pPr>
            <w:r>
              <w:rPr>
                <w:b/>
                <w:bCs/>
              </w:rPr>
              <w:t xml:space="preserve">4DGS processing</w:t>
            </w:r>
          </w:p>
        </w:tc>
        <w:tc>
          <w:tcPr/>
          <w:p>
            <w:pPr>
              <w:pStyle w:val="Compact"/>
            </w:pPr>
            <w:r>
              <w:t xml:space="preserve">$500K–$800K</w:t>
            </w:r>
          </w:p>
        </w:tc>
        <w:tc>
          <w:tcPr/>
          <w:p>
            <w:pPr>
              <w:pStyle w:val="Compact"/>
            </w:pPr>
            <w:r>
              <w:t xml:space="preserve">Compute costs for multi-month processing pipeline, quality iteration, engineering time</w:t>
            </w:r>
          </w:p>
        </w:tc>
      </w:tr>
      <w:tr>
        <w:tc>
          <w:tcPr/>
          <w:p>
            <w:pPr>
              <w:pStyle w:val="Compact"/>
            </w:pPr>
            <w:r>
              <w:rPr>
                <w:b/>
                <w:bCs/>
              </w:rPr>
              <w:t xml:space="preserve">Interactive layer</w:t>
            </w:r>
          </w:p>
        </w:tc>
        <w:tc>
          <w:tcPr/>
          <w:p>
            <w:pPr>
              <w:pStyle w:val="Compact"/>
            </w:pPr>
            <w:r>
              <w:t xml:space="preserve">$800K–$1.2M</w:t>
            </w:r>
          </w:p>
        </w:tc>
        <w:tc>
          <w:tcPr/>
          <w:p>
            <w:pPr>
              <w:pStyle w:val="Compact"/>
            </w:pPr>
            <w:r>
              <w:t xml:space="preserve">Game design, Unreal/Unity development, playtesting</w:t>
            </w:r>
          </w:p>
        </w:tc>
      </w:tr>
      <w:tr>
        <w:tc>
          <w:tcPr/>
          <w:p>
            <w:pPr>
              <w:pStyle w:val="Compact"/>
            </w:pPr>
            <w:r>
              <w:rPr>
                <w:b/>
                <w:bCs/>
              </w:rPr>
              <w:t xml:space="preserve">Spatial audio mix</w:t>
            </w:r>
          </w:p>
        </w:tc>
        <w:tc>
          <w:tcPr/>
          <w:p>
            <w:pPr>
              <w:pStyle w:val="Compact"/>
            </w:pPr>
            <w:r>
              <w:t xml:space="preserve">$400K–$600K</w:t>
            </w:r>
          </w:p>
        </w:tc>
        <w:tc>
          <w:tcPr/>
          <w:p>
            <w:pPr>
              <w:pStyle w:val="Compact"/>
            </w:pPr>
            <w:r>
              <w:t xml:space="preserve">WFS authoring, ambisonic decomposition, haptic score</w:t>
            </w:r>
          </w:p>
        </w:tc>
      </w:tr>
      <w:tr>
        <w:tc>
          <w:tcPr/>
          <w:p>
            <w:pPr>
              <w:pStyle w:val="Compact"/>
            </w:pPr>
            <w:r>
              <w:rPr>
                <w:b/>
                <w:bCs/>
              </w:rPr>
              <w:t xml:space="preserve">Legal &amp; licensing</w:t>
            </w:r>
          </w:p>
        </w:tc>
        <w:tc>
          <w:tcPr/>
          <w:p>
            <w:pPr>
              <w:pStyle w:val="Compact"/>
            </w:pPr>
            <w:r>
              <w:t xml:space="preserve">$300K–$500K</w:t>
            </w:r>
          </w:p>
        </w:tc>
        <w:tc>
          <w:tcPr/>
          <w:p>
            <w:pPr>
              <w:pStyle w:val="Compact"/>
            </w:pPr>
            <w:r>
              <w:t xml:space="preserve">Grand Rights clearance, mechanical/sync licensing, contract negotiation</w:t>
            </w:r>
          </w:p>
        </w:tc>
      </w:tr>
      <w:tr>
        <w:tc>
          <w:tcPr/>
          <w:p>
            <w:pPr>
              <w:pStyle w:val="Compact"/>
            </w:pPr>
            <w:r>
              <w:rPr>
                <w:b/>
                <w:bCs/>
              </w:rPr>
              <w:t xml:space="preserve">Contingency (10%)</w:t>
            </w:r>
          </w:p>
        </w:tc>
        <w:tc>
          <w:tcPr/>
          <w:p>
            <w:pPr>
              <w:pStyle w:val="Compact"/>
            </w:pPr>
            <w:r>
              <w:t xml:space="preserve">$1M</w:t>
            </w:r>
          </w:p>
        </w:tc>
        <w:tc>
          <w:tcPr/>
          <w:p>
            <w:pPr>
              <w:pStyle w:val="Compact"/>
            </w:pPr>
            <w:r>
              <w:t xml:space="preserve">First show will exceed budget. This is expected.</w:t>
            </w:r>
          </w:p>
        </w:tc>
      </w:tr>
      <w:tr>
        <w:tc>
          <w:tcPr/>
          <w:p>
            <w:pPr>
              <w:pStyle w:val="Compact"/>
            </w:pPr>
            <w:r>
              <w:rPr>
                <w:b/>
                <w:bCs/>
              </w:rPr>
              <w:t xml:space="preserve">Total</w:t>
            </w:r>
          </w:p>
        </w:tc>
        <w:tc>
          <w:tcPr/>
          <w:p>
            <w:pPr>
              <w:pStyle w:val="Compact"/>
            </w:pPr>
            <w:r>
              <w:rPr>
                <w:b/>
                <w:bCs/>
              </w:rPr>
              <w:t xml:space="preserve">$9M–$12M</w:t>
            </w:r>
          </w:p>
        </w:tc>
        <w:tc>
          <w:tcPr/>
          <w:p>
            <w:pPr>
              <w:pStyle w:val="Compact"/>
            </w:pPr>
            <w:r>
              <w:t xml:space="preserve">Rounded to $10M for modeling</w:t>
            </w:r>
          </w:p>
        </w:tc>
      </w:tr>
    </w:tbl>
    <w:bookmarkEnd w:id="16"/>
    <w:bookmarkStart w:id="17" w:name="Xe04262bbdb2d3dca615a972cc633b2970ecbcda"/>
    <w:p>
      <w:pPr>
        <w:pStyle w:val="Heading3"/>
      </w:pPr>
      <w:r>
        <w:t xml:space="preserve">Tier 2: Weekly Sessions (~50 per year, $50K–$100K each)</w:t>
      </w:r>
    </w:p>
    <w:p>
      <w:pPr>
        <w:pStyle w:val="FirstParagraph"/>
      </w:pPr>
      <w:r>
        <w:t xml:space="preserve">Intimate 10-minute performances captured at the permanent vZero studio at Miraval. No interactive layer, no game mechanics — pure Neural Presence. An artist performs, and the subscriber stands in the room with them.</w:t>
      </w:r>
    </w:p>
    <w:p>
      <w:pPr>
        <w:pStyle w:val="BodyText"/>
      </w:pPr>
      <w:r>
        <w:rPr>
          <w:b/>
          <w:bCs/>
        </w:rPr>
        <w:t xml:space="preserve">The Studio Residency model:</w:t>
      </w:r>
      <w:r>
        <w:t xml:space="preserve"> </w:t>
      </w:r>
      <w:r>
        <w:t xml:space="preserve">vZero establishes a permanent 4DGS capture rig at a prestige location — a place with inherent artistic gravity, world-class acoustics, and visual beauty. Artists come to the studio, not the other way around. The setting itself is part of the content.</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t xml:space="preserve">Item</w:t>
            </w:r>
          </w:p>
        </w:tc>
        <w:tc>
          <w:tcPr/>
          <w:p>
            <w:pPr>
              <w:pStyle w:val="Compact"/>
            </w:pPr>
            <w:r>
              <w:t xml:space="preserve">Cost</w:t>
            </w:r>
          </w:p>
        </w:tc>
        <w:tc>
          <w:tcPr/>
          <w:p>
            <w:pPr>
              <w:pStyle w:val="Compact"/>
            </w:pPr>
            <w:r>
              <w:t xml:space="preserve">Notes</w:t>
            </w:r>
          </w:p>
        </w:tc>
      </w:tr>
      <w:tr>
        <w:tc>
          <w:tcPr/>
          <w:p>
            <w:pPr>
              <w:pStyle w:val="Compact"/>
            </w:pPr>
            <w:r>
              <w:rPr>
                <w:b/>
                <w:bCs/>
              </w:rPr>
              <w:t xml:space="preserve">Studio build-out (one-time)</w:t>
            </w:r>
          </w:p>
        </w:tc>
        <w:tc>
          <w:tcPr/>
          <w:p>
            <w:pPr>
              <w:pStyle w:val="Compact"/>
            </w:pPr>
            <w:r>
              <w:t xml:space="preserve">$2M–$3M</w:t>
            </w:r>
          </w:p>
        </w:tc>
        <w:tc>
          <w:tcPr/>
          <w:p>
            <w:pPr>
              <w:pStyle w:val="Compact"/>
            </w:pPr>
            <w:r>
              <w:t xml:space="preserve">Permanent 64-camera rig, lighting, ambisonic array, facility lease</w:t>
            </w:r>
          </w:p>
        </w:tc>
      </w:tr>
      <w:tr>
        <w:tc>
          <w:tcPr/>
          <w:p>
            <w:pPr>
              <w:pStyle w:val="Compact"/>
            </w:pPr>
            <w:r>
              <w:rPr>
                <w:b/>
                <w:bCs/>
              </w:rPr>
              <w:t xml:space="preserve">Per-session production</w:t>
            </w:r>
          </w:p>
        </w:tc>
        <w:tc>
          <w:tcPr/>
          <w:p>
            <w:pPr>
              <w:pStyle w:val="Compact"/>
            </w:pPr>
            <w:r>
              <w:t xml:space="preserve">$20K–$40K</w:t>
            </w:r>
          </w:p>
        </w:tc>
        <w:tc>
          <w:tcPr/>
          <w:p>
            <w:pPr>
              <w:pStyle w:val="Compact"/>
            </w:pPr>
            <w:r>
              <w:t xml:space="preserve">Small crew (5–8 people), single-day capture, streamlined processing</w:t>
            </w:r>
          </w:p>
        </w:tc>
      </w:tr>
      <w:tr>
        <w:tc>
          <w:tcPr/>
          <w:p>
            <w:pPr>
              <w:pStyle w:val="Compact"/>
            </w:pPr>
            <w:r>
              <w:rPr>
                <w:b/>
                <w:bCs/>
              </w:rPr>
              <w:t xml:space="preserve">Artist fee per session</w:t>
            </w:r>
          </w:p>
        </w:tc>
        <w:tc>
          <w:tcPr/>
          <w:p>
            <w:pPr>
              <w:pStyle w:val="Compact"/>
            </w:pPr>
            <w:r>
              <w:t xml:space="preserve">$10K–$50K</w:t>
            </w:r>
          </w:p>
        </w:tc>
        <w:tc>
          <w:tcPr/>
          <w:p>
            <w:pPr>
              <w:pStyle w:val="Compact"/>
            </w:pPr>
            <w:r>
              <w:t xml:space="preserve">Wide range: emerging artists for exposure, mid-tier for fee, occasional A-list as prestige drops</w:t>
            </w:r>
          </w:p>
        </w:tc>
      </w:tr>
      <w:tr>
        <w:tc>
          <w:tcPr/>
          <w:p>
            <w:pPr>
              <w:pStyle w:val="Compact"/>
            </w:pPr>
            <w:r>
              <w:rPr>
                <w:b/>
                <w:bCs/>
              </w:rPr>
              <w:t xml:space="preserve">Annual operating cost</w:t>
            </w:r>
          </w:p>
        </w:tc>
        <w:tc>
          <w:tcPr/>
          <w:p>
            <w:pPr>
              <w:pStyle w:val="Compact"/>
            </w:pPr>
            <w:r>
              <w:t xml:space="preserve">$2.5M–$5M</w:t>
            </w:r>
          </w:p>
        </w:tc>
        <w:tc>
          <w:tcPr/>
          <w:p>
            <w:pPr>
              <w:pStyle w:val="Compact"/>
            </w:pPr>
            <w:r>
              <w:t xml:space="preserve">50 sessions/year at $50K–$100K average all-in</w:t>
            </w:r>
          </w:p>
        </w:tc>
      </w:tr>
    </w:tbl>
    <w:p>
      <w:pPr>
        <w:pStyle w:val="BodyText"/>
      </w:pPr>
      <w:r>
        <w:rPr>
          <w:b/>
          <w:bCs/>
        </w:rPr>
        <w:t xml:space="preserve">Why artists participate:</w:t>
      </w:r>
      <w:r>
        <w:t xml:space="preserve"> </w:t>
      </w:r>
      <w:r>
        <w:t xml:space="preserve">The Weekly Sessions become a cultural brand — the volumetric equivalent of</w:t>
      </w:r>
      <w:r>
        <w:t xml:space="preserve"> </w:t>
      </w:r>
      <w:r>
        <w:t xml:space="preserve">“MTV Unplugged”</w:t>
      </w:r>
      <w:r>
        <w:t xml:space="preserve"> </w:t>
      </w:r>
      <w:r>
        <w:t xml:space="preserve">or</w:t>
      </w:r>
      <w:r>
        <w:t xml:space="preserve"> </w:t>
      </w:r>
      <w:r>
        <w:t xml:space="preserve">“Tiny Desk Concerts.”</w:t>
      </w:r>
      <w:r>
        <w:t xml:space="preserve"> </w:t>
      </w:r>
      <w:r>
        <w:t xml:space="preserve">Mid-tier and emerging artists gain exposure to the entire Neural Pass subscriber base. A-list artists participate occasionally as prestige events (analogous to a Zane Lowe interview or a COLORS session).</w:t>
      </w:r>
    </w:p>
    <w:bookmarkEnd w:id="17"/>
    <w:bookmarkStart w:id="18" w:name="tier-3-sports-weekly-from-year-3"/>
    <w:p>
      <w:pPr>
        <w:pStyle w:val="Heading3"/>
      </w:pPr>
      <w:r>
        <w:t xml:space="preserve">Tier 3: Sports (Weekly+, from Year 3)</w:t>
      </w:r>
    </w:p>
    <w:p>
      <w:pPr>
        <w:pStyle w:val="FirstParagraph"/>
      </w:pPr>
      <w:r>
        <w:t xml:space="preserve">Volumetric capture of live sporting events, delivering the experience of standing courtside, pitch-side, or trackside.</w:t>
      </w:r>
    </w:p>
    <w:p>
      <w:pPr>
        <w:pStyle w:val="BodyText"/>
      </w:pPr>
      <w:r>
        <w:rPr>
          <w:b/>
          <w:bCs/>
        </w:rPr>
        <w:t xml:space="preserve">Why sports is the mass-market unlock:</w:t>
      </w:r>
      <w:r>
        <w:t xml:space="preserve"> </w:t>
      </w:r>
      <w:r>
        <w:t xml:space="preserve">Music alone can drive 1–2 million subscribers. Sports transforms the addressable market entirely. There are 3.5 billion football fans globally, 2 billion+ NBA fans, 1 billion tennis fans. Weekly sports content provides the cadence that keeps subscribers engaged between AAA music drops.</w:t>
      </w:r>
    </w:p>
    <w:p>
      <w:pPr>
        <w:pStyle w:val="BodyText"/>
      </w:pPr>
      <w:r>
        <w:rPr>
          <w:b/>
          <w:bCs/>
        </w:rPr>
        <w:t xml:space="preserve">Entry point: individual sports.</w:t>
      </w:r>
      <w:r>
        <w:t xml:space="preserve"> </w:t>
      </w:r>
      <w:r>
        <w:t xml:space="preserve">Volumetric capture of a full football pitch (22 players, 100m field) requires camera arrays at a scale beyond Year 3 capability. Individual sports — tennis, boxing, MMA, gymnastics — require capturing 1–2 athletes in a contained volume. This is achievable with portable 4DGS rigs by Year 3.</w:t>
      </w:r>
    </w:p>
    <w:tbl>
      <w:tblPr>
        <w:tblStyle w:val="Table"/>
        <w:tblW w:type="pct" w:w="5000"/>
        <w:tblLayout w:type="fixed"/>
        <w:tblLook w:firstRow="1" w:lastRow="0" w:firstColumn="0" w:lastColumn="0" w:noHBand="0" w:noVBand="0" w:val="0020"/>
      </w:tblPr>
      <w:tblGrid>
        <w:gridCol w:w="990"/>
        <w:gridCol w:w="2828"/>
        <w:gridCol w:w="1414"/>
        <w:gridCol w:w="2687"/>
      </w:tblGrid>
      <w:tr>
        <w:trPr>
          <w:tblHeader w:val="on"/>
        </w:trPr>
        <w:tc>
          <w:tcPr/>
          <w:p>
            <w:pPr>
              <w:pStyle w:val="Compact"/>
            </w:pPr>
            <w:r>
              <w:t xml:space="preserve">Sport</w:t>
            </w:r>
          </w:p>
        </w:tc>
        <w:tc>
          <w:tcPr/>
          <w:p>
            <w:pPr>
              <w:pStyle w:val="Compact"/>
            </w:pPr>
            <w:r>
              <w:t xml:space="preserve">Capture Complexity</w:t>
            </w:r>
          </w:p>
        </w:tc>
        <w:tc>
          <w:tcPr/>
          <w:p>
            <w:pPr>
              <w:pStyle w:val="Compact"/>
            </w:pPr>
            <w:r>
              <w:t xml:space="preserve">Audience</w:t>
            </w:r>
          </w:p>
        </w:tc>
        <w:tc>
          <w:tcPr/>
          <w:p>
            <w:pPr>
              <w:pStyle w:val="Compact"/>
            </w:pPr>
            <w:r>
              <w:t xml:space="preserve">Entry Feasibility</w:t>
            </w:r>
          </w:p>
        </w:tc>
      </w:tr>
      <w:tr>
        <w:tc>
          <w:tcPr/>
          <w:p>
            <w:pPr>
              <w:pStyle w:val="Compact"/>
            </w:pPr>
            <w:r>
              <w:rPr>
                <w:b/>
                <w:bCs/>
              </w:rPr>
              <w:t xml:space="preserve">Tennis</w:t>
            </w:r>
          </w:p>
        </w:tc>
        <w:tc>
          <w:tcPr/>
          <w:p>
            <w:pPr>
              <w:pStyle w:val="Compact"/>
            </w:pPr>
            <w:r>
              <w:t xml:space="preserve">Low (1–2 players, contained court)</w:t>
            </w:r>
          </w:p>
        </w:tc>
        <w:tc>
          <w:tcPr/>
          <w:p>
            <w:pPr>
              <w:pStyle w:val="Compact"/>
            </w:pPr>
            <w:r>
              <w:t xml:space="preserve">1B+ global fans, premium demographics</w:t>
            </w:r>
          </w:p>
        </w:tc>
        <w:tc>
          <w:tcPr/>
          <w:p>
            <w:pPr>
              <w:pStyle w:val="Compact"/>
            </w:pPr>
            <w:r>
              <w:t xml:space="preserve">Year 3</w:t>
            </w:r>
          </w:p>
        </w:tc>
      </w:tr>
      <w:tr>
        <w:tc>
          <w:tcPr/>
          <w:p>
            <w:pPr>
              <w:pStyle w:val="Compact"/>
            </w:pPr>
            <w:r>
              <w:rPr>
                <w:b/>
                <w:bCs/>
              </w:rPr>
              <w:t xml:space="preserve">Boxing / MMA</w:t>
            </w:r>
          </w:p>
        </w:tc>
        <w:tc>
          <w:tcPr/>
          <w:p>
            <w:pPr>
              <w:pStyle w:val="Compact"/>
            </w:pPr>
            <w:r>
              <w:t xml:space="preserve">Low (2 athletes, small ring)</w:t>
            </w:r>
          </w:p>
        </w:tc>
        <w:tc>
          <w:tcPr/>
          <w:p>
            <w:pPr>
              <w:pStyle w:val="Compact"/>
            </w:pPr>
            <w:r>
              <w:t xml:space="preserve">500M+ fans, high engagement per event</w:t>
            </w:r>
          </w:p>
        </w:tc>
        <w:tc>
          <w:tcPr/>
          <w:p>
            <w:pPr>
              <w:pStyle w:val="Compact"/>
            </w:pPr>
            <w:r>
              <w:t xml:space="preserve">Year 3</w:t>
            </w:r>
          </w:p>
        </w:tc>
      </w:tr>
      <w:tr>
        <w:tc>
          <w:tcPr/>
          <w:p>
            <w:pPr>
              <w:pStyle w:val="Compact"/>
            </w:pPr>
            <w:r>
              <w:rPr>
                <w:b/>
                <w:bCs/>
              </w:rPr>
              <w:t xml:space="preserve">Basketball (NBA)</w:t>
            </w:r>
          </w:p>
        </w:tc>
        <w:tc>
          <w:tcPr/>
          <w:p>
            <w:pPr>
              <w:pStyle w:val="Compact"/>
            </w:pPr>
            <w:r>
              <w:t xml:space="preserve">Medium (10 players, half-court focus)</w:t>
            </w:r>
          </w:p>
        </w:tc>
        <w:tc>
          <w:tcPr/>
          <w:p>
            <w:pPr>
              <w:pStyle w:val="Compact"/>
            </w:pPr>
            <w:r>
              <w:t xml:space="preserve">2B+ fans, massive US market</w:t>
            </w:r>
          </w:p>
        </w:tc>
        <w:tc>
          <w:tcPr/>
          <w:p>
            <w:pPr>
              <w:pStyle w:val="Compact"/>
            </w:pPr>
            <w:r>
              <w:t xml:space="preserve">Year 4</w:t>
            </w:r>
          </w:p>
        </w:tc>
      </w:tr>
      <w:tr>
        <w:tc>
          <w:tcPr/>
          <w:p>
            <w:pPr>
              <w:pStyle w:val="Compact"/>
            </w:pPr>
            <w:r>
              <w:rPr>
                <w:b/>
                <w:bCs/>
              </w:rPr>
              <w:t xml:space="preserve">Football (Premier League)</w:t>
            </w:r>
          </w:p>
        </w:tc>
        <w:tc>
          <w:tcPr/>
          <w:p>
            <w:pPr>
              <w:pStyle w:val="Compact"/>
            </w:pPr>
            <w:r>
              <w:t xml:space="preserve">High (22 players, large pitch)</w:t>
            </w:r>
          </w:p>
        </w:tc>
        <w:tc>
          <w:tcPr/>
          <w:p>
            <w:pPr>
              <w:pStyle w:val="Compact"/>
            </w:pPr>
            <w:r>
              <w:t xml:space="preserve">3.5B fans, largest global sport</w:t>
            </w:r>
          </w:p>
        </w:tc>
        <w:tc>
          <w:tcPr/>
          <w:p>
            <w:pPr>
              <w:pStyle w:val="Compact"/>
            </w:pPr>
            <w:r>
              <w:t xml:space="preserve">Year 5+</w:t>
            </w:r>
          </w:p>
        </w:tc>
      </w:tr>
    </w:tbl>
    <w:p>
      <w:pPr>
        <w:pStyle w:val="BodyText"/>
      </w:pPr>
      <w:r>
        <w:rPr>
          <w:b/>
          <w:bCs/>
        </w:rPr>
        <w:t xml:space="preserve">Sports content model:</w:t>
      </w:r>
      <w:r>
        <w:t xml:space="preserve"> </w:t>
      </w:r>
      <w:r>
        <w:t xml:space="preserve">vZero negotiates</w:t>
      </w:r>
      <w:r>
        <w:t xml:space="preserve"> </w:t>
      </w:r>
      <w:r>
        <w:t xml:space="preserve">“Volumetric Digital Rights”</w:t>
      </w:r>
      <w:r>
        <w:t xml:space="preserve"> </w:t>
      </w:r>
      <w:r>
        <w:t xml:space="preserve">— a new rights category distinct from broadcast, streaming, or in-venue. One match per week in partnership with a league or federation. The subscriber stands courtside or pitch-side and watches the match unfold around them in 6DOF.</w:t>
      </w:r>
    </w:p>
    <w:p>
      <w:pPr>
        <w:pStyle w:val="BodyText"/>
      </w:pPr>
      <w:r>
        <w:rPr>
          <w:b/>
          <w:bCs/>
        </w:rPr>
        <w:t xml:space="preserve">Sports rights cost:</w:t>
      </w:r>
      <w:r>
        <w:t xml:space="preserve"> </w:t>
      </w:r>
      <w:r>
        <w:t xml:space="preserve">Highly variable. A pilot partnership with a tennis federation or boxing promotion for a single event per week could start at $2M–$5M/year. Premium league deals (NBA, Premier League) at scale would be $10M–$30M/year — significant, but a fraction of traditional broadcast rights because volumetric is an additive channel, not a replacement.</w:t>
      </w:r>
    </w:p>
    <w:bookmarkEnd w:id="18"/>
    <w:bookmarkStart w:id="19" w:name="content-library-growth"/>
    <w:p>
      <w:pPr>
        <w:pStyle w:val="Heading3"/>
      </w:pPr>
      <w:r>
        <w:t xml:space="preserve">Content Library Growth</w:t>
      </w:r>
    </w:p>
    <w:tbl>
      <w:tblPr>
        <w:tblStyle w:val="Table"/>
        <w:tblW w:type="pct" w:w="5000"/>
        <w:tblLayout w:type="fixed"/>
        <w:tblLook w:firstRow="1" w:lastRow="0" w:firstColumn="0" w:lastColumn="0" w:noHBand="0" w:noVBand="0" w:val="0020"/>
      </w:tblPr>
      <w:tblGrid>
        <w:gridCol w:w="805"/>
        <w:gridCol w:w="2013"/>
        <w:gridCol w:w="2147"/>
        <w:gridCol w:w="1073"/>
        <w:gridCol w:w="1879"/>
      </w:tblGrid>
      <w:tr>
        <w:trPr>
          <w:tblHeader w:val="on"/>
        </w:trPr>
        <w:tc>
          <w:tcPr/>
          <w:p>
            <w:pPr>
              <w:pStyle w:val="Compact"/>
            </w:pPr>
            <w:r>
              <w:t xml:space="preserve">Year</w:t>
            </w:r>
          </w:p>
        </w:tc>
        <w:tc>
          <w:tcPr/>
          <w:p>
            <w:pPr>
              <w:pStyle w:val="Compact"/>
            </w:pPr>
            <w:r>
              <w:t xml:space="preserve">AAA Spectacles</w:t>
            </w:r>
          </w:p>
        </w:tc>
        <w:tc>
          <w:tcPr/>
          <w:p>
            <w:pPr>
              <w:pStyle w:val="Compact"/>
            </w:pPr>
            <w:r>
              <w:t xml:space="preserve">Weekly Sessions</w:t>
            </w:r>
          </w:p>
        </w:tc>
        <w:tc>
          <w:tcPr/>
          <w:p>
            <w:pPr>
              <w:pStyle w:val="Compact"/>
            </w:pPr>
            <w:r>
              <w:t xml:space="preserve">Sports</w:t>
            </w:r>
          </w:p>
        </w:tc>
        <w:tc>
          <w:tcPr/>
          <w:p>
            <w:pPr>
              <w:pStyle w:val="Compact"/>
            </w:pPr>
            <w:r>
              <w:t xml:space="preserve">Total Library</w:t>
            </w:r>
          </w:p>
        </w:tc>
      </w:tr>
      <w:tr>
        <w:tc>
          <w:tcPr/>
          <w:p>
            <w:pPr>
              <w:pStyle w:val="Compact"/>
            </w:pPr>
            <w:r>
              <w:t xml:space="preserve">Y1</w:t>
            </w:r>
          </w:p>
        </w:tc>
        <w:tc>
          <w:tcPr/>
          <w:p>
            <w:pPr>
              <w:pStyle w:val="Compact"/>
            </w:pPr>
            <w:r>
              <w:t xml:space="preserve">2</w:t>
            </w:r>
          </w:p>
        </w:tc>
        <w:tc>
          <w:tcPr/>
          <w:p>
            <w:pPr>
              <w:pStyle w:val="Compact"/>
            </w:pPr>
            <w:r>
              <w:t xml:space="preserve">~25 (half-year ramp)</w:t>
            </w:r>
          </w:p>
        </w:tc>
        <w:tc>
          <w:tcPr/>
          <w:p>
            <w:pPr>
              <w:pStyle w:val="Compact"/>
            </w:pPr>
            <w:r>
              <w:t xml:space="preserve">—</w:t>
            </w:r>
          </w:p>
        </w:tc>
        <w:tc>
          <w:tcPr/>
          <w:p>
            <w:pPr>
              <w:pStyle w:val="Compact"/>
            </w:pPr>
            <w:r>
              <w:t xml:space="preserve">27 experiences</w:t>
            </w:r>
          </w:p>
        </w:tc>
      </w:tr>
      <w:tr>
        <w:tc>
          <w:tcPr/>
          <w:p>
            <w:pPr>
              <w:pStyle w:val="Compact"/>
            </w:pPr>
            <w:r>
              <w:t xml:space="preserve">Y2</w:t>
            </w:r>
          </w:p>
        </w:tc>
        <w:tc>
          <w:tcPr/>
          <w:p>
            <w:pPr>
              <w:pStyle w:val="Compact"/>
            </w:pPr>
            <w:r>
              <w:t xml:space="preserve">4 cumulative</w:t>
            </w:r>
          </w:p>
        </w:tc>
        <w:tc>
          <w:tcPr/>
          <w:p>
            <w:pPr>
              <w:pStyle w:val="Compact"/>
            </w:pPr>
            <w:r>
              <w:t xml:space="preserve">~75 cumulative</w:t>
            </w:r>
          </w:p>
        </w:tc>
        <w:tc>
          <w:tcPr/>
          <w:p>
            <w:pPr>
              <w:pStyle w:val="Compact"/>
            </w:pPr>
            <w:r>
              <w:t xml:space="preserve">—</w:t>
            </w:r>
          </w:p>
        </w:tc>
        <w:tc>
          <w:tcPr/>
          <w:p>
            <w:pPr>
              <w:pStyle w:val="Compact"/>
            </w:pPr>
            <w:r>
              <w:t xml:space="preserve">~79 experiences</w:t>
            </w:r>
          </w:p>
        </w:tc>
      </w:tr>
      <w:tr>
        <w:tc>
          <w:tcPr/>
          <w:p>
            <w:pPr>
              <w:pStyle w:val="Compact"/>
            </w:pPr>
            <w:r>
              <w:t xml:space="preserve">Y3</w:t>
            </w:r>
          </w:p>
        </w:tc>
        <w:tc>
          <w:tcPr/>
          <w:p>
            <w:pPr>
              <w:pStyle w:val="Compact"/>
            </w:pPr>
            <w:r>
              <w:t xml:space="preserve">6</w:t>
            </w:r>
          </w:p>
        </w:tc>
        <w:tc>
          <w:tcPr/>
          <w:p>
            <w:pPr>
              <w:pStyle w:val="Compact"/>
            </w:pPr>
            <w:r>
              <w:t xml:space="preserve">~125</w:t>
            </w:r>
          </w:p>
        </w:tc>
        <w:tc>
          <w:tcPr/>
          <w:p>
            <w:pPr>
              <w:pStyle w:val="Compact"/>
            </w:pPr>
            <w:r>
              <w:t xml:space="preserve">Tennis/boxing pilot (~40 matches)</w:t>
            </w:r>
          </w:p>
        </w:tc>
        <w:tc>
          <w:tcPr/>
          <w:p>
            <w:pPr>
              <w:pStyle w:val="Compact"/>
            </w:pPr>
            <w:r>
              <w:t xml:space="preserve">~171 experiences</w:t>
            </w:r>
          </w:p>
        </w:tc>
      </w:tr>
      <w:tr>
        <w:tc>
          <w:tcPr/>
          <w:p>
            <w:pPr>
              <w:pStyle w:val="Compact"/>
            </w:pPr>
            <w:r>
              <w:t xml:space="preserve">Y4</w:t>
            </w:r>
          </w:p>
        </w:tc>
        <w:tc>
          <w:tcPr/>
          <w:p>
            <w:pPr>
              <w:pStyle w:val="Compact"/>
            </w:pPr>
            <w:r>
              <w:t xml:space="preserve">8</w:t>
            </w:r>
          </w:p>
        </w:tc>
        <w:tc>
          <w:tcPr/>
          <w:p>
            <w:pPr>
              <w:pStyle w:val="Compact"/>
            </w:pPr>
            <w:r>
              <w:t xml:space="preserve">~175</w:t>
            </w:r>
          </w:p>
        </w:tc>
        <w:tc>
          <w:tcPr/>
          <w:p>
            <w:pPr>
              <w:pStyle w:val="Compact"/>
            </w:pPr>
            <w:r>
              <w:t xml:space="preserve">+ NBA (~80 matches)</w:t>
            </w:r>
          </w:p>
        </w:tc>
        <w:tc>
          <w:tcPr/>
          <w:p>
            <w:pPr>
              <w:pStyle w:val="Compact"/>
            </w:pPr>
            <w:r>
              <w:t xml:space="preserve">~263 experiences</w:t>
            </w:r>
          </w:p>
        </w:tc>
      </w:tr>
      <w:tr>
        <w:tc>
          <w:tcPr/>
          <w:p>
            <w:pPr>
              <w:pStyle w:val="Compact"/>
            </w:pPr>
            <w:r>
              <w:t xml:space="preserve">Y5</w:t>
            </w:r>
          </w:p>
        </w:tc>
        <w:tc>
          <w:tcPr/>
          <w:p>
            <w:pPr>
              <w:pStyle w:val="Compact"/>
            </w:pPr>
            <w:r>
              <w:t xml:space="preserve">10</w:t>
            </w:r>
          </w:p>
        </w:tc>
        <w:tc>
          <w:tcPr/>
          <w:p>
            <w:pPr>
              <w:pStyle w:val="Compact"/>
            </w:pPr>
            <w:r>
              <w:t xml:space="preserve">~225</w:t>
            </w:r>
          </w:p>
        </w:tc>
        <w:tc>
          <w:tcPr/>
          <w:p>
            <w:pPr>
              <w:pStyle w:val="Compact"/>
            </w:pPr>
            <w:r>
              <w:t xml:space="preserve">+ additional leagues (~120 matches)</w:t>
            </w:r>
          </w:p>
        </w:tc>
        <w:tc>
          <w:tcPr/>
          <w:p>
            <w:pPr>
              <w:pStyle w:val="Compact"/>
            </w:pPr>
            <w:r>
              <w:t xml:space="preserve">~355 experiences</w:t>
            </w:r>
          </w:p>
        </w:tc>
      </w:tr>
      <w:tr>
        <w:tc>
          <w:tcPr/>
          <w:p>
            <w:pPr>
              <w:pStyle w:val="Compact"/>
            </w:pPr>
            <w:r>
              <w:t xml:space="preserve">Y6</w:t>
            </w:r>
          </w:p>
        </w:tc>
        <w:tc>
          <w:tcPr/>
          <w:p>
            <w:pPr>
              <w:pStyle w:val="Compact"/>
            </w:pPr>
            <w:r>
              <w:t xml:space="preserve">12</w:t>
            </w:r>
          </w:p>
        </w:tc>
        <w:tc>
          <w:tcPr/>
          <w:p>
            <w:pPr>
              <w:pStyle w:val="Compact"/>
            </w:pPr>
            <w:r>
              <w:t xml:space="preserve">~275</w:t>
            </w:r>
          </w:p>
        </w:tc>
        <w:tc>
          <w:tcPr/>
          <w:p>
            <w:pPr>
              <w:pStyle w:val="Compact"/>
            </w:pPr>
            <w:r>
              <w:t xml:space="preserve">+ football (~160 matches)</w:t>
            </w:r>
          </w:p>
        </w:tc>
        <w:tc>
          <w:tcPr/>
          <w:p>
            <w:pPr>
              <w:pStyle w:val="Compact"/>
            </w:pPr>
            <w:r>
              <w:t xml:space="preserve">~447 experiences</w:t>
            </w:r>
          </w:p>
        </w:tc>
      </w:tr>
    </w:tbl>
    <w:p>
      <w:pPr>
        <w:pStyle w:val="BodyText"/>
      </w:pPr>
      <w:r>
        <w:t xml:space="preserve">By Year 6, the subscriber has access to 12 AAA interactive spectacles, 275 intimate studio sessions, and hundreds of live sports captures. This is a library that justifies $50/month — not because any single piece of content is worth it, but because the breadth and freshness make cancellation feel like a loss.</w:t>
      </w:r>
    </w:p>
    <w:bookmarkEnd w:id="19"/>
    <w:bookmarkStart w:id="20" w:name="annual-content-investment"/>
    <w:p>
      <w:pPr>
        <w:pStyle w:val="Heading3"/>
      </w:pPr>
      <w:r>
        <w:t xml:space="preserve">Annual Content Investment</w:t>
      </w:r>
    </w:p>
    <w:tbl>
      <w:tblPr>
        <w:tblStyle w:val="Table"/>
        <w:tblW w:type="pct" w:w="5000"/>
        <w:tblLayout w:type="fixed"/>
        <w:tblLook w:firstRow="1" w:lastRow="0" w:firstColumn="0" w:lastColumn="0" w:noHBand="0" w:noVBand="0" w:val="0020"/>
      </w:tblPr>
      <w:tblGrid>
        <w:gridCol w:w="1980"/>
        <w:gridCol w:w="990"/>
        <w:gridCol w:w="990"/>
        <w:gridCol w:w="990"/>
        <w:gridCol w:w="990"/>
        <w:gridCol w:w="990"/>
        <w:gridCol w:w="990"/>
      </w:tblGrid>
      <w:tr>
        <w:trPr>
          <w:tblHeader w:val="on"/>
        </w:trPr>
        <w:tc>
          <w:tcPr/>
          <w:p>
            <w:pPr>
              <w:pStyle w:val="Compact"/>
            </w:pPr>
            <w:r>
              <w:t xml:space="preserve">Category</w:t>
            </w:r>
          </w:p>
        </w:tc>
        <w:tc>
          <w:tcPr/>
          <w:p>
            <w:pPr>
              <w:pStyle w:val="Compact"/>
            </w:pPr>
            <w:r>
              <w:t xml:space="preserve">Y1</w:t>
            </w:r>
          </w:p>
        </w:tc>
        <w:tc>
          <w:tcPr/>
          <w:p>
            <w:pPr>
              <w:pStyle w:val="Compact"/>
            </w:pPr>
            <w:r>
              <w:t xml:space="preserve">Y2</w:t>
            </w:r>
          </w:p>
        </w:tc>
        <w:tc>
          <w:tcPr/>
          <w:p>
            <w:pPr>
              <w:pStyle w:val="Compact"/>
            </w:pPr>
            <w:r>
              <w:t xml:space="preserve">Y3</w:t>
            </w:r>
          </w:p>
        </w:tc>
        <w:tc>
          <w:tcPr/>
          <w:p>
            <w:pPr>
              <w:pStyle w:val="Compact"/>
            </w:pPr>
            <w:r>
              <w:t xml:space="preserve">Y4</w:t>
            </w:r>
          </w:p>
        </w:tc>
        <w:tc>
          <w:tcPr/>
          <w:p>
            <w:pPr>
              <w:pStyle w:val="Compact"/>
            </w:pPr>
            <w:r>
              <w:t xml:space="preserve">Y5</w:t>
            </w:r>
          </w:p>
        </w:tc>
        <w:tc>
          <w:tcPr/>
          <w:p>
            <w:pPr>
              <w:pStyle w:val="Compact"/>
            </w:pPr>
            <w:r>
              <w:t xml:space="preserve">Y6</w:t>
            </w:r>
          </w:p>
        </w:tc>
      </w:tr>
      <w:tr>
        <w:tc>
          <w:tcPr/>
          <w:p>
            <w:pPr>
              <w:pStyle w:val="Compact"/>
            </w:pPr>
            <w:r>
              <w:t xml:space="preserve">AAA Spectacles (2/year)</w:t>
            </w:r>
          </w:p>
        </w:tc>
        <w:tc>
          <w:tcPr/>
          <w:p>
            <w:pPr>
              <w:pStyle w:val="Compact"/>
            </w:pPr>
            <w:r>
              <w:t xml:space="preserve">$20M</w:t>
            </w:r>
          </w:p>
        </w:tc>
        <w:tc>
          <w:tcPr/>
          <w:p>
            <w:pPr>
              <w:pStyle w:val="Compact"/>
            </w:pPr>
            <w:r>
              <w:t xml:space="preserve">$20M</w:t>
            </w:r>
          </w:p>
        </w:tc>
        <w:tc>
          <w:tcPr/>
          <w:p>
            <w:pPr>
              <w:pStyle w:val="Compact"/>
            </w:pPr>
            <w:r>
              <w:t xml:space="preserve">$20M</w:t>
            </w:r>
          </w:p>
        </w:tc>
        <w:tc>
          <w:tcPr/>
          <w:p>
            <w:pPr>
              <w:pStyle w:val="Compact"/>
            </w:pPr>
            <w:r>
              <w:t xml:space="preserve">$20M</w:t>
            </w:r>
          </w:p>
        </w:tc>
        <w:tc>
          <w:tcPr/>
          <w:p>
            <w:pPr>
              <w:pStyle w:val="Compact"/>
            </w:pPr>
            <w:r>
              <w:t xml:space="preserve">$20M</w:t>
            </w:r>
          </w:p>
        </w:tc>
        <w:tc>
          <w:tcPr/>
          <w:p>
            <w:pPr>
              <w:pStyle w:val="Compact"/>
            </w:pPr>
            <w:r>
              <w:t xml:space="preserve">$20M</w:t>
            </w:r>
          </w:p>
        </w:tc>
      </w:tr>
      <w:tr>
        <w:tc>
          <w:tcPr/>
          <w:p>
            <w:pPr>
              <w:pStyle w:val="Compact"/>
            </w:pPr>
            <w:r>
              <w:t xml:space="preserve">Weekly Sessions</w:t>
            </w:r>
          </w:p>
        </w:tc>
        <w:tc>
          <w:tcPr/>
          <w:p>
            <w:pPr>
              <w:pStyle w:val="Compact"/>
            </w:pPr>
            <w:r>
              <w:t xml:space="preserve">$1.5M</w:t>
            </w:r>
          </w:p>
        </w:tc>
        <w:tc>
          <w:tcPr/>
          <w:p>
            <w:pPr>
              <w:pStyle w:val="Compact"/>
            </w:pPr>
            <w:r>
              <w:t xml:space="preserve">$2.5M</w:t>
            </w:r>
          </w:p>
        </w:tc>
        <w:tc>
          <w:tcPr/>
          <w:p>
            <w:pPr>
              <w:pStyle w:val="Compact"/>
            </w:pPr>
            <w:r>
              <w:t xml:space="preserve">$3M</w:t>
            </w:r>
          </w:p>
        </w:tc>
        <w:tc>
          <w:tcPr/>
          <w:p>
            <w:pPr>
              <w:pStyle w:val="Compact"/>
            </w:pPr>
            <w:r>
              <w:t xml:space="preserve">$4M</w:t>
            </w:r>
          </w:p>
        </w:tc>
        <w:tc>
          <w:tcPr/>
          <w:p>
            <w:pPr>
              <w:pStyle w:val="Compact"/>
            </w:pPr>
            <w:r>
              <w:t xml:space="preserve">$4.5M</w:t>
            </w:r>
          </w:p>
        </w:tc>
        <w:tc>
          <w:tcPr/>
          <w:p>
            <w:pPr>
              <w:pStyle w:val="Compact"/>
            </w:pPr>
            <w:r>
              <w:t xml:space="preserve">$5M</w:t>
            </w:r>
          </w:p>
        </w:tc>
      </w:tr>
      <w:tr>
        <w:tc>
          <w:tcPr/>
          <w:p>
            <w:pPr>
              <w:pStyle w:val="Compact"/>
            </w:pPr>
            <w:r>
              <w:t xml:space="preserve">Permanent studio (one-time + ops)</w:t>
            </w:r>
          </w:p>
        </w:tc>
        <w:tc>
          <w:tcPr/>
          <w:p>
            <w:pPr>
              <w:pStyle w:val="Compact"/>
            </w:pPr>
            <w:r>
              <w:t xml:space="preserve">$3M</w:t>
            </w:r>
          </w:p>
        </w:tc>
        <w:tc>
          <w:tcPr/>
          <w:p>
            <w:pPr>
              <w:pStyle w:val="Compact"/>
            </w:pPr>
            <w:r>
              <w:t xml:space="preserve">$1M</w:t>
            </w:r>
          </w:p>
        </w:tc>
        <w:tc>
          <w:tcPr/>
          <w:p>
            <w:pPr>
              <w:pStyle w:val="Compact"/>
            </w:pPr>
            <w:r>
              <w:t xml:space="preserve">$1M</w:t>
            </w:r>
          </w:p>
        </w:tc>
        <w:tc>
          <w:tcPr/>
          <w:p>
            <w:pPr>
              <w:pStyle w:val="Compact"/>
            </w:pPr>
            <w:r>
              <w:t xml:space="preserve">$1M</w:t>
            </w:r>
          </w:p>
        </w:tc>
        <w:tc>
          <w:tcPr/>
          <w:p>
            <w:pPr>
              <w:pStyle w:val="Compact"/>
            </w:pPr>
            <w:r>
              <w:t xml:space="preserve">$1M</w:t>
            </w:r>
          </w:p>
        </w:tc>
        <w:tc>
          <w:tcPr/>
          <w:p>
            <w:pPr>
              <w:pStyle w:val="Compact"/>
            </w:pPr>
            <w:r>
              <w:t xml:space="preserve">$1M</w:t>
            </w:r>
          </w:p>
        </w:tc>
      </w:tr>
      <w:tr>
        <w:tc>
          <w:tcPr/>
          <w:p>
            <w:pPr>
              <w:pStyle w:val="Compact"/>
            </w:pPr>
            <w:r>
              <w:t xml:space="preserve">Sports rights + capture</w:t>
            </w:r>
          </w:p>
        </w:tc>
        <w:tc>
          <w:tcPr/>
          <w:p>
            <w:pPr>
              <w:pStyle w:val="Compact"/>
            </w:pPr>
            <w:r>
              <w:t xml:space="preserve">—</w:t>
            </w:r>
          </w:p>
        </w:tc>
        <w:tc>
          <w:tcPr/>
          <w:p>
            <w:pPr>
              <w:pStyle w:val="Compact"/>
            </w:pPr>
            <w:r>
              <w:t xml:space="preserve">—</w:t>
            </w:r>
          </w:p>
        </w:tc>
        <w:tc>
          <w:tcPr/>
          <w:p>
            <w:pPr>
              <w:pStyle w:val="Compact"/>
            </w:pPr>
            <w:r>
              <w:t xml:space="preserve">$5M</w:t>
            </w:r>
          </w:p>
        </w:tc>
        <w:tc>
          <w:tcPr/>
          <w:p>
            <w:pPr>
              <w:pStyle w:val="Compact"/>
            </w:pPr>
            <w:r>
              <w:t xml:space="preserve">$10M</w:t>
            </w:r>
          </w:p>
        </w:tc>
        <w:tc>
          <w:tcPr/>
          <w:p>
            <w:pPr>
              <w:pStyle w:val="Compact"/>
            </w:pPr>
            <w:r>
              <w:t xml:space="preserve">$18M</w:t>
            </w:r>
          </w:p>
        </w:tc>
        <w:tc>
          <w:tcPr/>
          <w:p>
            <w:pPr>
              <w:pStyle w:val="Compact"/>
            </w:pPr>
            <w:r>
              <w:t xml:space="preserve">$25M</w:t>
            </w:r>
          </w:p>
        </w:tc>
      </w:tr>
      <w:tr>
        <w:tc>
          <w:tcPr/>
          <w:p>
            <w:pPr>
              <w:pStyle w:val="Compact"/>
            </w:pPr>
            <w:r>
              <w:rPr>
                <w:b/>
                <w:bCs/>
              </w:rPr>
              <w:t xml:space="preserve">Total content spend</w:t>
            </w:r>
          </w:p>
        </w:tc>
        <w:tc>
          <w:tcPr/>
          <w:p>
            <w:pPr>
              <w:pStyle w:val="Compact"/>
            </w:pPr>
            <w:r>
              <w:rPr>
                <w:b/>
                <w:bCs/>
              </w:rPr>
              <w:t xml:space="preserve">$24.5M</w:t>
            </w:r>
          </w:p>
        </w:tc>
        <w:tc>
          <w:tcPr/>
          <w:p>
            <w:pPr>
              <w:pStyle w:val="Compact"/>
            </w:pPr>
            <w:r>
              <w:rPr>
                <w:b/>
                <w:bCs/>
              </w:rPr>
              <w:t xml:space="preserve">$23.5M</w:t>
            </w:r>
          </w:p>
        </w:tc>
        <w:tc>
          <w:tcPr/>
          <w:p>
            <w:pPr>
              <w:pStyle w:val="Compact"/>
            </w:pPr>
            <w:r>
              <w:rPr>
                <w:b/>
                <w:bCs/>
              </w:rPr>
              <w:t xml:space="preserve">$29M</w:t>
            </w:r>
          </w:p>
        </w:tc>
        <w:tc>
          <w:tcPr/>
          <w:p>
            <w:pPr>
              <w:pStyle w:val="Compact"/>
            </w:pPr>
            <w:r>
              <w:rPr>
                <w:b/>
                <w:bCs/>
              </w:rPr>
              <w:t xml:space="preserve">$35M</w:t>
            </w:r>
          </w:p>
        </w:tc>
        <w:tc>
          <w:tcPr/>
          <w:p>
            <w:pPr>
              <w:pStyle w:val="Compact"/>
            </w:pPr>
            <w:r>
              <w:rPr>
                <w:b/>
                <w:bCs/>
              </w:rPr>
              <w:t xml:space="preserve">$43.5M</w:t>
            </w:r>
          </w:p>
        </w:tc>
        <w:tc>
          <w:tcPr/>
          <w:p>
            <w:pPr>
              <w:pStyle w:val="Compact"/>
            </w:pPr>
            <w:r>
              <w:rPr>
                <w:b/>
                <w:bCs/>
              </w:rPr>
              <w:t xml:space="preserve">$51M</w:t>
            </w:r>
          </w:p>
        </w:tc>
      </w:tr>
    </w:tbl>
    <w:p>
      <w:pPr>
        <w:pStyle w:val="BodyText"/>
      </w:pPr>
      <w:r>
        <w:rPr>
          <w:b/>
          <w:bCs/>
        </w:rPr>
        <w:t xml:space="preserve">Recoupment:</w:t>
      </w:r>
      <w:r>
        <w:t xml:space="preserve"> </w:t>
      </w:r>
      <w:r>
        <w:t xml:space="preserve">Content costs are fixed regardless of subscriber count. At 4 million subscribers paying $720/year, the content investment ($51M in Year 6) represents just 1.8% of subscription revenue. Content is the highest-leverage investment in the business.</w:t>
      </w:r>
    </w:p>
    <w:p>
      <w:r>
        <w:pict>
          <v:rect style="width:0;height:1.5pt" o:hralign="center" o:hrstd="t" o:hr="t"/>
        </w:pict>
      </w:r>
    </w:p>
    <w:bookmarkEnd w:id="20"/>
    <w:bookmarkEnd w:id="21"/>
    <w:bookmarkStart w:id="22" w:name="iv.-artist-deal-structure"/>
    <w:p>
      <w:pPr>
        <w:pStyle w:val="Heading2"/>
      </w:pPr>
      <w:r>
        <w:t xml:space="preserve">IV. Artist Deal Structure</w:t>
      </w:r>
    </w:p>
    <w:p>
      <w:pPr>
        <w:pStyle w:val="FirstParagraph"/>
      </w:pPr>
      <w:r>
        <w:t xml:space="preserve">The artist contract is a</w:t>
      </w:r>
      <w:r>
        <w:t xml:space="preserve"> </w:t>
      </w:r>
      <w:r>
        <w:rPr>
          <w:b/>
          <w:bCs/>
        </w:rPr>
        <w:t xml:space="preserve">“Volumetric Performance Rights”</w:t>
      </w:r>
      <w:r>
        <w:t xml:space="preserve"> </w:t>
      </w:r>
      <w:r>
        <w:t xml:space="preserve">agreement — a new asset class in the music industry, analogous to</w:t>
      </w:r>
      <w:r>
        <w:t xml:space="preserve"> </w:t>
      </w:r>
      <w:r>
        <w:t xml:space="preserve">“Grand Rights”</w:t>
      </w:r>
      <w:r>
        <w:t xml:space="preserve"> </w:t>
      </w:r>
      <w:r>
        <w:t xml:space="preserve">for theatrical performance.</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Term</w:t>
            </w:r>
          </w:p>
        </w:tc>
        <w:tc>
          <w:tcPr/>
          <w:p>
            <w:pPr>
              <w:pStyle w:val="Compact"/>
            </w:pPr>
            <w:r>
              <w:t xml:space="preserve">Detail</w:t>
            </w:r>
          </w:p>
        </w:tc>
      </w:tr>
      <w:tr>
        <w:tc>
          <w:tcPr/>
          <w:p>
            <w:pPr>
              <w:pStyle w:val="Compact"/>
            </w:pPr>
            <w:r>
              <w:rPr>
                <w:b/>
                <w:bCs/>
              </w:rPr>
              <w:t xml:space="preserve">Advance</w:t>
            </w:r>
          </w:p>
        </w:tc>
        <w:tc>
          <w:tcPr/>
          <w:p>
            <w:pPr>
              <w:pStyle w:val="Compact"/>
            </w:pPr>
            <w:r>
              <w:t xml:space="preserve">$4M–$6M, recoupable against the 30% royalty</w:t>
            </w:r>
          </w:p>
        </w:tc>
      </w:tr>
      <w:tr>
        <w:tc>
          <w:tcPr/>
          <w:p>
            <w:pPr>
              <w:pStyle w:val="Compact"/>
            </w:pPr>
            <w:r>
              <w:rPr>
                <w:b/>
                <w:bCs/>
              </w:rPr>
              <w:t xml:space="preserve">Royalty</w:t>
            </w:r>
          </w:p>
        </w:tc>
        <w:tc>
          <w:tcPr/>
          <w:p>
            <w:pPr>
              <w:pStyle w:val="Compact"/>
            </w:pPr>
            <w:r>
              <w:t xml:space="preserve">30% of Publisher gross receipts from all channels</w:t>
            </w:r>
          </w:p>
        </w:tc>
      </w:tr>
      <w:tr>
        <w:tc>
          <w:tcPr/>
          <w:p>
            <w:pPr>
              <w:pStyle w:val="Compact"/>
            </w:pPr>
            <w:r>
              <w:rPr>
                <w:b/>
                <w:bCs/>
              </w:rPr>
              <w:t xml:space="preserve">Royalty split</w:t>
            </w:r>
          </w:p>
        </w:tc>
        <w:tc>
          <w:tcPr/>
          <w:p>
            <w:pPr>
              <w:pStyle w:val="Compact"/>
            </w:pPr>
            <w:r>
              <w:t xml:space="preserve">50% to Label (master), 25% to Artist, 25% to Songwriter/Publishing</w:t>
            </w:r>
          </w:p>
        </w:tc>
      </w:tr>
      <w:tr>
        <w:tc>
          <w:tcPr/>
          <w:p>
            <w:pPr>
              <w:pStyle w:val="Compact"/>
            </w:pPr>
            <w:r>
              <w:rPr>
                <w:b/>
                <w:bCs/>
              </w:rPr>
              <w:t xml:space="preserve">Rights granted</w:t>
            </w:r>
          </w:p>
        </w:tc>
        <w:tc>
          <w:tcPr/>
          <w:p>
            <w:pPr>
              <w:pStyle w:val="Compact"/>
            </w:pPr>
            <w:r>
              <w:t xml:space="preserve">Exclusive LBE Volumetric Performance (3-year term), Non-exclusive Home VR (perpetual), Non-exclusive B2B licensing (perpetual)</w:t>
            </w:r>
          </w:p>
        </w:tc>
      </w:tr>
      <w:tr>
        <w:tc>
          <w:tcPr/>
          <w:p>
            <w:pPr>
              <w:pStyle w:val="Compact"/>
            </w:pPr>
            <w:r>
              <w:rPr>
                <w:b/>
                <w:bCs/>
              </w:rPr>
              <w:t xml:space="preserve">Grand Rights</w:t>
            </w:r>
          </w:p>
        </w:tc>
        <w:tc>
          <w:tcPr/>
          <w:p>
            <w:pPr>
              <w:pStyle w:val="Compact"/>
            </w:pPr>
            <w:r>
              <w:t xml:space="preserve">Theatrical/dramatic performance rights for the show (avoids per-play PRO licensing)</w:t>
            </w:r>
          </w:p>
        </w:tc>
      </w:tr>
      <w:tr>
        <w:tc>
          <w:tcPr/>
          <w:p>
            <w:pPr>
              <w:pStyle w:val="Compact"/>
            </w:pPr>
            <w:r>
              <w:rPr>
                <w:b/>
                <w:bCs/>
              </w:rPr>
              <w:t xml:space="preserve">Image/likeness</w:t>
            </w:r>
          </w:p>
        </w:tc>
        <w:tc>
          <w:tcPr/>
          <w:p>
            <w:pPr>
              <w:pStyle w:val="Compact"/>
            </w:pPr>
            <w:r>
              <w:t xml:space="preserve">Limited to 4DGS reproduction within vZero experiences; no derivative works, no AI training</w:t>
            </w:r>
          </w:p>
        </w:tc>
      </w:tr>
      <w:tr>
        <w:tc>
          <w:tcPr/>
          <w:p>
            <w:pPr>
              <w:pStyle w:val="Compact"/>
            </w:pPr>
            <w:r>
              <w:rPr>
                <w:b/>
                <w:bCs/>
              </w:rPr>
              <w:t xml:space="preserve">Term</w:t>
            </w:r>
          </w:p>
        </w:tc>
        <w:tc>
          <w:tcPr/>
          <w:p>
            <w:pPr>
              <w:pStyle w:val="Compact"/>
            </w:pPr>
            <w:r>
              <w:t xml:space="preserve">3-year exclusive for LBE; perpetual non-exclusive for digital distribution</w:t>
            </w:r>
          </w:p>
        </w:tc>
      </w:tr>
    </w:tbl>
    <w:p>
      <w:pPr>
        <w:pStyle w:val="BodyText"/>
      </w:pPr>
      <w:r>
        <w:t xml:space="preserve">The 30% royalty and recoupable advance structure mirrors standard music licensing for theatrical/immersive productions (cf. Cirque du Soleil artist deals, ABBA Voyage terms).</w:t>
      </w:r>
    </w:p>
    <w:p>
      <w:r>
        <w:pict>
          <v:rect style="width:0;height:1.5pt" o:hralign="center" o:hrstd="t" o:hr="t"/>
        </w:pict>
      </w:r>
    </w:p>
    <w:bookmarkEnd w:id="22"/>
    <w:bookmarkStart w:id="27" w:name="X73f1e6087e2d80640a883a41308d6bcf319b63d"/>
    <w:p>
      <w:pPr>
        <w:pStyle w:val="Heading2"/>
      </w:pPr>
      <w:r>
        <w:t xml:space="preserve">V. 6-Year Consolidated Financial Projection</w:t>
      </w:r>
    </w:p>
    <w:bookmarkStart w:id="23" w:name="flagship-network-growth"/>
    <w:p>
      <w:pPr>
        <w:pStyle w:val="Heading3"/>
      </w:pPr>
      <w:r>
        <w:t xml:space="preserve">Flagship Network Growth</w:t>
      </w:r>
    </w:p>
    <w:p>
      <w:pPr>
        <w:pStyle w:val="FirstParagraph"/>
      </w:pPr>
      <w:r>
        <w:t xml:space="preserve">The venue network scales to 12 Flagships over 6 years — 2 new venues per year after the initial pair. Each new venue benefits from shared content, proven construction playbooks, and declining per-site build costs.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New Flagships</w:t>
            </w:r>
          </w:p>
        </w:tc>
        <w:tc>
          <w:tcPr/>
          <w:p>
            <w:pPr>
              <w:pStyle w:val="Compact"/>
            </w:pPr>
            <w:r>
              <w:t xml:space="preserve">Cumulative</w:t>
            </w:r>
          </w:p>
        </w:tc>
        <w:tc>
          <w:tcPr/>
          <w:p>
            <w:pPr>
              <w:pStyle w:val="Compact"/>
            </w:pPr>
            <w:r>
              <w:t xml:space="preserve">Cities (illustrative)</w:t>
            </w:r>
          </w:p>
        </w:tc>
      </w:tr>
      <w:tr>
        <w:tc>
          <w:tcPr/>
          <w:p>
            <w:pPr>
              <w:pStyle w:val="Compact"/>
            </w:pPr>
            <w:r>
              <w:t xml:space="preserve">Year 1 (2029)</w:t>
            </w:r>
          </w:p>
        </w:tc>
        <w:tc>
          <w:tcPr/>
          <w:p>
            <w:pPr>
              <w:pStyle w:val="Compact"/>
            </w:pPr>
            <w:r>
              <w:t xml:space="preserve">2</w:t>
            </w:r>
          </w:p>
        </w:tc>
        <w:tc>
          <w:tcPr/>
          <w:p>
            <w:pPr>
              <w:pStyle w:val="Compact"/>
            </w:pPr>
            <w:r>
              <w:t xml:space="preserve">2</w:t>
            </w:r>
          </w:p>
        </w:tc>
        <w:tc>
          <w:tcPr/>
          <w:p>
            <w:pPr>
              <w:pStyle w:val="Compact"/>
            </w:pPr>
            <w:r>
              <w:t xml:space="preserve">Las Vegas, London</w:t>
            </w:r>
          </w:p>
        </w:tc>
      </w:tr>
      <w:tr>
        <w:tc>
          <w:tcPr/>
          <w:p>
            <w:pPr>
              <w:pStyle w:val="Compact"/>
            </w:pPr>
            <w:r>
              <w:t xml:space="preserve">Year 2 (2030)</w:t>
            </w:r>
          </w:p>
        </w:tc>
        <w:tc>
          <w:tcPr/>
          <w:p>
            <w:pPr>
              <w:pStyle w:val="Compact"/>
            </w:pPr>
            <w:r>
              <w:t xml:space="preserve">2</w:t>
            </w:r>
          </w:p>
        </w:tc>
        <w:tc>
          <w:tcPr/>
          <w:p>
            <w:pPr>
              <w:pStyle w:val="Compact"/>
            </w:pPr>
            <w:r>
              <w:t xml:space="preserve">4</w:t>
            </w:r>
          </w:p>
        </w:tc>
        <w:tc>
          <w:tcPr/>
          <w:p>
            <w:pPr>
              <w:pStyle w:val="Compact"/>
            </w:pPr>
            <w:r>
              <w:t xml:space="preserve">New York, Tokyo</w:t>
            </w:r>
          </w:p>
        </w:tc>
      </w:tr>
      <w:tr>
        <w:tc>
          <w:tcPr/>
          <w:p>
            <w:pPr>
              <w:pStyle w:val="Compact"/>
            </w:pPr>
            <w:r>
              <w:t xml:space="preserve">Year 3 (2031)</w:t>
            </w:r>
          </w:p>
        </w:tc>
        <w:tc>
          <w:tcPr/>
          <w:p>
            <w:pPr>
              <w:pStyle w:val="Compact"/>
            </w:pPr>
            <w:r>
              <w:t xml:space="preserve">2</w:t>
            </w:r>
          </w:p>
        </w:tc>
        <w:tc>
          <w:tcPr/>
          <w:p>
            <w:pPr>
              <w:pStyle w:val="Compact"/>
            </w:pPr>
            <w:r>
              <w:t xml:space="preserve">6</w:t>
            </w:r>
          </w:p>
        </w:tc>
        <w:tc>
          <w:tcPr/>
          <w:p>
            <w:pPr>
              <w:pStyle w:val="Compact"/>
            </w:pPr>
            <w:r>
              <w:t xml:space="preserve">Dubai, Paris</w:t>
            </w:r>
          </w:p>
        </w:tc>
      </w:tr>
      <w:tr>
        <w:tc>
          <w:tcPr/>
          <w:p>
            <w:pPr>
              <w:pStyle w:val="Compact"/>
            </w:pPr>
            <w:r>
              <w:t xml:space="preserve">Year 4 (2032)</w:t>
            </w:r>
          </w:p>
        </w:tc>
        <w:tc>
          <w:tcPr/>
          <w:p>
            <w:pPr>
              <w:pStyle w:val="Compact"/>
            </w:pPr>
            <w:r>
              <w:t xml:space="preserve">2</w:t>
            </w:r>
          </w:p>
        </w:tc>
        <w:tc>
          <w:tcPr/>
          <w:p>
            <w:pPr>
              <w:pStyle w:val="Compact"/>
            </w:pPr>
            <w:r>
              <w:t xml:space="preserve">8</w:t>
            </w:r>
          </w:p>
        </w:tc>
        <w:tc>
          <w:tcPr/>
          <w:p>
            <w:pPr>
              <w:pStyle w:val="Compact"/>
            </w:pPr>
            <w:r>
              <w:t xml:space="preserve">Seoul, Singapore</w:t>
            </w:r>
          </w:p>
        </w:tc>
      </w:tr>
      <w:tr>
        <w:tc>
          <w:tcPr/>
          <w:p>
            <w:pPr>
              <w:pStyle w:val="Compact"/>
            </w:pPr>
            <w:r>
              <w:t xml:space="preserve">Year 5 (2033)</w:t>
            </w:r>
          </w:p>
        </w:tc>
        <w:tc>
          <w:tcPr/>
          <w:p>
            <w:pPr>
              <w:pStyle w:val="Compact"/>
            </w:pPr>
            <w:r>
              <w:t xml:space="preserve">2</w:t>
            </w:r>
          </w:p>
        </w:tc>
        <w:tc>
          <w:tcPr/>
          <w:p>
            <w:pPr>
              <w:pStyle w:val="Compact"/>
            </w:pPr>
            <w:r>
              <w:t xml:space="preserve">10</w:t>
            </w:r>
          </w:p>
        </w:tc>
        <w:tc>
          <w:tcPr/>
          <w:p>
            <w:pPr>
              <w:pStyle w:val="Compact"/>
            </w:pPr>
            <w:r>
              <w:t xml:space="preserve">Los Angeles, Berlin</w:t>
            </w:r>
          </w:p>
        </w:tc>
      </w:tr>
      <w:tr>
        <w:tc>
          <w:tcPr/>
          <w:p>
            <w:pPr>
              <w:pStyle w:val="Compact"/>
            </w:pPr>
            <w:r>
              <w:t xml:space="preserve">Year 6 (2034)</w:t>
            </w:r>
          </w:p>
        </w:tc>
        <w:tc>
          <w:tcPr/>
          <w:p>
            <w:pPr>
              <w:pStyle w:val="Compact"/>
            </w:pPr>
            <w:r>
              <w:t xml:space="preserve">2</w:t>
            </w:r>
          </w:p>
        </w:tc>
        <w:tc>
          <w:tcPr/>
          <w:p>
            <w:pPr>
              <w:pStyle w:val="Compact"/>
            </w:pPr>
            <w:r>
              <w:t xml:space="preserve">12</w:t>
            </w:r>
          </w:p>
        </w:tc>
        <w:tc>
          <w:tcPr/>
          <w:p>
            <w:pPr>
              <w:pStyle w:val="Compact"/>
            </w:pPr>
            <w:r>
              <w:t xml:space="preserve">Macau, Sydney</w:t>
            </w:r>
          </w:p>
        </w:tc>
      </w:tr>
    </w:tbl>
    <w:bookmarkEnd w:id="23"/>
    <w:bookmarkStart w:id="24" w:name="revenue-projection"/>
    <w:p>
      <w:pPr>
        <w:pStyle w:val="Heading3"/>
      </w:pPr>
      <w:r>
        <w:t xml:space="preserve">Revenue Projection</w:t>
      </w:r>
    </w:p>
    <w:tbl>
      <w:tblPr>
        <w:tblStyle w:val="Table"/>
        <w:tblW w:type="pct" w:w="5000"/>
        <w:tblLayout w:type="fixed"/>
        <w:tblLook w:firstRow="1" w:lastRow="0" w:firstColumn="0" w:lastColumn="0" w:noHBand="0" w:noVBand="0" w:val="0020"/>
      </w:tblPr>
      <w:tblGrid>
        <w:gridCol w:w="1667"/>
        <w:gridCol w:w="1042"/>
        <w:gridCol w:w="1042"/>
        <w:gridCol w:w="1042"/>
        <w:gridCol w:w="1042"/>
        <w:gridCol w:w="1042"/>
        <w:gridCol w:w="1042"/>
      </w:tblGrid>
      <w:tr>
        <w:trPr>
          <w:tblHeader w:val="on"/>
        </w:trPr>
        <w:tc>
          <w:tcPr/>
          <w:p>
            <w:pPr>
              <w:pStyle w:val="Compact"/>
            </w:pPr>
            <w:r>
              <w:t xml:space="preserve">Stream</w:t>
            </w:r>
          </w:p>
        </w:tc>
        <w:tc>
          <w:tcPr/>
          <w:p>
            <w:pPr>
              <w:pStyle w:val="Compact"/>
            </w:pPr>
            <w:r>
              <w:t xml:space="preserve">Y1</w:t>
            </w:r>
          </w:p>
        </w:tc>
        <w:tc>
          <w:tcPr/>
          <w:p>
            <w:pPr>
              <w:pStyle w:val="Compact"/>
            </w:pPr>
            <w:r>
              <w:t xml:space="preserve">Y2</w:t>
            </w:r>
          </w:p>
        </w:tc>
        <w:tc>
          <w:tcPr/>
          <w:p>
            <w:pPr>
              <w:pStyle w:val="Compact"/>
            </w:pPr>
            <w:r>
              <w:t xml:space="preserve">Y3</w:t>
            </w:r>
          </w:p>
        </w:tc>
        <w:tc>
          <w:tcPr/>
          <w:p>
            <w:pPr>
              <w:pStyle w:val="Compact"/>
            </w:pPr>
            <w:r>
              <w:t xml:space="preserve">Y4</w:t>
            </w:r>
          </w:p>
        </w:tc>
        <w:tc>
          <w:tcPr/>
          <w:p>
            <w:pPr>
              <w:pStyle w:val="Compact"/>
            </w:pPr>
            <w:r>
              <w:t xml:space="preserve">Y5</w:t>
            </w:r>
          </w:p>
        </w:tc>
        <w:tc>
          <w:tcPr/>
          <w:p>
            <w:pPr>
              <w:pStyle w:val="Compact"/>
            </w:pPr>
            <w:r>
              <w:t xml:space="preserve">Y6</w:t>
            </w:r>
          </w:p>
        </w:tc>
      </w:tr>
      <w:tr>
        <w:tc>
          <w:tcPr/>
          <w:p>
            <w:pPr>
              <w:pStyle w:val="Compact"/>
            </w:pPr>
            <w:r>
              <w:t xml:space="preserve">Flagship tickets</w:t>
            </w:r>
          </w:p>
        </w:tc>
        <w:tc>
          <w:tcPr/>
          <w:p>
            <w:pPr>
              <w:pStyle w:val="Compact"/>
            </w:pPr>
            <w:r>
              <w:t xml:space="preserve">$11.5M</w:t>
            </w:r>
          </w:p>
        </w:tc>
        <w:tc>
          <w:tcPr/>
          <w:p>
            <w:pPr>
              <w:pStyle w:val="Compact"/>
            </w:pPr>
            <w:r>
              <w:t xml:space="preserve">$32.0M</w:t>
            </w:r>
          </w:p>
        </w:tc>
        <w:tc>
          <w:tcPr/>
          <w:p>
            <w:pPr>
              <w:pStyle w:val="Compact"/>
            </w:pPr>
            <w:r>
              <w:t xml:space="preserve">$57.0M</w:t>
            </w:r>
          </w:p>
        </w:tc>
        <w:tc>
          <w:tcPr/>
          <w:p>
            <w:pPr>
              <w:pStyle w:val="Compact"/>
            </w:pPr>
            <w:r>
              <w:t xml:space="preserve">$78.0M</w:t>
            </w:r>
          </w:p>
        </w:tc>
        <w:tc>
          <w:tcPr/>
          <w:p>
            <w:pPr>
              <w:pStyle w:val="Compact"/>
            </w:pPr>
            <w:r>
              <w:t xml:space="preserve">$97.0M</w:t>
            </w:r>
          </w:p>
        </w:tc>
        <w:tc>
          <w:tcPr/>
          <w:p>
            <w:pPr>
              <w:pStyle w:val="Compact"/>
            </w:pPr>
            <w:r>
              <w:t xml:space="preserve">$115.0M</w:t>
            </w:r>
          </w:p>
        </w:tc>
      </w:tr>
      <w:tr>
        <w:tc>
          <w:tcPr/>
          <w:p>
            <w:pPr>
              <w:pStyle w:val="Compact"/>
            </w:pPr>
            <w:r>
              <w:t xml:space="preserve">B2B Licensing</w:t>
            </w:r>
          </w:p>
        </w:tc>
        <w:tc>
          <w:tcPr/>
          <w:p>
            <w:pPr>
              <w:pStyle w:val="Compact"/>
            </w:pPr>
            <w:r>
              <w:t xml:space="preserve">$0</w:t>
            </w:r>
          </w:p>
        </w:tc>
        <w:tc>
          <w:tcPr/>
          <w:p>
            <w:pPr>
              <w:pStyle w:val="Compact"/>
            </w:pPr>
            <w:r>
              <w:t xml:space="preserve">$1.4M</w:t>
            </w:r>
          </w:p>
        </w:tc>
        <w:tc>
          <w:tcPr/>
          <w:p>
            <w:pPr>
              <w:pStyle w:val="Compact"/>
            </w:pPr>
            <w:r>
              <w:t xml:space="preserve">$4.4M</w:t>
            </w:r>
          </w:p>
        </w:tc>
        <w:tc>
          <w:tcPr/>
          <w:p>
            <w:pPr>
              <w:pStyle w:val="Compact"/>
            </w:pPr>
            <w:r>
              <w:t xml:space="preserve">$8.0M</w:t>
            </w:r>
          </w:p>
        </w:tc>
        <w:tc>
          <w:tcPr/>
          <w:p>
            <w:pPr>
              <w:pStyle w:val="Compact"/>
            </w:pPr>
            <w:r>
              <w:t xml:space="preserve">$12.0M</w:t>
            </w:r>
          </w:p>
        </w:tc>
        <w:tc>
          <w:tcPr/>
          <w:p>
            <w:pPr>
              <w:pStyle w:val="Compact"/>
            </w:pPr>
            <w:r>
              <w:t xml:space="preserve">$16.0M</w:t>
            </w:r>
          </w:p>
        </w:tc>
      </w:tr>
      <w:tr>
        <w:tc>
          <w:tcPr/>
          <w:p>
            <w:pPr>
              <w:pStyle w:val="Compact"/>
            </w:pPr>
            <w:r>
              <w:t xml:space="preserve">Home B2C (individual sales)</w:t>
            </w:r>
          </w:p>
        </w:tc>
        <w:tc>
          <w:tcPr/>
          <w:p>
            <w:pPr>
              <w:pStyle w:val="Compact"/>
            </w:pPr>
            <w:r>
              <w:t xml:space="preserve">$0.6M</w:t>
            </w:r>
          </w:p>
        </w:tc>
        <w:tc>
          <w:tcPr/>
          <w:p>
            <w:pPr>
              <w:pStyle w:val="Compact"/>
            </w:pPr>
            <w:r>
              <w:t xml:space="preserve">$2.4M</w:t>
            </w:r>
          </w:p>
        </w:tc>
        <w:tc>
          <w:tcPr/>
          <w:p>
            <w:pPr>
              <w:pStyle w:val="Compact"/>
            </w:pPr>
            <w:r>
              <w:t xml:space="preserve">$3.0M</w:t>
            </w:r>
          </w:p>
        </w:tc>
        <w:tc>
          <w:tcPr/>
          <w:p>
            <w:pPr>
              <w:pStyle w:val="Compact"/>
            </w:pPr>
            <w:r>
              <w:t xml:space="preserve">$2.0M</w:t>
            </w:r>
          </w:p>
        </w:tc>
        <w:tc>
          <w:tcPr/>
          <w:p>
            <w:pPr>
              <w:pStyle w:val="Compact"/>
            </w:pPr>
            <w:r>
              <w:t xml:space="preserve">$1.0M</w:t>
            </w:r>
          </w:p>
        </w:tc>
        <w:tc>
          <w:tcPr/>
          <w:p>
            <w:pPr>
              <w:pStyle w:val="Compact"/>
            </w:pPr>
            <w:r>
              <w:t xml:space="preserve">$0.5M</w:t>
            </w:r>
          </w:p>
        </w:tc>
      </w:tr>
      <w:tr>
        <w:tc>
          <w:tcPr/>
          <w:p>
            <w:pPr>
              <w:pStyle w:val="Compact"/>
            </w:pPr>
            <w:r>
              <w:t xml:space="preserve">Neural Pass (subscription)</w:t>
            </w:r>
          </w:p>
        </w:tc>
        <w:tc>
          <w:tcPr/>
          <w:p>
            <w:pPr>
              <w:pStyle w:val="Compact"/>
            </w:pPr>
            <w:r>
              <w:t xml:space="preserve">—</w:t>
            </w:r>
          </w:p>
        </w:tc>
        <w:tc>
          <w:tcPr/>
          <w:p>
            <w:pPr>
              <w:pStyle w:val="Compact"/>
            </w:pPr>
            <w:r>
              <w:t xml:space="preserve">$31M</w:t>
            </w:r>
          </w:p>
        </w:tc>
        <w:tc>
          <w:tcPr/>
          <w:p>
            <w:pPr>
              <w:pStyle w:val="Compact"/>
            </w:pPr>
            <w:r>
              <w:t xml:space="preserve">$135M</w:t>
            </w:r>
          </w:p>
        </w:tc>
        <w:tc>
          <w:tcPr/>
          <w:p>
            <w:pPr>
              <w:pStyle w:val="Compact"/>
            </w:pPr>
            <w:r>
              <w:t xml:space="preserve">$403M</w:t>
            </w:r>
          </w:p>
        </w:tc>
        <w:tc>
          <w:tcPr/>
          <w:p>
            <w:pPr>
              <w:pStyle w:val="Compact"/>
            </w:pPr>
            <w:r>
              <w:t xml:space="preserve">$1,001M</w:t>
            </w:r>
          </w:p>
        </w:tc>
        <w:tc>
          <w:tcPr/>
          <w:p>
            <w:pPr>
              <w:pStyle w:val="Compact"/>
            </w:pPr>
            <w:r>
              <w:t xml:space="preserve">$1,872M</w:t>
            </w:r>
          </w:p>
        </w:tc>
      </w:tr>
      <w:tr>
        <w:tc>
          <w:tcPr/>
          <w:p>
            <w:pPr>
              <w:pStyle w:val="Compact"/>
            </w:pPr>
            <w:r>
              <w:t xml:space="preserve">Corporate/Events</w:t>
            </w:r>
          </w:p>
        </w:tc>
        <w:tc>
          <w:tcPr/>
          <w:p>
            <w:pPr>
              <w:pStyle w:val="Compact"/>
            </w:pPr>
            <w:r>
              <w:t xml:space="preserve">$0.9M</w:t>
            </w:r>
          </w:p>
        </w:tc>
        <w:tc>
          <w:tcPr/>
          <w:p>
            <w:pPr>
              <w:pStyle w:val="Compact"/>
            </w:pPr>
            <w:r>
              <w:t xml:space="preserve">$2.4M</w:t>
            </w:r>
          </w:p>
        </w:tc>
        <w:tc>
          <w:tcPr/>
          <w:p>
            <w:pPr>
              <w:pStyle w:val="Compact"/>
            </w:pPr>
            <w:r>
              <w:t xml:space="preserve">$4.2M</w:t>
            </w:r>
          </w:p>
        </w:tc>
        <w:tc>
          <w:tcPr/>
          <w:p>
            <w:pPr>
              <w:pStyle w:val="Compact"/>
            </w:pPr>
            <w:r>
              <w:t xml:space="preserve">$6.0M</w:t>
            </w:r>
          </w:p>
        </w:tc>
        <w:tc>
          <w:tcPr/>
          <w:p>
            <w:pPr>
              <w:pStyle w:val="Compact"/>
            </w:pPr>
            <w:r>
              <w:t xml:space="preserve">$7.5M</w:t>
            </w:r>
          </w:p>
        </w:tc>
        <w:tc>
          <w:tcPr/>
          <w:p>
            <w:pPr>
              <w:pStyle w:val="Compact"/>
            </w:pPr>
            <w:r>
              <w:t xml:space="preserve">$9.0M</w:t>
            </w:r>
          </w:p>
        </w:tc>
      </w:tr>
      <w:tr>
        <w:tc>
          <w:tcPr/>
          <w:p>
            <w:pPr>
              <w:pStyle w:val="Compact"/>
            </w:pPr>
            <w:r>
              <w:rPr>
                <w:b/>
                <w:bCs/>
              </w:rPr>
              <w:t xml:space="preserve">Total Gross Revenue</w:t>
            </w:r>
          </w:p>
        </w:tc>
        <w:tc>
          <w:tcPr/>
          <w:p>
            <w:pPr>
              <w:pStyle w:val="Compact"/>
            </w:pPr>
            <w:r>
              <w:rPr>
                <w:b/>
                <w:bCs/>
              </w:rPr>
              <w:t xml:space="preserve">$13.0M</w:t>
            </w:r>
          </w:p>
        </w:tc>
        <w:tc>
          <w:tcPr/>
          <w:p>
            <w:pPr>
              <w:pStyle w:val="Compact"/>
            </w:pPr>
            <w:r>
              <w:rPr>
                <w:b/>
                <w:bCs/>
              </w:rPr>
              <w:t xml:space="preserve">$69.2M</w:t>
            </w:r>
          </w:p>
        </w:tc>
        <w:tc>
          <w:tcPr/>
          <w:p>
            <w:pPr>
              <w:pStyle w:val="Compact"/>
            </w:pPr>
            <w:r>
              <w:rPr>
                <w:b/>
                <w:bCs/>
              </w:rPr>
              <w:t xml:space="preserve">$203.6M</w:t>
            </w:r>
          </w:p>
        </w:tc>
        <w:tc>
          <w:tcPr/>
          <w:p>
            <w:pPr>
              <w:pStyle w:val="Compact"/>
            </w:pPr>
            <w:r>
              <w:rPr>
                <w:b/>
                <w:bCs/>
              </w:rPr>
              <w:t xml:space="preserve">$497.0M</w:t>
            </w:r>
          </w:p>
        </w:tc>
        <w:tc>
          <w:tcPr/>
          <w:p>
            <w:pPr>
              <w:pStyle w:val="Compact"/>
            </w:pPr>
            <w:r>
              <w:rPr>
                <w:b/>
                <w:bCs/>
              </w:rPr>
              <w:t xml:space="preserve">$1,118.5M</w:t>
            </w:r>
          </w:p>
        </w:tc>
        <w:tc>
          <w:tcPr/>
          <w:p>
            <w:pPr>
              <w:pStyle w:val="Compact"/>
            </w:pPr>
            <w:r>
              <w:rPr>
                <w:b/>
                <w:bCs/>
              </w:rPr>
              <w:t xml:space="preserve">$2,012.5M</w:t>
            </w:r>
          </w:p>
        </w:tc>
      </w:tr>
    </w:tbl>
    <w:p>
      <w:pPr>
        <w:pStyle w:val="BodyText"/>
      </w:pPr>
      <w:r>
        <w:rPr>
          <w:b/>
          <w:bCs/>
        </w:rPr>
        <w:t xml:space="preserve">Flagship assumptions:</w:t>
      </w:r>
      <w:r>
        <w:t xml:space="preserve"> </w:t>
      </w:r>
      <w:r>
        <w:t xml:space="preserve">Per-venue revenue at base occupancy (80%) is ~$11.2M/year. Year 1 reflects one full-year venue and one partial. New venues in subsequent years contribute partial-year revenue in their opening year and full revenue thereafter. Occupancy ramps from 70% in opening months to 80%+ by month 6 as word-of-mouth builds.</w:t>
      </w:r>
    </w:p>
    <w:p>
      <w:pPr>
        <w:pStyle w:val="BodyText"/>
      </w:pPr>
      <w:r>
        <w:rPr>
          <w:b/>
          <w:bCs/>
        </w:rPr>
        <w:t xml:space="preserve">Home B2C individual sales decline</w:t>
      </w:r>
      <w:r>
        <w:t xml:space="preserve"> </w:t>
      </w:r>
      <w:r>
        <w:t xml:space="preserve">as the Neural Pass subscription absorbs the addressable market. Individual purchases remain available for consumers who prefer one-time ownership, but the subscription is the dominant home channel from Year 3 onward.</w:t>
      </w:r>
    </w:p>
    <w:p>
      <w:pPr>
        <w:pStyle w:val="BodyText"/>
      </w:pPr>
      <w:r>
        <w:rPr>
          <w:b/>
          <w:bCs/>
        </w:rPr>
        <w:t xml:space="preserve">Neural Pass assumptions</w:t>
      </w:r>
      <w:r>
        <w:t xml:space="preserve"> </w:t>
      </w:r>
      <w:r>
        <w:t xml:space="preserve">are detailed in Section VI. The subscription is the primary scale engine of the business. Revenue includes base subscriptions ($49.99/mo hardware bundle + $14.99/mo digital-only), add-on packs (sports, gaming, wellness at $9.99/mo), and the Digital-Only tier for existing Steam Frame owners.</w:t>
      </w:r>
    </w:p>
    <w:bookmarkEnd w:id="24"/>
    <w:bookmarkStart w:id="25" w:name="cost-structure"/>
    <w:p>
      <w:pPr>
        <w:pStyle w:val="Heading3"/>
      </w:pPr>
      <w:r>
        <w:t xml:space="preserve">Cost Structure</w:t>
      </w:r>
    </w:p>
    <w:tbl>
      <w:tblPr>
        <w:tblStyle w:val="Table"/>
        <w:tblW w:type="pct" w:w="5000"/>
        <w:tblLayout w:type="fixed"/>
        <w:tblLook w:firstRow="1" w:lastRow="0" w:firstColumn="0" w:lastColumn="0" w:noHBand="0" w:noVBand="0" w:val="0020"/>
      </w:tblPr>
      <w:tblGrid>
        <w:gridCol w:w="1980"/>
        <w:gridCol w:w="990"/>
        <w:gridCol w:w="990"/>
        <w:gridCol w:w="990"/>
        <w:gridCol w:w="990"/>
        <w:gridCol w:w="990"/>
        <w:gridCol w:w="990"/>
      </w:tblGrid>
      <w:tr>
        <w:trPr>
          <w:tblHeader w:val="on"/>
        </w:trPr>
        <w:tc>
          <w:tcPr/>
          <w:p>
            <w:pPr>
              <w:pStyle w:val="Compact"/>
            </w:pPr>
            <w:r>
              <w:t xml:space="preserve">Category</w:t>
            </w:r>
          </w:p>
        </w:tc>
        <w:tc>
          <w:tcPr/>
          <w:p>
            <w:pPr>
              <w:pStyle w:val="Compact"/>
            </w:pPr>
            <w:r>
              <w:t xml:space="preserve">Y1</w:t>
            </w:r>
          </w:p>
        </w:tc>
        <w:tc>
          <w:tcPr/>
          <w:p>
            <w:pPr>
              <w:pStyle w:val="Compact"/>
            </w:pPr>
            <w:r>
              <w:t xml:space="preserve">Y2</w:t>
            </w:r>
          </w:p>
        </w:tc>
        <w:tc>
          <w:tcPr/>
          <w:p>
            <w:pPr>
              <w:pStyle w:val="Compact"/>
            </w:pPr>
            <w:r>
              <w:t xml:space="preserve">Y3</w:t>
            </w:r>
          </w:p>
        </w:tc>
        <w:tc>
          <w:tcPr/>
          <w:p>
            <w:pPr>
              <w:pStyle w:val="Compact"/>
            </w:pPr>
            <w:r>
              <w:t xml:space="preserve">Y4</w:t>
            </w:r>
          </w:p>
        </w:tc>
        <w:tc>
          <w:tcPr/>
          <w:p>
            <w:pPr>
              <w:pStyle w:val="Compact"/>
            </w:pPr>
            <w:r>
              <w:t xml:space="preserve">Y5</w:t>
            </w:r>
          </w:p>
        </w:tc>
        <w:tc>
          <w:tcPr/>
          <w:p>
            <w:pPr>
              <w:pStyle w:val="Compact"/>
            </w:pPr>
            <w:r>
              <w:t xml:space="preserve">Y6</w:t>
            </w:r>
          </w:p>
        </w:tc>
      </w:tr>
      <w:tr>
        <w:tc>
          <w:tcPr/>
          <w:p>
            <w:pPr>
              <w:pStyle w:val="Compact"/>
            </w:pPr>
            <w:r>
              <w:t xml:space="preserve">Content (AAA + Sessions + Sports)</w:t>
            </w:r>
          </w:p>
        </w:tc>
        <w:tc>
          <w:tcPr/>
          <w:p>
            <w:pPr>
              <w:pStyle w:val="Compact"/>
            </w:pPr>
            <w:r>
              <w:t xml:space="preserve">$24.5M</w:t>
            </w:r>
          </w:p>
        </w:tc>
        <w:tc>
          <w:tcPr/>
          <w:p>
            <w:pPr>
              <w:pStyle w:val="Compact"/>
            </w:pPr>
            <w:r>
              <w:t xml:space="preserve">$23.5M</w:t>
            </w:r>
          </w:p>
        </w:tc>
        <w:tc>
          <w:tcPr/>
          <w:p>
            <w:pPr>
              <w:pStyle w:val="Compact"/>
            </w:pPr>
            <w:r>
              <w:t xml:space="preserve">$29M</w:t>
            </w:r>
          </w:p>
        </w:tc>
        <w:tc>
          <w:tcPr/>
          <w:p>
            <w:pPr>
              <w:pStyle w:val="Compact"/>
            </w:pPr>
            <w:r>
              <w:t xml:space="preserve">$35M</w:t>
            </w:r>
          </w:p>
        </w:tc>
        <w:tc>
          <w:tcPr/>
          <w:p>
            <w:pPr>
              <w:pStyle w:val="Compact"/>
            </w:pPr>
            <w:r>
              <w:t xml:space="preserve">$43.5M</w:t>
            </w:r>
          </w:p>
        </w:tc>
        <w:tc>
          <w:tcPr/>
          <w:p>
            <w:pPr>
              <w:pStyle w:val="Compact"/>
            </w:pPr>
            <w:r>
              <w:t xml:space="preserve">$51M</w:t>
            </w:r>
          </w:p>
        </w:tc>
      </w:tr>
      <w:tr>
        <w:tc>
          <w:tcPr/>
          <w:p>
            <w:pPr>
              <w:pStyle w:val="Compact"/>
            </w:pPr>
            <w:r>
              <w:t xml:space="preserve">Venue OpEx (all sites)</w:t>
            </w:r>
          </w:p>
        </w:tc>
        <w:tc>
          <w:tcPr/>
          <w:p>
            <w:pPr>
              <w:pStyle w:val="Compact"/>
            </w:pPr>
            <w:r>
              <w:t xml:space="preserve">$6M</w:t>
            </w:r>
          </w:p>
        </w:tc>
        <w:tc>
          <w:tcPr/>
          <w:p>
            <w:pPr>
              <w:pStyle w:val="Compact"/>
            </w:pPr>
            <w:r>
              <w:t xml:space="preserve">$14M</w:t>
            </w:r>
          </w:p>
        </w:tc>
        <w:tc>
          <w:tcPr/>
          <w:p>
            <w:pPr>
              <w:pStyle w:val="Compact"/>
            </w:pPr>
            <w:r>
              <w:t xml:space="preserve">$22M</w:t>
            </w:r>
          </w:p>
        </w:tc>
        <w:tc>
          <w:tcPr/>
          <w:p>
            <w:pPr>
              <w:pStyle w:val="Compact"/>
            </w:pPr>
            <w:r>
              <w:t xml:space="preserve">$30M</w:t>
            </w:r>
          </w:p>
        </w:tc>
        <w:tc>
          <w:tcPr/>
          <w:p>
            <w:pPr>
              <w:pStyle w:val="Compact"/>
            </w:pPr>
            <w:r>
              <w:t xml:space="preserve">$38M</w:t>
            </w:r>
          </w:p>
        </w:tc>
        <w:tc>
          <w:tcPr/>
          <w:p>
            <w:pPr>
              <w:pStyle w:val="Compact"/>
            </w:pPr>
            <w:r>
              <w:t xml:space="preserve">$44M</w:t>
            </w:r>
          </w:p>
        </w:tc>
      </w:tr>
      <w:tr>
        <w:tc>
          <w:tcPr/>
          <w:p>
            <w:pPr>
              <w:pStyle w:val="Compact"/>
            </w:pPr>
            <w:r>
              <w:t xml:space="preserve">Engineering &amp; platform</w:t>
            </w:r>
          </w:p>
        </w:tc>
        <w:tc>
          <w:tcPr/>
          <w:p>
            <w:pPr>
              <w:pStyle w:val="Compact"/>
            </w:pPr>
            <w:r>
              <w:t xml:space="preserve">$4M</w:t>
            </w:r>
          </w:p>
        </w:tc>
        <w:tc>
          <w:tcPr/>
          <w:p>
            <w:pPr>
              <w:pStyle w:val="Compact"/>
            </w:pPr>
            <w:r>
              <w:t xml:space="preserve">$6M</w:t>
            </w:r>
          </w:p>
        </w:tc>
        <w:tc>
          <w:tcPr/>
          <w:p>
            <w:pPr>
              <w:pStyle w:val="Compact"/>
            </w:pPr>
            <w:r>
              <w:t xml:space="preserve">$8M</w:t>
            </w:r>
          </w:p>
        </w:tc>
        <w:tc>
          <w:tcPr/>
          <w:p>
            <w:pPr>
              <w:pStyle w:val="Compact"/>
            </w:pPr>
            <w:r>
              <w:t xml:space="preserve">$12M</w:t>
            </w:r>
          </w:p>
        </w:tc>
        <w:tc>
          <w:tcPr/>
          <w:p>
            <w:pPr>
              <w:pStyle w:val="Compact"/>
            </w:pPr>
            <w:r>
              <w:t xml:space="preserve">$16M</w:t>
            </w:r>
          </w:p>
        </w:tc>
        <w:tc>
          <w:tcPr/>
          <w:p>
            <w:pPr>
              <w:pStyle w:val="Compact"/>
            </w:pPr>
            <w:r>
              <w:t xml:space="preserve">$20M</w:t>
            </w:r>
          </w:p>
        </w:tc>
      </w:tr>
      <w:tr>
        <w:tc>
          <w:tcPr/>
          <w:p>
            <w:pPr>
              <w:pStyle w:val="Compact"/>
            </w:pPr>
            <w:r>
              <w:t xml:space="preserve">Neural Pass OpEx (cloud, support, licensing)</w:t>
            </w:r>
          </w:p>
        </w:tc>
        <w:tc>
          <w:tcPr/>
          <w:p>
            <w:pPr>
              <w:pStyle w:val="Compact"/>
            </w:pPr>
            <w:r>
              <w:t xml:space="preserve">—</w:t>
            </w:r>
          </w:p>
        </w:tc>
        <w:tc>
          <w:tcPr/>
          <w:p>
            <w:pPr>
              <w:pStyle w:val="Compact"/>
            </w:pPr>
            <w:r>
              <w:t xml:space="preserve">$6M</w:t>
            </w:r>
          </w:p>
        </w:tc>
        <w:tc>
          <w:tcPr/>
          <w:p>
            <w:pPr>
              <w:pStyle w:val="Compact"/>
            </w:pPr>
            <w:r>
              <w:t xml:space="preserve">$22M</w:t>
            </w:r>
          </w:p>
        </w:tc>
        <w:tc>
          <w:tcPr/>
          <w:p>
            <w:pPr>
              <w:pStyle w:val="Compact"/>
            </w:pPr>
            <w:r>
              <w:t xml:space="preserve">$72M</w:t>
            </w:r>
          </w:p>
        </w:tc>
        <w:tc>
          <w:tcPr/>
          <w:p>
            <w:pPr>
              <w:pStyle w:val="Compact"/>
            </w:pPr>
            <w:r>
              <w:t xml:space="preserve">$168M</w:t>
            </w:r>
          </w:p>
        </w:tc>
        <w:tc>
          <w:tcPr/>
          <w:p>
            <w:pPr>
              <w:pStyle w:val="Compact"/>
            </w:pPr>
            <w:r>
              <w:t xml:space="preserve">$320M</w:t>
            </w:r>
          </w:p>
        </w:tc>
      </w:tr>
      <w:tr>
        <w:tc>
          <w:tcPr/>
          <w:p>
            <w:pPr>
              <w:pStyle w:val="Compact"/>
            </w:pPr>
            <w:r>
              <w:t xml:space="preserve">New venue build-out</w:t>
            </w:r>
          </w:p>
        </w:tc>
        <w:tc>
          <w:tcPr/>
          <w:p>
            <w:pPr>
              <w:pStyle w:val="Compact"/>
            </w:pPr>
            <w:r>
              <w:t xml:space="preserve">$0*</w:t>
            </w:r>
          </w:p>
        </w:tc>
        <w:tc>
          <w:tcPr/>
          <w:p>
            <w:pPr>
              <w:pStyle w:val="Compact"/>
            </w:pPr>
            <w:r>
              <w:t xml:space="preserve">$26M</w:t>
            </w:r>
          </w:p>
        </w:tc>
        <w:tc>
          <w:tcPr/>
          <w:p>
            <w:pPr>
              <w:pStyle w:val="Compact"/>
            </w:pPr>
            <w:r>
              <w:t xml:space="preserve">$26M</w:t>
            </w:r>
          </w:p>
        </w:tc>
        <w:tc>
          <w:tcPr/>
          <w:p>
            <w:pPr>
              <w:pStyle w:val="Compact"/>
            </w:pPr>
            <w:r>
              <w:t xml:space="preserve">$26M</w:t>
            </w:r>
          </w:p>
        </w:tc>
        <w:tc>
          <w:tcPr/>
          <w:p>
            <w:pPr>
              <w:pStyle w:val="Compact"/>
            </w:pPr>
            <w:r>
              <w:t xml:space="preserve">$26M</w:t>
            </w:r>
          </w:p>
        </w:tc>
        <w:tc>
          <w:tcPr/>
          <w:p>
            <w:pPr>
              <w:pStyle w:val="Compact"/>
            </w:pPr>
            <w:r>
              <w:t xml:space="preserve">$26M</w:t>
            </w:r>
          </w:p>
        </w:tc>
      </w:tr>
      <w:tr>
        <w:tc>
          <w:tcPr/>
          <w:p>
            <w:pPr>
              <w:pStyle w:val="Compact"/>
            </w:pPr>
            <w:r>
              <w:t xml:space="preserve">Corporate overhead</w:t>
            </w:r>
          </w:p>
        </w:tc>
        <w:tc>
          <w:tcPr/>
          <w:p>
            <w:pPr>
              <w:pStyle w:val="Compact"/>
            </w:pPr>
            <w:r>
              <w:t xml:space="preserve">$1.5M</w:t>
            </w:r>
          </w:p>
        </w:tc>
        <w:tc>
          <w:tcPr/>
          <w:p>
            <w:pPr>
              <w:pStyle w:val="Compact"/>
            </w:pPr>
            <w:r>
              <w:t xml:space="preserve">$3M</w:t>
            </w:r>
          </w:p>
        </w:tc>
        <w:tc>
          <w:tcPr/>
          <w:p>
            <w:pPr>
              <w:pStyle w:val="Compact"/>
            </w:pPr>
            <w:r>
              <w:t xml:space="preserve">$5M</w:t>
            </w:r>
          </w:p>
        </w:tc>
        <w:tc>
          <w:tcPr/>
          <w:p>
            <w:pPr>
              <w:pStyle w:val="Compact"/>
            </w:pPr>
            <w:r>
              <w:t xml:space="preserve">$8M</w:t>
            </w:r>
          </w:p>
        </w:tc>
        <w:tc>
          <w:tcPr/>
          <w:p>
            <w:pPr>
              <w:pStyle w:val="Compact"/>
            </w:pPr>
            <w:r>
              <w:t xml:space="preserve">$12M</w:t>
            </w:r>
          </w:p>
        </w:tc>
        <w:tc>
          <w:tcPr/>
          <w:p>
            <w:pPr>
              <w:pStyle w:val="Compact"/>
            </w:pPr>
            <w:r>
              <w:t xml:space="preserve">$16M</w:t>
            </w:r>
          </w:p>
        </w:tc>
      </w:tr>
      <w:tr>
        <w:tc>
          <w:tcPr/>
          <w:p>
            <w:pPr>
              <w:pStyle w:val="Compact"/>
            </w:pPr>
            <w:r>
              <w:rPr>
                <w:b/>
                <w:bCs/>
              </w:rPr>
              <w:t xml:space="preserve">Total Costs</w:t>
            </w:r>
          </w:p>
        </w:tc>
        <w:tc>
          <w:tcPr/>
          <w:p>
            <w:pPr>
              <w:pStyle w:val="Compact"/>
            </w:pPr>
            <w:r>
              <w:rPr>
                <w:b/>
                <w:bCs/>
              </w:rPr>
              <w:t xml:space="preserve">$36M</w:t>
            </w:r>
          </w:p>
        </w:tc>
        <w:tc>
          <w:tcPr/>
          <w:p>
            <w:pPr>
              <w:pStyle w:val="Compact"/>
            </w:pPr>
            <w:r>
              <w:rPr>
                <w:b/>
                <w:bCs/>
              </w:rPr>
              <w:t xml:space="preserve">$78.5M</w:t>
            </w:r>
          </w:p>
        </w:tc>
        <w:tc>
          <w:tcPr/>
          <w:p>
            <w:pPr>
              <w:pStyle w:val="Compact"/>
            </w:pPr>
            <w:r>
              <w:rPr>
                <w:b/>
                <w:bCs/>
              </w:rPr>
              <w:t xml:space="preserve">$112M</w:t>
            </w:r>
          </w:p>
        </w:tc>
        <w:tc>
          <w:tcPr/>
          <w:p>
            <w:pPr>
              <w:pStyle w:val="Compact"/>
            </w:pPr>
            <w:r>
              <w:rPr>
                <w:b/>
                <w:bCs/>
              </w:rPr>
              <w:t xml:space="preserve">$183M</w:t>
            </w:r>
          </w:p>
        </w:tc>
        <w:tc>
          <w:tcPr/>
          <w:p>
            <w:pPr>
              <w:pStyle w:val="Compact"/>
            </w:pPr>
            <w:r>
              <w:rPr>
                <w:b/>
                <w:bCs/>
              </w:rPr>
              <w:t xml:space="preserve">$303.5M</w:t>
            </w:r>
          </w:p>
        </w:tc>
        <w:tc>
          <w:tcPr/>
          <w:p>
            <w:pPr>
              <w:pStyle w:val="Compact"/>
            </w:pPr>
            <w:r>
              <w:rPr>
                <w:b/>
                <w:bCs/>
              </w:rPr>
              <w:t xml:space="preserve">$477M</w:t>
            </w:r>
          </w:p>
        </w:tc>
      </w:tr>
    </w:tbl>
    <w:p>
      <w:pPr>
        <w:pStyle w:val="BodyText"/>
      </w:pPr>
      <w:r>
        <w:rPr>
          <w:i/>
          <w:iCs/>
        </w:rPr>
        <w:t xml:space="preserve">Year 1 venue build-out is pre-funded by the Series A (deployed during the 30-month pre-launch phase).</w:t>
      </w:r>
    </w:p>
    <w:p>
      <w:pPr>
        <w:pStyle w:val="BodyText"/>
      </w:pPr>
      <w:r>
        <w:rPr>
          <w:b/>
          <w:bCs/>
        </w:rPr>
        <w:t xml:space="preserve">Neural Pass OpEx</w:t>
      </w:r>
      <w:r>
        <w:t xml:space="preserve"> </w:t>
      </w:r>
      <w:r>
        <w:t xml:space="preserve">includes cloud streaming infrastructure, content delivery, customer support, licensing royalties, and platform operations. At scale, this averages ~$8/month per active subscriber in direct operating costs — declining over time as infrastructure amortizes.</w:t>
      </w:r>
    </w:p>
    <w:bookmarkEnd w:id="25"/>
    <w:bookmarkStart w:id="26" w:name="ebitda-excluding-spv-debt-service"/>
    <w:p>
      <w:pPr>
        <w:pStyle w:val="Heading3"/>
      </w:pPr>
      <w:r>
        <w:t xml:space="preserve">EBITDA (Excluding SPV Debt Service)</w:t>
      </w:r>
    </w:p>
    <w:tbl>
      <w:tblPr>
        <w:tblStyle w:val="Table"/>
        <w:tblW w:type="pct" w:w="5000"/>
        <w:tblLayout w:type="fixed"/>
        <w:tblLook w:firstRow="1" w:lastRow="0" w:firstColumn="0" w:lastColumn="0" w:noHBand="0" w:noVBand="0" w:val="0020"/>
      </w:tblPr>
      <w:tblGrid>
        <w:gridCol w:w="495"/>
        <w:gridCol w:w="1237"/>
        <w:gridCol w:w="1237"/>
        <w:gridCol w:w="1237"/>
        <w:gridCol w:w="1237"/>
        <w:gridCol w:w="1237"/>
        <w:gridCol w:w="1237"/>
      </w:tblGrid>
      <w:tr>
        <w:trPr>
          <w:tblHeader w:val="on"/>
        </w:trPr>
        <w:tc>
          <w:tcPr/>
          <w:p>
            <w:pPr>
              <w:pStyle w:val="Compact"/>
            </w:pPr>
          </w:p>
        </w:tc>
        <w:tc>
          <w:tcPr/>
          <w:p>
            <w:pPr>
              <w:pStyle w:val="Compact"/>
            </w:pPr>
            <w:r>
              <w:t xml:space="preserve">Y1</w:t>
            </w:r>
          </w:p>
        </w:tc>
        <w:tc>
          <w:tcPr/>
          <w:p>
            <w:pPr>
              <w:pStyle w:val="Compact"/>
            </w:pPr>
            <w:r>
              <w:t xml:space="preserve">Y2</w:t>
            </w:r>
          </w:p>
        </w:tc>
        <w:tc>
          <w:tcPr/>
          <w:p>
            <w:pPr>
              <w:pStyle w:val="Compact"/>
            </w:pPr>
            <w:r>
              <w:t xml:space="preserve">Y3</w:t>
            </w:r>
          </w:p>
        </w:tc>
        <w:tc>
          <w:tcPr/>
          <w:p>
            <w:pPr>
              <w:pStyle w:val="Compact"/>
            </w:pPr>
            <w:r>
              <w:t xml:space="preserve">Y4</w:t>
            </w:r>
          </w:p>
        </w:tc>
        <w:tc>
          <w:tcPr/>
          <w:p>
            <w:pPr>
              <w:pStyle w:val="Compact"/>
            </w:pPr>
            <w:r>
              <w:t xml:space="preserve">Y5</w:t>
            </w:r>
          </w:p>
        </w:tc>
        <w:tc>
          <w:tcPr/>
          <w:p>
            <w:pPr>
              <w:pStyle w:val="Compact"/>
            </w:pPr>
            <w:r>
              <w:t xml:space="preserve">Y6</w:t>
            </w:r>
          </w:p>
        </w:tc>
      </w:tr>
      <w:tr>
        <w:tc>
          <w:tcPr/>
          <w:p>
            <w:pPr>
              <w:pStyle w:val="Compact"/>
            </w:pPr>
            <w:r>
              <w:rPr>
                <w:b/>
                <w:bCs/>
              </w:rPr>
              <w:t xml:space="preserve">EBITDA</w:t>
            </w:r>
          </w:p>
        </w:tc>
        <w:tc>
          <w:tcPr/>
          <w:p>
            <w:pPr>
              <w:pStyle w:val="Compact"/>
            </w:pPr>
            <w:r>
              <w:rPr>
                <w:b/>
                <w:bCs/>
              </w:rPr>
              <w:t xml:space="preserve">($23.0M)</w:t>
            </w:r>
          </w:p>
        </w:tc>
        <w:tc>
          <w:tcPr/>
          <w:p>
            <w:pPr>
              <w:pStyle w:val="Compact"/>
            </w:pPr>
            <w:r>
              <w:rPr>
                <w:b/>
                <w:bCs/>
              </w:rPr>
              <w:t xml:space="preserve">($9.3M)</w:t>
            </w:r>
          </w:p>
        </w:tc>
        <w:tc>
          <w:tcPr/>
          <w:p>
            <w:pPr>
              <w:pStyle w:val="Compact"/>
            </w:pPr>
            <w:r>
              <w:rPr>
                <w:b/>
                <w:bCs/>
              </w:rPr>
              <w:t xml:space="preserve">$91.6M</w:t>
            </w:r>
          </w:p>
        </w:tc>
        <w:tc>
          <w:tcPr/>
          <w:p>
            <w:pPr>
              <w:pStyle w:val="Compact"/>
            </w:pPr>
            <w:r>
              <w:rPr>
                <w:b/>
                <w:bCs/>
              </w:rPr>
              <w:t xml:space="preserve">$314.0M</w:t>
            </w:r>
          </w:p>
        </w:tc>
        <w:tc>
          <w:tcPr/>
          <w:p>
            <w:pPr>
              <w:pStyle w:val="Compact"/>
            </w:pPr>
            <w:r>
              <w:rPr>
                <w:b/>
                <w:bCs/>
              </w:rPr>
              <w:t xml:space="preserve">$815.0M</w:t>
            </w:r>
          </w:p>
        </w:tc>
        <w:tc>
          <w:tcPr/>
          <w:p>
            <w:pPr>
              <w:pStyle w:val="Compact"/>
            </w:pPr>
            <w:r>
              <w:rPr>
                <w:b/>
                <w:bCs/>
              </w:rPr>
              <w:t xml:space="preserve">$1,535.5M</w:t>
            </w:r>
          </w:p>
        </w:tc>
      </w:tr>
      <w:tr>
        <w:tc>
          <w:tcPr/>
          <w:p>
            <w:pPr>
              <w:pStyle w:val="Compact"/>
            </w:pPr>
            <w:r>
              <w:rPr>
                <w:b/>
                <w:bCs/>
              </w:rPr>
              <w:t xml:space="preserve">EBITDA Margin</w:t>
            </w:r>
          </w:p>
        </w:tc>
        <w:tc>
          <w:tcPr/>
          <w:p>
            <w:pPr>
              <w:pStyle w:val="Compact"/>
            </w:pPr>
            <w:r>
              <w:t xml:space="preserve">(177%)</w:t>
            </w:r>
          </w:p>
        </w:tc>
        <w:tc>
          <w:tcPr/>
          <w:p>
            <w:pPr>
              <w:pStyle w:val="Compact"/>
            </w:pPr>
            <w:r>
              <w:t xml:space="preserve">(13%)</w:t>
            </w:r>
          </w:p>
        </w:tc>
        <w:tc>
          <w:tcPr/>
          <w:p>
            <w:pPr>
              <w:pStyle w:val="Compact"/>
            </w:pPr>
            <w:r>
              <w:t xml:space="preserve">45%</w:t>
            </w:r>
          </w:p>
        </w:tc>
        <w:tc>
          <w:tcPr/>
          <w:p>
            <w:pPr>
              <w:pStyle w:val="Compact"/>
            </w:pPr>
            <w:r>
              <w:t xml:space="preserve">63%</w:t>
            </w:r>
          </w:p>
        </w:tc>
        <w:tc>
          <w:tcPr/>
          <w:p>
            <w:pPr>
              <w:pStyle w:val="Compact"/>
            </w:pPr>
            <w:r>
              <w:t xml:space="preserve">73%</w:t>
            </w:r>
          </w:p>
        </w:tc>
        <w:tc>
          <w:tcPr/>
          <w:p>
            <w:pPr>
              <w:pStyle w:val="Compact"/>
            </w:pPr>
            <w:r>
              <w:t xml:space="preserve">76%</w:t>
            </w:r>
          </w:p>
        </w:tc>
      </w:tr>
    </w:tbl>
    <w:p>
      <w:pPr>
        <w:pStyle w:val="BodyText"/>
      </w:pPr>
      <w:r>
        <w:rPr>
          <w:b/>
          <w:bCs/>
        </w:rPr>
        <w:t xml:space="preserve">Year 1 is a planned loss.</w:t>
      </w:r>
      <w:r>
        <w:t xml:space="preserve"> </w:t>
      </w:r>
      <w:r>
        <w:t xml:space="preserve">The first full year of operation carries content production costs while only two Flagships are operational and the subscription has not yet launched. Year 2 approaches break-even as the Neural Pass pilot generates initial revenue. From Year 3 onward, subscription economics drive rapid margin expansion — content and platform costs are largely fixed while subscription revenue scales with subscriber count.</w:t>
      </w:r>
    </w:p>
    <w:p>
      <w:pPr>
        <w:pStyle w:val="BodyText"/>
      </w:pPr>
      <w:r>
        <w:rPr>
          <w:b/>
          <w:bCs/>
        </w:rPr>
        <w:t xml:space="preserve">Note on methodology:</w:t>
      </w:r>
      <w:r>
        <w:t xml:space="preserve"> </w:t>
      </w:r>
      <w:r>
        <w:t xml:space="preserve">Flagship and B2B projections use base-case assumptions (80% occupancy, gradual licensing adoption). The Neural Pass projections assume the scaling trajectory detailed in Section VI, driven by the introduction of sports content in Year 3 and mass-market adoption from Year 4. Even if subscription growth is 50% slower than modeled, the business is profitable from Year 3 on venue and early subscription revenue alone.</w:t>
      </w:r>
    </w:p>
    <w:p>
      <w:r>
        <w:pict>
          <v:rect style="width:0;height:1.5pt" o:hralign="center" o:hrstd="t" o:hr="t"/>
        </w:pict>
      </w:r>
    </w:p>
    <w:bookmarkEnd w:id="26"/>
    <w:bookmarkEnd w:id="27"/>
    <w:bookmarkStart w:id="34" w:name="vi.-the-neural-pass-the-scale-engine"/>
    <w:p>
      <w:pPr>
        <w:pStyle w:val="Heading2"/>
      </w:pPr>
      <w:r>
        <w:t xml:space="preserve">VI. The Neural Pass: The Scale Engine</w:t>
      </w:r>
    </w:p>
    <w:p>
      <w:pPr>
        <w:pStyle w:val="FirstParagraph"/>
      </w:pPr>
      <w:r>
        <w:t xml:space="preserve">The Neural Pass is a Hardware-as-a-Service (HaaS) subscription that bundles a Steam Frame headset, haptic vest, and unlimited access to the vZero content library for $49.99/month on a 24-month contract. It is the primary long-term value driver of the business.</w:t>
      </w:r>
    </w:p>
    <w:p>
      <w:pPr>
        <w:pStyle w:val="BodyText"/>
      </w:pPr>
      <w:r>
        <w:t xml:space="preserve">The Flagships prove the technology and build the brand. The Neural Pass scales it to millions.</w:t>
      </w:r>
    </w:p>
    <w:bookmarkStart w:id="28" w:name="unit-economics"/>
    <w:p>
      <w:pPr>
        <w:pStyle w:val="Heading3"/>
      </w:pPr>
      <w:r>
        <w:t xml:space="preserve">Unit Economics</w:t>
      </w:r>
    </w:p>
    <w:tbl>
      <w:tblPr>
        <w:tblStyle w:val="Table"/>
        <w:tblW w:type="pct" w:w="5000"/>
        <w:tblLayout w:type="fixed"/>
        <w:tblLook w:firstRow="1" w:lastRow="0" w:firstColumn="0" w:lastColumn="0" w:noHBand="0" w:noVBand="0" w:val="0020"/>
      </w:tblPr>
      <w:tblGrid>
        <w:gridCol w:w="2262"/>
        <w:gridCol w:w="3017"/>
        <w:gridCol w:w="2640"/>
      </w:tblGrid>
      <w:tr>
        <w:trPr>
          <w:tblHeader w:val="on"/>
        </w:trPr>
        <w:tc>
          <w:tcPr/>
          <w:p>
            <w:pPr>
              <w:pStyle w:val="Compact"/>
            </w:pPr>
            <w:r>
              <w:t xml:space="preserve">Item</w:t>
            </w:r>
          </w:p>
        </w:tc>
        <w:tc>
          <w:tcPr/>
          <w:p>
            <w:pPr>
              <w:pStyle w:val="Compact"/>
            </w:pPr>
            <w:r>
              <w:t xml:space="preserve">Amount</w:t>
            </w:r>
          </w:p>
        </w:tc>
        <w:tc>
          <w:tcPr/>
          <w:p>
            <w:pPr>
              <w:pStyle w:val="Compact"/>
            </w:pPr>
            <w:r>
              <w:t xml:space="preserve">Notes</w:t>
            </w:r>
          </w:p>
        </w:tc>
      </w:tr>
      <w:tr>
        <w:tc>
          <w:tcPr/>
          <w:p>
            <w:pPr>
              <w:pStyle w:val="Compact"/>
            </w:pPr>
            <w:r>
              <w:t xml:space="preserve">Steam Frame (wholesale)</w:t>
            </w:r>
          </w:p>
        </w:tc>
        <w:tc>
          <w:tcPr/>
          <w:p>
            <w:pPr>
              <w:pStyle w:val="Compact"/>
            </w:pPr>
            <w:r>
              <w:t xml:space="preserve">($400)</w:t>
            </w:r>
          </w:p>
        </w:tc>
        <w:tc>
          <w:tcPr/>
          <w:p>
            <w:pPr>
              <w:pStyle w:val="Compact"/>
            </w:pPr>
            <w:r>
              <w:t xml:space="preserve">~$500–$600 retail, 40–50% wholesale discount at volume</w:t>
            </w:r>
          </w:p>
        </w:tc>
      </w:tr>
      <w:tr>
        <w:tc>
          <w:tcPr/>
          <w:p>
            <w:pPr>
              <w:pStyle w:val="Compact"/>
            </w:pPr>
            <w:r>
              <w:t xml:space="preserve">Haptic vest (wholesale)</w:t>
            </w:r>
          </w:p>
        </w:tc>
        <w:tc>
          <w:tcPr/>
          <w:p>
            <w:pPr>
              <w:pStyle w:val="Compact"/>
            </w:pPr>
            <w:r>
              <w:t xml:space="preserve">($175)</w:t>
            </w:r>
          </w:p>
        </w:tc>
        <w:tc>
          <w:tcPr/>
          <w:p>
            <w:pPr>
              <w:pStyle w:val="Compact"/>
            </w:pPr>
            <w:r>
              <w:t xml:space="preserve">Woojer Vest 4 ~$350 retail, 50% wholesale at volume</w:t>
            </w:r>
          </w:p>
        </w:tc>
      </w:tr>
      <w:tr>
        <w:tc>
          <w:tcPr/>
          <w:p>
            <w:pPr>
              <w:pStyle w:val="Compact"/>
            </w:pPr>
            <w:r>
              <w:t xml:space="preserve">Shipping &amp; fulfillment</w:t>
            </w:r>
          </w:p>
        </w:tc>
        <w:tc>
          <w:tcPr/>
          <w:p>
            <w:pPr>
              <w:pStyle w:val="Compact"/>
            </w:pPr>
            <w:r>
              <w:t xml:space="preserve">($75)</w:t>
            </w:r>
          </w:p>
        </w:tc>
        <w:tc>
          <w:tcPr/>
          <w:p>
            <w:pPr>
              <w:pStyle w:val="Compact"/>
            </w:pPr>
          </w:p>
        </w:tc>
      </w:tr>
      <w:tr>
        <w:tc>
          <w:tcPr/>
          <w:p>
            <w:pPr>
              <w:pStyle w:val="Compact"/>
            </w:pPr>
            <w:r>
              <w:rPr>
                <w:b/>
                <w:bCs/>
              </w:rPr>
              <w:t xml:space="preserve">Hardware COGS</w:t>
            </w:r>
          </w:p>
        </w:tc>
        <w:tc>
          <w:tcPr/>
          <w:p>
            <w:pPr>
              <w:pStyle w:val="Compact"/>
            </w:pPr>
            <w:r>
              <w:rPr>
                <w:b/>
                <w:bCs/>
              </w:rPr>
              <w:t xml:space="preserve">($650)</w:t>
            </w:r>
          </w:p>
        </w:tc>
        <w:tc>
          <w:tcPr/>
          <w:p>
            <w:pPr>
              <w:pStyle w:val="Compact"/>
            </w:pPr>
          </w:p>
        </w:tc>
      </w:tr>
      <w:tr>
        <w:tc>
          <w:tcPr/>
          <w:p>
            <w:pPr>
              <w:pStyle w:val="Compact"/>
            </w:pPr>
            <w:r>
              <w:t xml:space="preserve">Customer acquisition cost</w:t>
            </w:r>
          </w:p>
        </w:tc>
        <w:tc>
          <w:tcPr/>
          <w:p>
            <w:pPr>
              <w:pStyle w:val="Compact"/>
            </w:pPr>
            <w:r>
              <w:t xml:space="preserve">($150)</w:t>
            </w:r>
          </w:p>
        </w:tc>
        <w:tc>
          <w:tcPr/>
          <w:p>
            <w:pPr>
              <w:pStyle w:val="Compact"/>
            </w:pPr>
          </w:p>
        </w:tc>
      </w:tr>
      <w:tr>
        <w:tc>
          <w:tcPr/>
          <w:p>
            <w:pPr>
              <w:pStyle w:val="Compact"/>
            </w:pPr>
            <w:r>
              <w:rPr>
                <w:b/>
                <w:bCs/>
              </w:rPr>
              <w:t xml:space="preserve">Total upfront cost per subscriber</w:t>
            </w:r>
          </w:p>
        </w:tc>
        <w:tc>
          <w:tcPr/>
          <w:p>
            <w:pPr>
              <w:pStyle w:val="Compact"/>
            </w:pPr>
            <w:r>
              <w:rPr>
                <w:b/>
                <w:bCs/>
              </w:rPr>
              <w:t xml:space="preserve">($800)</w:t>
            </w:r>
          </w:p>
        </w:tc>
        <w:tc>
          <w:tcPr/>
          <w:p>
            <w:pPr>
              <w:pStyle w:val="Compact"/>
            </w:pPr>
          </w:p>
        </w:tc>
      </w:tr>
      <w:tr>
        <w:tc>
          <w:tcPr/>
          <w:p>
            <w:pPr>
              <w:pStyle w:val="Compact"/>
            </w:pPr>
            <w:r>
              <w:t xml:space="preserve">Monthly subscription revenue</w:t>
            </w:r>
          </w:p>
        </w:tc>
        <w:tc>
          <w:tcPr/>
          <w:p>
            <w:pPr>
              <w:pStyle w:val="Compact"/>
            </w:pPr>
            <w:r>
              <w:t xml:space="preserve">$49.99</w:t>
            </w:r>
          </w:p>
        </w:tc>
        <w:tc>
          <w:tcPr/>
          <w:p>
            <w:pPr>
              <w:pStyle w:val="Compact"/>
            </w:pPr>
          </w:p>
        </w:tc>
      </w:tr>
      <w:tr>
        <w:tc>
          <w:tcPr/>
          <w:p>
            <w:pPr>
              <w:pStyle w:val="Compact"/>
            </w:pPr>
            <w:r>
              <w:t xml:space="preserve">Monthly add-on revenue (avg.)</w:t>
            </w:r>
          </w:p>
        </w:tc>
        <w:tc>
          <w:tcPr/>
          <w:p>
            <w:pPr>
              <w:pStyle w:val="Compact"/>
            </w:pPr>
            <w:r>
              <w:t xml:space="preserve">$10.00</w:t>
            </w:r>
          </w:p>
        </w:tc>
        <w:tc>
          <w:tcPr/>
          <w:p>
            <w:pPr>
              <w:pStyle w:val="Compact"/>
            </w:pPr>
          </w:p>
        </w:tc>
      </w:tr>
      <w:tr>
        <w:tc>
          <w:tcPr/>
          <w:p>
            <w:pPr>
              <w:pStyle w:val="Compact"/>
            </w:pPr>
            <w:r>
              <w:t xml:space="preserve">Monthly operating cost (cloud, licensing, support)</w:t>
            </w:r>
          </w:p>
        </w:tc>
        <w:tc>
          <w:tcPr/>
          <w:p>
            <w:pPr>
              <w:pStyle w:val="Compact"/>
            </w:pPr>
            <w:r>
              <w:t xml:space="preserve">($8.00)</w:t>
            </w:r>
          </w:p>
        </w:tc>
        <w:tc>
          <w:tcPr/>
          <w:p>
            <w:pPr>
              <w:pStyle w:val="Compact"/>
            </w:pPr>
          </w:p>
        </w:tc>
      </w:tr>
      <w:tr>
        <w:tc>
          <w:tcPr/>
          <w:p>
            <w:pPr>
              <w:pStyle w:val="Compact"/>
            </w:pPr>
            <w:r>
              <w:rPr>
                <w:b/>
                <w:bCs/>
              </w:rPr>
              <w:t xml:space="preserve">Monthly net margin (before debt service)</w:t>
            </w:r>
          </w:p>
        </w:tc>
        <w:tc>
          <w:tcPr/>
          <w:p>
            <w:pPr>
              <w:pStyle w:val="Compact"/>
            </w:pPr>
            <w:r>
              <w:rPr>
                <w:b/>
                <w:bCs/>
              </w:rPr>
              <w:t xml:space="preserve">$51.99</w:t>
            </w:r>
          </w:p>
        </w:tc>
        <w:tc>
          <w:tcPr/>
          <w:p>
            <w:pPr>
              <w:pStyle w:val="Compact"/>
            </w:pPr>
          </w:p>
        </w:tc>
      </w:tr>
      <w:tr>
        <w:tc>
          <w:tcPr/>
          <w:p>
            <w:pPr>
              <w:pStyle w:val="Compact"/>
            </w:pPr>
            <w:r>
              <w:t xml:space="preserve">24-month gross revenue</w:t>
            </w:r>
          </w:p>
        </w:tc>
        <w:tc>
          <w:tcPr/>
          <w:p>
            <w:pPr>
              <w:pStyle w:val="Compact"/>
            </w:pPr>
            <w:r>
              <w:rPr>
                <w:b/>
                <w:bCs/>
              </w:rPr>
              <w:t xml:space="preserve">$1,439.76</w:t>
            </w:r>
          </w:p>
        </w:tc>
        <w:tc>
          <w:tcPr/>
          <w:p>
            <w:pPr>
              <w:pStyle w:val="Compact"/>
            </w:pPr>
          </w:p>
        </w:tc>
      </w:tr>
      <w:tr>
        <w:tc>
          <w:tcPr/>
          <w:p>
            <w:pPr>
              <w:pStyle w:val="Compact"/>
            </w:pPr>
            <w:r>
              <w:t xml:space="preserve">24-month LTV (net of operating costs)</w:t>
            </w:r>
          </w:p>
        </w:tc>
        <w:tc>
          <w:tcPr/>
          <w:p>
            <w:pPr>
              <w:pStyle w:val="Compact"/>
            </w:pPr>
            <w:r>
              <w:rPr>
                <w:b/>
                <w:bCs/>
              </w:rPr>
              <w:t xml:space="preserve">$1,247.76</w:t>
            </w:r>
          </w:p>
        </w:tc>
        <w:tc>
          <w:tcPr/>
          <w:p>
            <w:pPr>
              <w:pStyle w:val="Compact"/>
            </w:pPr>
          </w:p>
        </w:tc>
      </w:tr>
      <w:tr>
        <w:tc>
          <w:tcPr/>
          <w:p>
            <w:pPr>
              <w:pStyle w:val="Compact"/>
            </w:pPr>
            <w:r>
              <w:rPr>
                <w:b/>
                <w:bCs/>
              </w:rPr>
              <w:t xml:space="preserve">Hardware breakeven</w:t>
            </w:r>
          </w:p>
        </w:tc>
        <w:tc>
          <w:tcPr/>
          <w:p>
            <w:pPr>
              <w:pStyle w:val="Compact"/>
            </w:pPr>
            <w:r>
              <w:rPr>
                <w:b/>
                <w:bCs/>
              </w:rPr>
              <w:t xml:space="preserve">Month 15</w:t>
            </w:r>
          </w:p>
        </w:tc>
        <w:tc>
          <w:tcPr/>
          <w:p>
            <w:pPr>
              <w:pStyle w:val="Compact"/>
            </w:pPr>
            <w:r>
              <w:t xml:space="preserve">Was Month 24 at $1,100 COGS</w:t>
            </w:r>
          </w:p>
        </w:tc>
      </w:tr>
    </w:tbl>
    <w:p>
      <w:pPr>
        <w:pStyle w:val="BodyText"/>
      </w:pPr>
      <w:r>
        <w:rPr>
          <w:b/>
          <w:bCs/>
        </w:rPr>
        <w:t xml:space="preserve">The critical inflection:</w:t>
      </w:r>
      <w:r>
        <w:t xml:space="preserve"> </w:t>
      </w:r>
      <w:r>
        <w:t xml:space="preserve">At Month 16, the hardware is fully amortized. The subscriber’s $60/month becomes ~$52/month net margin (86%). Every subscriber who remains past Month 15 generates near-pure profit — and the 24-month contract means 9 months of high-margin revenue before they can churn. Retention is driven by constant content freshness — weekly Sessions, sports matches, and 2 AAA spectacles per year mean there is always something new. Canceling means losing access to a library that grows every week.</w:t>
      </w:r>
    </w:p>
    <w:bookmarkEnd w:id="28"/>
    <w:bookmarkStart w:id="29" w:name="subscriber-growth-trajectory"/>
    <w:p>
      <w:pPr>
        <w:pStyle w:val="Heading3"/>
      </w:pPr>
      <w:r>
        <w:t xml:space="preserve">Subscriber Growth Trajectory</w:t>
      </w:r>
    </w:p>
    <w:tbl>
      <w:tblPr>
        <w:tblStyle w:val="Table"/>
        <w:tblW w:type="pct" w:w="5000"/>
        <w:tblLayout w:type="fixed"/>
        <w:tblLook w:firstRow="1" w:lastRow="0" w:firstColumn="0" w:lastColumn="0" w:noHBand="0" w:noVBand="0" w:val="0020"/>
      </w:tblPr>
      <w:tblGrid>
        <w:gridCol w:w="579"/>
        <w:gridCol w:w="965"/>
        <w:gridCol w:w="3090"/>
        <w:gridCol w:w="1448"/>
        <w:gridCol w:w="1835"/>
      </w:tblGrid>
      <w:tr>
        <w:trPr>
          <w:tblHeader w:val="on"/>
        </w:trPr>
        <w:tc>
          <w:tcPr/>
          <w:p>
            <w:pPr>
              <w:pStyle w:val="Compact"/>
            </w:pPr>
            <w:r>
              <w:t xml:space="preserve">Year</w:t>
            </w:r>
          </w:p>
        </w:tc>
        <w:tc>
          <w:tcPr/>
          <w:p>
            <w:pPr>
              <w:pStyle w:val="Compact"/>
            </w:pPr>
            <w:r>
              <w:t xml:space="preserve">New Subs</w:t>
            </w:r>
          </w:p>
        </w:tc>
        <w:tc>
          <w:tcPr/>
          <w:p>
            <w:pPr>
              <w:pStyle w:val="Compact"/>
            </w:pPr>
            <w:r>
              <w:t xml:space="preserve">Cumulative Active (net of churn)</w:t>
            </w:r>
          </w:p>
        </w:tc>
        <w:tc>
          <w:tcPr/>
          <w:p>
            <w:pPr>
              <w:pStyle w:val="Compact"/>
            </w:pPr>
            <w:r>
              <w:t xml:space="preserve">Annual Revenue</w:t>
            </w:r>
          </w:p>
        </w:tc>
        <w:tc>
          <w:tcPr/>
          <w:p>
            <w:pPr>
              <w:pStyle w:val="Compact"/>
            </w:pPr>
            <w:r>
              <w:t xml:space="preserve">Key Growth Driver</w:t>
            </w:r>
          </w:p>
        </w:tc>
      </w:tr>
      <w:tr>
        <w:tc>
          <w:tcPr/>
          <w:p>
            <w:pPr>
              <w:pStyle w:val="Compact"/>
            </w:pPr>
            <w:r>
              <w:t xml:space="preserve">Y1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Flagship launch. Subscription not yet active.</w:t>
            </w:r>
          </w:p>
        </w:tc>
      </w:tr>
      <w:tr>
        <w:tc>
          <w:tcPr/>
          <w:p>
            <w:pPr>
              <w:pStyle w:val="Compact"/>
            </w:pPr>
            <w:r>
              <w:t xml:space="preserve">Y2</w:t>
            </w:r>
          </w:p>
        </w:tc>
        <w:tc>
          <w:tcPr/>
          <w:p>
            <w:pPr>
              <w:pStyle w:val="Compact"/>
            </w:pPr>
            <w:r>
              <w:t xml:space="preserve">75,000</w:t>
            </w:r>
          </w:p>
        </w:tc>
        <w:tc>
          <w:tcPr/>
          <w:p>
            <w:pPr>
              <w:pStyle w:val="Compact"/>
            </w:pPr>
            <w:r>
              <w:t xml:space="preserve">75,000</w:t>
            </w:r>
          </w:p>
        </w:tc>
        <w:tc>
          <w:tcPr/>
          <w:p>
            <w:pPr>
              <w:pStyle w:val="Compact"/>
            </w:pPr>
            <w:r>
              <w:t xml:space="preserve">$31M</w:t>
            </w:r>
          </w:p>
        </w:tc>
        <w:tc>
          <w:tcPr/>
          <w:p>
            <w:pPr>
              <w:pStyle w:val="Compact"/>
            </w:pPr>
            <w:r>
              <w:t xml:space="preserve">Pilot launch. Flagship visitors convert. Library: 4 AAA + ~75 Sessions.</w:t>
            </w:r>
          </w:p>
        </w:tc>
      </w:tr>
      <w:tr>
        <w:tc>
          <w:tcPr/>
          <w:p>
            <w:pPr>
              <w:pStyle w:val="Compact"/>
            </w:pPr>
            <w:r>
              <w:t xml:space="preserve">Y3</w:t>
            </w:r>
          </w:p>
        </w:tc>
        <w:tc>
          <w:tcPr/>
          <w:p>
            <w:pPr>
              <w:pStyle w:val="Compact"/>
            </w:pPr>
            <w:r>
              <w:t xml:space="preserve">225,000</w:t>
            </w:r>
          </w:p>
        </w:tc>
        <w:tc>
          <w:tcPr/>
          <w:p>
            <w:pPr>
              <w:pStyle w:val="Compact"/>
            </w:pPr>
            <w:r>
              <w:t xml:space="preserve">275,000</w:t>
            </w:r>
          </w:p>
        </w:tc>
        <w:tc>
          <w:tcPr/>
          <w:p>
            <w:pPr>
              <w:pStyle w:val="Compact"/>
            </w:pPr>
            <w:r>
              <w:t xml:space="preserve">$135M</w:t>
            </w:r>
          </w:p>
        </w:tc>
        <w:tc>
          <w:tcPr/>
          <w:p>
            <w:pPr>
              <w:pStyle w:val="Compact"/>
            </w:pPr>
            <w:r>
              <w:t xml:space="preserve">SPV active. Sports launches (tennis/boxing). Library: 6 AAA + 125 Sessions + weekly sport.</w:t>
            </w:r>
          </w:p>
        </w:tc>
      </w:tr>
      <w:tr>
        <w:tc>
          <w:tcPr/>
          <w:p>
            <w:pPr>
              <w:pStyle w:val="Compact"/>
            </w:pPr>
            <w:r>
              <w:t xml:space="preserve">Y4</w:t>
            </w:r>
          </w:p>
        </w:tc>
        <w:tc>
          <w:tcPr/>
          <w:p>
            <w:pPr>
              <w:pStyle w:val="Compact"/>
            </w:pPr>
            <w:r>
              <w:t xml:space="preserve">725,000</w:t>
            </w:r>
          </w:p>
        </w:tc>
        <w:tc>
          <w:tcPr/>
          <w:p>
            <w:pPr>
              <w:pStyle w:val="Compact"/>
            </w:pPr>
            <w:r>
              <w:t xml:space="preserve">900,000</w:t>
            </w:r>
          </w:p>
        </w:tc>
        <w:tc>
          <w:tcPr/>
          <w:p>
            <w:pPr>
              <w:pStyle w:val="Compact"/>
            </w:pPr>
            <w:r>
              <w:t xml:space="preserve">$403M</w:t>
            </w:r>
          </w:p>
        </w:tc>
        <w:tc>
          <w:tcPr/>
          <w:p>
            <w:pPr>
              <w:pStyle w:val="Compact"/>
            </w:pPr>
            <w:r>
              <w:t xml:space="preserve">Sports as core content. 8 Flagships as conversion funnels. Mass marketing begins.</w:t>
            </w:r>
          </w:p>
        </w:tc>
      </w:tr>
      <w:tr>
        <w:tc>
          <w:tcPr/>
          <w:p>
            <w:pPr>
              <w:pStyle w:val="Compact"/>
            </w:pPr>
            <w:r>
              <w:t xml:space="preserve">Y5</w:t>
            </w:r>
          </w:p>
        </w:tc>
        <w:tc>
          <w:tcPr/>
          <w:p>
            <w:pPr>
              <w:pStyle w:val="Compact"/>
            </w:pPr>
            <w:r>
              <w:t xml:space="preserve">1,500,000</w:t>
            </w:r>
          </w:p>
        </w:tc>
        <w:tc>
          <w:tcPr/>
          <w:p>
            <w:pPr>
              <w:pStyle w:val="Compact"/>
            </w:pPr>
            <w:r>
              <w:t xml:space="preserve">2,100,000</w:t>
            </w:r>
          </w:p>
        </w:tc>
        <w:tc>
          <w:tcPr/>
          <w:p>
            <w:pPr>
              <w:pStyle w:val="Compact"/>
            </w:pPr>
            <w:r>
              <w:t xml:space="preserve">$1,001M</w:t>
            </w:r>
          </w:p>
        </w:tc>
        <w:tc>
          <w:tcPr/>
          <w:p>
            <w:pPr>
              <w:pStyle w:val="Compact"/>
            </w:pPr>
            <w:r>
              <w:t xml:space="preserve">Mass market. Hardware cost declining. Multiple sports leagues. 10 AAA + 225 Sessions.</w:t>
            </w:r>
          </w:p>
        </w:tc>
      </w:tr>
      <w:tr>
        <w:tc>
          <w:tcPr/>
          <w:p>
            <w:pPr>
              <w:pStyle w:val="Compact"/>
            </w:pPr>
            <w:r>
              <w:t xml:space="preserve">Y6</w:t>
            </w:r>
          </w:p>
        </w:tc>
        <w:tc>
          <w:tcPr/>
          <w:p>
            <w:pPr>
              <w:pStyle w:val="Compact"/>
            </w:pPr>
            <w:r>
              <w:t xml:space="preserve">2,500,000</w:t>
            </w:r>
          </w:p>
        </w:tc>
        <w:tc>
          <w:tcPr/>
          <w:p>
            <w:pPr>
              <w:pStyle w:val="Compact"/>
            </w:pPr>
            <w:r>
              <w:t xml:space="preserve">4,000,000</w:t>
            </w:r>
          </w:p>
        </w:tc>
        <w:tc>
          <w:tcPr/>
          <w:p>
            <w:pPr>
              <w:pStyle w:val="Compact"/>
            </w:pPr>
            <w:r>
              <w:t xml:space="preserve">$1,872M</w:t>
            </w:r>
          </w:p>
        </w:tc>
        <w:tc>
          <w:tcPr/>
          <w:p>
            <w:pPr>
              <w:pStyle w:val="Compact"/>
            </w:pPr>
            <w:r>
              <w:t xml:space="preserve">Platform scale. 12 Flagships. 12 AAA + 275 Sessions + daily sports.</w:t>
            </w:r>
          </w:p>
        </w:tc>
      </w:tr>
    </w:tbl>
    <w:p>
      <w:pPr>
        <w:pStyle w:val="BodyText"/>
      </w:pPr>
      <w:r>
        <w:rPr>
          <w:b/>
          <w:bCs/>
        </w:rPr>
        <w:t xml:space="preserve">Churn assumption:</w:t>
      </w:r>
      <w:r>
        <w:t xml:space="preserve"> </w:t>
      </w:r>
      <w:r>
        <w:t xml:space="preserve">20% annual churn. This is deliberately higher than comparable services (Peloton ~30% annual at peak, Xbox Game Pass ~15%) to account for mass-market scaling introducing less committed subscribers. Hardware lock-in (24-month contract, device return on cancellation) provides structural churn resistance, but we model conservatively. Cumulative active figures are net of churn.</w:t>
      </w:r>
    </w:p>
    <w:p>
      <w:pPr>
        <w:pStyle w:val="BodyText"/>
      </w:pPr>
      <w:r>
        <w:rPr>
          <w:b/>
          <w:bCs/>
        </w:rPr>
        <w:t xml:space="preserve">Revenue composition per subscriber:</w:t>
      </w:r>
      <w:r>
        <w:t xml:space="preserve"> </w:t>
      </w:r>
      <w:r>
        <w:t xml:space="preserve">The subscriber mix evolves over time:</w:t>
      </w:r>
      <w:r>
        <w:t xml:space="preserve"> </w:t>
      </w:r>
      <w:r>
        <w:t xml:space="preserve">- Hardware bundle subscribers ($49.99/mo + add-ons) represent the majority in early years, declining as the Steam Frame installed base grows</w:t>
      </w:r>
      <w:r>
        <w:t xml:space="preserve"> </w:t>
      </w:r>
      <w:r>
        <w:t xml:space="preserve">- Digital-Only subscribers ($14.99/mo + add-ons) grow from ~30% in Year 2 to ~40% by Year 6 as existing Steam Frame owners convert</w:t>
      </w:r>
      <w:r>
        <w:t xml:space="preserve"> </w:t>
      </w:r>
      <w:r>
        <w:t xml:space="preserve">- Add-on packs ($9.99/mo sports, gaming, wellness) attach to ~30% of all subscribers</w:t>
      </w:r>
      <w:r>
        <w:t xml:space="preserve"> </w:t>
      </w:r>
      <w:r>
        <w:t xml:space="preserve">- Blended ARPU: ~$34–$41/month depending on year and subscriber mix, settling at ~$39/month by Year 6</w:t>
      </w:r>
    </w:p>
    <w:p>
      <w:pPr>
        <w:pStyle w:val="BodyText"/>
      </w:pPr>
      <w:r>
        <w:rPr>
          <w:b/>
          <w:bCs/>
        </w:rPr>
        <w:t xml:space="preserve">Why 4 million is realistic:</w:t>
      </w:r>
      <w:r>
        <w:t xml:space="preserve"> </w:t>
      </w:r>
      <w:r>
        <w:t xml:space="preserve">-</w:t>
      </w:r>
      <w:r>
        <w:t xml:space="preserve"> </w:t>
      </w:r>
      <w:r>
        <w:rPr>
          <w:b/>
          <w:bCs/>
        </w:rPr>
        <w:t xml:space="preserve">The music market alone is vast.</w:t>
      </w:r>
      <w:r>
        <w:t xml:space="preserve"> </w:t>
      </w:r>
      <w:r>
        <w:t xml:space="preserve">Taylor Swift’s Eras Tour sold 10.1M tickets. Beyonce’s Renaissance Tour sold 2.8M. These fans paid $150–$1,500 for a single evening. A $50/month subscription for unlimited access to lifelike volumetric performances — with hardware included — is a fundamentally different value proposition.</w:t>
      </w:r>
      <w:r>
        <w:t xml:space="preserve"> </w:t>
      </w:r>
      <w:r>
        <w:t xml:space="preserve">-</w:t>
      </w:r>
      <w:r>
        <w:t xml:space="preserve"> </w:t>
      </w:r>
      <w:r>
        <w:rPr>
          <w:b/>
          <w:bCs/>
        </w:rPr>
        <w:t xml:space="preserve">Sports multiplies the TAM.</w:t>
      </w:r>
      <w:r>
        <w:t xml:space="preserve"> </w:t>
      </w:r>
      <w:r>
        <w:t xml:space="preserve">There are 1 billion tennis fans globally, 2 billion+ NBA fans, 3.5 billion football fans. Even fractional conversion rates produce millions of subscribers.</w:t>
      </w:r>
      <w:r>
        <w:t xml:space="preserve"> </w:t>
      </w:r>
      <w:r>
        <w:t xml:space="preserve">-</w:t>
      </w:r>
      <w:r>
        <w:t xml:space="preserve"> </w:t>
      </w:r>
      <w:r>
        <w:rPr>
          <w:b/>
          <w:bCs/>
        </w:rPr>
        <w:t xml:space="preserve">The hardware subsidy removes the barrier.</w:t>
      </w:r>
      <w:r>
        <w:t xml:space="preserve"> </w:t>
      </w:r>
      <w:r>
        <w:t xml:space="preserve">The Steam Frame retails at ~$500–$600, plus a $350 haptic vest — nearly $1,000 in hardware. The Neural Pass eliminates this cost entirely, converting a $1,000 purchase decision into a $50/month commitment — comparable to a gym membership or a premium streaming bundle.</w:t>
      </w:r>
      <w:r>
        <w:t xml:space="preserve"> </w:t>
      </w:r>
      <w:r>
        <w:t xml:space="preserve">-</w:t>
      </w:r>
      <w:r>
        <w:t xml:space="preserve"> </w:t>
      </w:r>
      <w:r>
        <w:rPr>
          <w:b/>
          <w:bCs/>
        </w:rPr>
        <w:t xml:space="preserve">Content freshness drives retention.</w:t>
      </w:r>
      <w:r>
        <w:t xml:space="preserve"> </w:t>
      </w:r>
      <w:r>
        <w:t xml:space="preserve">Weekly Sessions + weekly sports + 2 AAA drops per year means subscribers never run out of reasons to keep the headset on.</w:t>
      </w:r>
    </w:p>
    <w:bookmarkEnd w:id="29"/>
    <w:bookmarkStart w:id="30" w:name="subscription-tiers"/>
    <w:p>
      <w:pPr>
        <w:pStyle w:val="Heading3"/>
      </w:pPr>
      <w:r>
        <w:t xml:space="preserve">Subscription Tiers</w:t>
      </w:r>
    </w:p>
    <w:tbl>
      <w:tblPr>
        <w:tblStyle w:val="Table"/>
        <w:tblW w:type="pct" w:w="5000"/>
        <w:tblLayout w:type="fixed"/>
        <w:tblLook w:firstRow="1" w:lastRow="0" w:firstColumn="0" w:lastColumn="0" w:noHBand="0" w:noVBand="0" w:val="0020"/>
      </w:tblPr>
      <w:tblGrid>
        <w:gridCol w:w="1532"/>
        <w:gridCol w:w="1788"/>
        <w:gridCol w:w="2299"/>
        <w:gridCol w:w="2299"/>
      </w:tblGrid>
      <w:tr>
        <w:trPr>
          <w:tblHeader w:val="on"/>
        </w:trPr>
        <w:tc>
          <w:tcPr/>
          <w:p>
            <w:pPr>
              <w:pStyle w:val="Compact"/>
            </w:pPr>
            <w:r>
              <w:t xml:space="preserve">Tier</w:t>
            </w:r>
          </w:p>
        </w:tc>
        <w:tc>
          <w:tcPr/>
          <w:p>
            <w:pPr>
              <w:pStyle w:val="Compact"/>
            </w:pPr>
            <w:r>
              <w:t xml:space="preserve">Price</w:t>
            </w:r>
          </w:p>
        </w:tc>
        <w:tc>
          <w:tcPr/>
          <w:p>
            <w:pPr>
              <w:pStyle w:val="Compact"/>
            </w:pPr>
            <w:r>
              <w:t xml:space="preserve">Hardware</w:t>
            </w:r>
          </w:p>
        </w:tc>
        <w:tc>
          <w:tcPr/>
          <w:p>
            <w:pPr>
              <w:pStyle w:val="Compact"/>
            </w:pPr>
            <w:r>
              <w:t xml:space="preserve">Content</w:t>
            </w:r>
          </w:p>
        </w:tc>
      </w:tr>
      <w:tr>
        <w:tc>
          <w:tcPr/>
          <w:p>
            <w:pPr>
              <w:pStyle w:val="Compact"/>
            </w:pPr>
            <w:r>
              <w:rPr>
                <w:b/>
                <w:bCs/>
              </w:rPr>
              <w:t xml:space="preserve">Founders Pass</w:t>
            </w:r>
          </w:p>
        </w:tc>
        <w:tc>
          <w:tcPr/>
          <w:p>
            <w:pPr>
              <w:pStyle w:val="Compact"/>
            </w:pPr>
            <w:r>
              <w:t xml:space="preserve">$49.99/mo (24-month contract)</w:t>
            </w:r>
          </w:p>
        </w:tc>
        <w:tc>
          <w:tcPr/>
          <w:p>
            <w:pPr>
              <w:pStyle w:val="Compact"/>
            </w:pPr>
            <w:r>
              <w:t xml:space="preserve">Steam Frame + Haptic Vest included</w:t>
            </w:r>
          </w:p>
        </w:tc>
        <w:tc>
          <w:tcPr/>
          <w:p>
            <w:pPr>
              <w:pStyle w:val="Compact"/>
            </w:pPr>
            <w:r>
              <w:t xml:space="preserve">Full vZero library + 2 monthly guest passes</w:t>
            </w:r>
          </w:p>
        </w:tc>
      </w:tr>
      <w:tr>
        <w:tc>
          <w:tcPr/>
          <w:p>
            <w:pPr>
              <w:pStyle w:val="Compact"/>
            </w:pPr>
            <w:r>
              <w:rPr>
                <w:b/>
                <w:bCs/>
              </w:rPr>
              <w:t xml:space="preserve">Digital-Only</w:t>
            </w:r>
          </w:p>
        </w:tc>
        <w:tc>
          <w:tcPr/>
          <w:p>
            <w:pPr>
              <w:pStyle w:val="Compact"/>
            </w:pPr>
            <w:r>
              <w:t xml:space="preserve">$14.99/mo (no contract)</w:t>
            </w:r>
          </w:p>
        </w:tc>
        <w:tc>
          <w:tcPr/>
          <w:p>
            <w:pPr>
              <w:pStyle w:val="Compact"/>
            </w:pPr>
            <w:r>
              <w:t xml:space="preserve">None (for existing Steam Frame owners)</w:t>
            </w:r>
          </w:p>
        </w:tc>
        <w:tc>
          <w:tcPr/>
          <w:p>
            <w:pPr>
              <w:pStyle w:val="Compact"/>
            </w:pPr>
            <w:r>
              <w:t xml:space="preserve">Full vZero library</w:t>
            </w:r>
          </w:p>
        </w:tc>
      </w:tr>
      <w:tr>
        <w:tc>
          <w:tcPr/>
          <w:p>
            <w:pPr>
              <w:pStyle w:val="Compact"/>
            </w:pPr>
            <w:r>
              <w:rPr>
                <w:b/>
                <w:bCs/>
              </w:rPr>
              <w:t xml:space="preserve">Expansion Packs</w:t>
            </w:r>
          </w:p>
        </w:tc>
        <w:tc>
          <w:tcPr/>
          <w:p>
            <w:pPr>
              <w:pStyle w:val="Compact"/>
            </w:pPr>
            <w:r>
              <w:t xml:space="preserve">+$9.99/mo each</w:t>
            </w:r>
          </w:p>
        </w:tc>
        <w:tc>
          <w:tcPr/>
          <w:p>
            <w:pPr>
              <w:pStyle w:val="Compact"/>
            </w:pPr>
            <w:r>
              <w:t xml:space="preserve">—</w:t>
            </w:r>
          </w:p>
        </w:tc>
        <w:tc>
          <w:tcPr/>
          <w:p>
            <w:pPr>
              <w:pStyle w:val="Compact"/>
            </w:pPr>
            <w:r>
              <w:t xml:space="preserve">Sports Pack, Gaming Pack, Wellness Pack</w:t>
            </w:r>
          </w:p>
        </w:tc>
      </w:tr>
    </w:tbl>
    <w:p>
      <w:pPr>
        <w:pStyle w:val="BodyText"/>
      </w:pPr>
      <w:r>
        <w:t xml:space="preserve">The Digital-Only tier is strategically critical. It captures existing Steam Frame owners at pure software margin — no hardware subsidy, no SPV financing, near-100% margin. As the Steam Frame installed base grows (projected 7–10M+ by Year 6), this tier scales with zero capital intensity. At 1M Digital-Only subscribers, this tier alone generates ~$180M/year at ~95% margin.</w:t>
      </w:r>
    </w:p>
    <w:bookmarkEnd w:id="30"/>
    <w:bookmarkStart w:id="31" w:name="spv-financing"/>
    <w:p>
      <w:pPr>
        <w:pStyle w:val="Heading3"/>
      </w:pPr>
      <w:r>
        <w:t xml:space="preserve">SPV Financing</w:t>
      </w:r>
    </w:p>
    <w:p>
      <w:pPr>
        <w:pStyle w:val="FirstParagraph"/>
      </w:pPr>
      <w:r>
        <w:t xml:space="preserve">The upfront hardware cost for Founders Pass subscribers is financed through a Special Purpose Vehicle (SPV):</w:t>
      </w:r>
    </w:p>
    <w:p>
      <w:pPr>
        <w:pStyle w:val="Compact"/>
        <w:numPr>
          <w:ilvl w:val="0"/>
          <w:numId w:val="1001"/>
        </w:numPr>
      </w:pPr>
      <w:r>
        <w:rPr>
          <w:b/>
          <w:bCs/>
        </w:rPr>
        <w:t xml:space="preserve">vZero Finance Co</w:t>
      </w:r>
      <w:r>
        <w:t xml:space="preserve"> </w:t>
      </w:r>
      <w:r>
        <w:t xml:space="preserve">(bankruptcy-remote subsidiary) holds subscriber contracts and leased hardware</w:t>
      </w:r>
    </w:p>
    <w:p>
      <w:pPr>
        <w:pStyle w:val="Compact"/>
        <w:numPr>
          <w:ilvl w:val="0"/>
          <w:numId w:val="1001"/>
        </w:numPr>
      </w:pPr>
      <w:r>
        <w:t xml:space="preserve">A banking partner provides a warehouse credit facility to the SPV</w:t>
      </w:r>
    </w:p>
    <w:p>
      <w:pPr>
        <w:pStyle w:val="Compact"/>
        <w:numPr>
          <w:ilvl w:val="0"/>
          <w:numId w:val="1001"/>
        </w:numPr>
      </w:pPr>
      <w:r>
        <w:t xml:space="preserve">Subscriber payments flow through the SPV, servicing the debt first</w:t>
      </w:r>
    </w:p>
    <w:p>
      <w:pPr>
        <w:pStyle w:val="Compact"/>
        <w:numPr>
          <w:ilvl w:val="0"/>
          <w:numId w:val="1001"/>
        </w:numPr>
      </w:pPr>
      <w:r>
        <w:t xml:space="preserve">Remaining margin flows to vZero Holdings</w:t>
      </w:r>
    </w:p>
    <w:p>
      <w:pPr>
        <w:pStyle w:val="FirstParagraph"/>
      </w:pPr>
      <w:r>
        <w:rPr>
          <w:b/>
          <w:bCs/>
        </w:rPr>
        <w:t xml:space="preserve">Financing timeline:</w:t>
      </w:r>
    </w:p>
    <w:tbl>
      <w:tblPr>
        <w:tblStyle w:val="Table"/>
        <w:tblW w:type="pct" w:w="5000"/>
        <w:tblLayout w:type="fixed"/>
        <w:tblLook w:firstRow="1" w:lastRow="0" w:firstColumn="0" w:lastColumn="0" w:noHBand="0" w:noVBand="0" w:val="0020"/>
      </w:tblPr>
      <w:tblGrid>
        <w:gridCol w:w="1680"/>
        <w:gridCol w:w="1920"/>
        <w:gridCol w:w="2640"/>
        <w:gridCol w:w="1680"/>
      </w:tblGrid>
      <w:tr>
        <w:trPr>
          <w:tblHeader w:val="on"/>
        </w:trPr>
        <w:tc>
          <w:tcPr/>
          <w:p>
            <w:pPr>
              <w:pStyle w:val="Compact"/>
            </w:pPr>
            <w:r>
              <w:t xml:space="preserve">Phase</w:t>
            </w:r>
          </w:p>
        </w:tc>
        <w:tc>
          <w:tcPr/>
          <w:p>
            <w:pPr>
              <w:pStyle w:val="Compact"/>
            </w:pPr>
            <w:r>
              <w:t xml:space="preserve">Period</w:t>
            </w:r>
          </w:p>
        </w:tc>
        <w:tc>
          <w:tcPr/>
          <w:p>
            <w:pPr>
              <w:pStyle w:val="Compact"/>
            </w:pPr>
            <w:r>
              <w:t xml:space="preserve">Mechanism</w:t>
            </w:r>
          </w:p>
        </w:tc>
        <w:tc>
          <w:tcPr/>
          <w:p>
            <w:pPr>
              <w:pStyle w:val="Compact"/>
            </w:pPr>
            <w:r>
              <w:t xml:space="preserve">Scale</w:t>
            </w:r>
          </w:p>
        </w:tc>
      </w:tr>
      <w:tr>
        <w:tc>
          <w:tcPr/>
          <w:p>
            <w:pPr>
              <w:pStyle w:val="Compact"/>
            </w:pPr>
            <w:r>
              <w:rPr>
                <w:b/>
                <w:bCs/>
              </w:rPr>
              <w:t xml:space="preserve">Pilot</w:t>
            </w:r>
          </w:p>
        </w:tc>
        <w:tc>
          <w:tcPr/>
          <w:p>
            <w:pPr>
              <w:pStyle w:val="Compact"/>
            </w:pPr>
            <w:r>
              <w:t xml:space="preserve">Year 2</w:t>
            </w:r>
          </w:p>
        </w:tc>
        <w:tc>
          <w:tcPr/>
          <w:p>
            <w:pPr>
              <w:pStyle w:val="Compact"/>
            </w:pPr>
            <w:r>
              <w:t xml:space="preserve">Equity-funded ($10M–$15M from Series B)</w:t>
            </w:r>
          </w:p>
        </w:tc>
        <w:tc>
          <w:tcPr/>
          <w:p>
            <w:pPr>
              <w:pStyle w:val="Compact"/>
            </w:pPr>
            <w:r>
              <w:t xml:space="preserve">75,000 units</w:t>
            </w:r>
          </w:p>
        </w:tc>
      </w:tr>
      <w:tr>
        <w:tc>
          <w:tcPr/>
          <w:p>
            <w:pPr>
              <w:pStyle w:val="Compact"/>
            </w:pPr>
            <w:r>
              <w:rPr>
                <w:b/>
                <w:bCs/>
              </w:rPr>
              <w:t xml:space="preserve">Warehouse facility</w:t>
            </w:r>
          </w:p>
        </w:tc>
        <w:tc>
          <w:tcPr/>
          <w:p>
            <w:pPr>
              <w:pStyle w:val="Compact"/>
            </w:pPr>
            <w:r>
              <w:t xml:space="preserve">Year 3</w:t>
            </w:r>
          </w:p>
        </w:tc>
        <w:tc>
          <w:tcPr/>
          <w:p>
            <w:pPr>
              <w:pStyle w:val="Compact"/>
            </w:pPr>
            <w:r>
              <w:t xml:space="preserve">$100M–$300M credit line from banking partner</w:t>
            </w:r>
          </w:p>
        </w:tc>
        <w:tc>
          <w:tcPr/>
          <w:p>
            <w:pPr>
              <w:pStyle w:val="Compact"/>
            </w:pPr>
            <w:r>
              <w:t xml:space="preserve">275,000 cumulative units</w:t>
            </w:r>
          </w:p>
        </w:tc>
      </w:tr>
      <w:tr>
        <w:tc>
          <w:tcPr/>
          <w:p>
            <w:pPr>
              <w:pStyle w:val="Compact"/>
            </w:pPr>
            <w:r>
              <w:rPr>
                <w:b/>
                <w:bCs/>
              </w:rPr>
              <w:t xml:space="preserve">Expansion</w:t>
            </w:r>
          </w:p>
        </w:tc>
        <w:tc>
          <w:tcPr/>
          <w:p>
            <w:pPr>
              <w:pStyle w:val="Compact"/>
            </w:pPr>
            <w:r>
              <w:t xml:space="preserve">Year 4</w:t>
            </w:r>
          </w:p>
        </w:tc>
        <w:tc>
          <w:tcPr/>
          <w:p>
            <w:pPr>
              <w:pStyle w:val="Compact"/>
            </w:pPr>
            <w:r>
              <w:t xml:space="preserve">$800M–$1B facility, backed by 12+ months of payment history</w:t>
            </w:r>
          </w:p>
        </w:tc>
        <w:tc>
          <w:tcPr/>
          <w:p>
            <w:pPr>
              <w:pStyle w:val="Compact"/>
            </w:pPr>
            <w:r>
              <w:t xml:space="preserve">900,000 cumulative units</w:t>
            </w:r>
          </w:p>
        </w:tc>
      </w:tr>
      <w:tr>
        <w:tc>
          <w:tcPr/>
          <w:p>
            <w:pPr>
              <w:pStyle w:val="Compact"/>
            </w:pPr>
            <w:r>
              <w:rPr>
                <w:b/>
                <w:bCs/>
              </w:rPr>
              <w:t xml:space="preserve">Securitization</w:t>
            </w:r>
          </w:p>
        </w:tc>
        <w:tc>
          <w:tcPr/>
          <w:p>
            <w:pPr>
              <w:pStyle w:val="Compact"/>
            </w:pPr>
            <w:r>
              <w:t xml:space="preserve">Year 5+</w:t>
            </w:r>
          </w:p>
        </w:tc>
        <w:tc>
          <w:tcPr/>
          <w:p>
            <w:pPr>
              <w:pStyle w:val="Compact"/>
            </w:pPr>
            <w:r>
              <w:t xml:space="preserve">Asset-backed securities (</w:t>
            </w:r>
            <w:r>
              <w:t xml:space="preserve">“Neural Bond”</w:t>
            </w:r>
            <w:r>
              <w:t xml:space="preserve">) sold to institutional investors</w:t>
            </w:r>
          </w:p>
        </w:tc>
        <w:tc>
          <w:tcPr/>
          <w:p>
            <w:pPr>
              <w:pStyle w:val="Compact"/>
            </w:pPr>
            <w:r>
              <w:t xml:space="preserve">2M+ cumulative units</w:t>
            </w:r>
          </w:p>
        </w:tc>
      </w:tr>
      <w:tr>
        <w:tc>
          <w:tcPr/>
          <w:p>
            <w:pPr>
              <w:pStyle w:val="Compact"/>
            </w:pPr>
            <w:r>
              <w:rPr>
                <w:b/>
                <w:bCs/>
              </w:rPr>
              <w:t xml:space="preserve">Mature program</w:t>
            </w:r>
          </w:p>
        </w:tc>
        <w:tc>
          <w:tcPr/>
          <w:p>
            <w:pPr>
              <w:pStyle w:val="Compact"/>
            </w:pPr>
            <w:r>
              <w:t xml:space="preserve">Year 6</w:t>
            </w:r>
          </w:p>
        </w:tc>
        <w:tc>
          <w:tcPr/>
          <w:p>
            <w:pPr>
              <w:pStyle w:val="Compact"/>
            </w:pPr>
            <w:r>
              <w:t xml:space="preserve">Multi-billion dollar ABS program</w:t>
            </w:r>
          </w:p>
        </w:tc>
        <w:tc>
          <w:tcPr/>
          <w:p>
            <w:pPr>
              <w:pStyle w:val="Compact"/>
            </w:pPr>
            <w:r>
              <w:t xml:space="preserve">4M cumulative units</w:t>
            </w:r>
          </w:p>
        </w:tc>
      </w:tr>
    </w:tbl>
    <w:p>
      <w:pPr>
        <w:pStyle w:val="BodyText"/>
      </w:pPr>
      <w:r>
        <w:rPr>
          <w:b/>
          <w:bCs/>
        </w:rPr>
        <w:t xml:space="preserve">Total hardware financed over 6 years:</w:t>
      </w:r>
      <w:r>
        <w:t xml:space="preserve"> </w:t>
      </w:r>
      <w:r>
        <w:t xml:space="preserve">~$2.6B (4M units at declining COGS — hardware costs reduce from $650 in Year 2 to ~$500 in Year 6 as the Steam Frame matures and production scales).</w:t>
      </w:r>
    </w:p>
    <w:p>
      <w:pPr>
        <w:pStyle w:val="BodyText"/>
      </w:pPr>
      <w:r>
        <w:t xml:space="preserve">This is large but not unprecedented. Peloton financed $1.5B+ in hardware through similar structures. Apple’s iPhone Upgrade Program finances tens of billions annually. The founding partner’s financial backing significantly de-risks the credit facility — his involvement provides the guarantee quality that accelerates the warehouse timeline and enables larger initial facilities than a standalone startup could secure.</w:t>
      </w:r>
    </w:p>
    <w:bookmarkEnd w:id="31"/>
    <w:bookmarkStart w:id="32" w:name="manufacturing-partnership"/>
    <w:p>
      <w:pPr>
        <w:pStyle w:val="Heading3"/>
      </w:pPr>
      <w:r>
        <w:t xml:space="preserve">Manufacturing Partnership</w:t>
      </w:r>
    </w:p>
    <w:p>
      <w:pPr>
        <w:pStyle w:val="FirstParagraph"/>
      </w:pPr>
      <w:r>
        <w:t xml:space="preserve">At 4 million Neural Pass units, vZero is ordering more Steam Frames than any other single customer. This requires a formal manufacturing agreement with the founding partner’s company — not just</w:t>
      </w:r>
      <w:r>
        <w:t xml:space="preserve"> </w:t>
      </w:r>
      <w:r>
        <w:t xml:space="preserve">“priority allocation”</w:t>
      </w:r>
      <w:r>
        <w:t xml:space="preserve"> </w:t>
      </w:r>
      <w:r>
        <w:t xml:space="preserve">but a committed production commitment.</w:t>
      </w:r>
    </w:p>
    <w:p>
      <w:pPr>
        <w:pStyle w:val="BodyText"/>
      </w:pPr>
      <w:r>
        <w:t xml:space="preserve">The value exchange is clear: vZero provides a guaranteed hardware distribution channel that drives millions of units into homes that would never have purchased a VR headset for gaming alone. The founding partner’s company gains a massive installed base for their platform ecosystem. This is the Xbox-Halo dynamic: the content sells the hardware.</w:t>
      </w:r>
    </w:p>
    <w:bookmarkEnd w:id="32"/>
    <w:bookmarkStart w:id="33" w:name="why-the-subscription-dominates"/>
    <w:p>
      <w:pPr>
        <w:pStyle w:val="Heading3"/>
      </w:pPr>
      <w:r>
        <w:t xml:space="preserve">Why the Subscription Dominates</w:t>
      </w:r>
    </w:p>
    <w:p>
      <w:pPr>
        <w:pStyle w:val="FirstParagraph"/>
      </w:pPr>
      <w:r>
        <w:t xml:space="preserve">By Year 4, the Neural Pass generates 6x more revenue than all 8 Flagships combined. By Year 6, it generates 19x the venue revenue. This is by design:</w:t>
      </w:r>
    </w:p>
    <w:p>
      <w:pPr>
        <w:pStyle w:val="Compact"/>
        <w:numPr>
          <w:ilvl w:val="0"/>
          <w:numId w:val="1002"/>
        </w:numPr>
      </w:pPr>
      <w:r>
        <w:rPr>
          <w:b/>
          <w:bCs/>
        </w:rPr>
        <w:t xml:space="preserve">Flagships are the funnel.</w:t>
      </w:r>
      <w:r>
        <w:t xml:space="preserve"> </w:t>
      </w:r>
      <w:r>
        <w:t xml:space="preserve">Every visitor is a potential subscriber. At 12 venues serving 1M+ visitors/year, even a 5% conversion rate produces 50,000+ new subscribers annually — and that’s before marketing, word of mouth, and sports-driven acquisition.</w:t>
      </w:r>
    </w:p>
    <w:p>
      <w:pPr>
        <w:pStyle w:val="Compact"/>
        <w:numPr>
          <w:ilvl w:val="0"/>
          <w:numId w:val="1002"/>
        </w:numPr>
      </w:pPr>
      <w:r>
        <w:rPr>
          <w:b/>
          <w:bCs/>
        </w:rPr>
        <w:t xml:space="preserve">Content freshness is the retention engine.</w:t>
      </w:r>
      <w:r>
        <w:t xml:space="preserve"> </w:t>
      </w:r>
      <w:r>
        <w:t xml:space="preserve">Weekly Sessions, weekly sports, and biannual AAA drops mean there is never a reason to cancel. The library grows every single week.</w:t>
      </w:r>
    </w:p>
    <w:p>
      <w:pPr>
        <w:pStyle w:val="Compact"/>
        <w:numPr>
          <w:ilvl w:val="0"/>
          <w:numId w:val="1002"/>
        </w:numPr>
      </w:pPr>
      <w:r>
        <w:rPr>
          <w:b/>
          <w:bCs/>
        </w:rPr>
        <w:t xml:space="preserve">Hardware creates switching costs.</w:t>
      </w:r>
      <w:r>
        <w:t xml:space="preserve"> </w:t>
      </w:r>
      <w:r>
        <w:t xml:space="preserve">A subscriber using the vZero-subsidized Steam Frame and haptic vest is fully integrated into the ecosystem. The cost of leaving (returning hardware or paying the buyout) exceeds the cost of staying.</w:t>
      </w:r>
    </w:p>
    <w:p>
      <w:pPr>
        <w:pStyle w:val="Compact"/>
        <w:numPr>
          <w:ilvl w:val="0"/>
          <w:numId w:val="1002"/>
        </w:numPr>
      </w:pPr>
      <w:r>
        <w:rPr>
          <w:b/>
          <w:bCs/>
        </w:rPr>
        <w:t xml:space="preserve">Sports is the mass-market accelerant.</w:t>
      </w:r>
      <w:r>
        <w:t xml:space="preserve"> </w:t>
      </w:r>
      <w:r>
        <w:t xml:space="preserve">Music drives the early adopters. Sports drives the mass market. The transition from music-only to music+sports in Year 3 is the inflection point that takes the subscriber base from hundreds of thousands to millions.</w:t>
      </w:r>
    </w:p>
    <w:p>
      <w:pPr>
        <w:pStyle w:val="Compact"/>
        <w:numPr>
          <w:ilvl w:val="0"/>
          <w:numId w:val="1002"/>
        </w:numPr>
      </w:pPr>
      <w:r>
        <w:rPr>
          <w:b/>
          <w:bCs/>
        </w:rPr>
        <w:t xml:space="preserve">The margin improves with scale.</w:t>
      </w:r>
      <w:r>
        <w:t xml:space="preserve"> </w:t>
      </w:r>
      <w:r>
        <w:t xml:space="preserve">Content costs are fixed (the same shows serve 75,000 or 4,000,000 subscribers). Per-subscriber cloud costs decline as infrastructure amortizes. At 4 million subscribers, the Neural Pass is a software-margin business generating $1.87B at 76% EBITDA margin.</w:t>
      </w:r>
    </w:p>
    <w:p>
      <w:r>
        <w:pict>
          <v:rect style="width:0;height:1.5pt" o:hralign="center" o:hrstd="t" o:hr="t"/>
        </w:pict>
      </w:r>
    </w:p>
    <w:bookmarkEnd w:id="33"/>
    <w:bookmarkEnd w:id="34"/>
    <w:bookmarkStart w:id="39" w:name="vii.-capital-requirements-structure"/>
    <w:p>
      <w:pPr>
        <w:pStyle w:val="Heading2"/>
      </w:pPr>
      <w:r>
        <w:t xml:space="preserve">VII. Capital Requirements &amp; Structure</w:t>
      </w:r>
    </w:p>
    <w:bookmarkStart w:id="35" w:name="funding-roadmap"/>
    <w:p>
      <w:pPr>
        <w:pStyle w:val="Heading3"/>
      </w:pPr>
      <w:r>
        <w:t xml:space="preserve">Funding Roadmap</w:t>
      </w:r>
    </w:p>
    <w:p>
      <w:pPr>
        <w:pStyle w:val="FirstParagraph"/>
      </w:pPr>
      <w:r>
        <w:t xml:space="preserve">The capital strategy matches the business phases: equity for content and venues, structured debt for the subscription hardware rollout.</w:t>
      </w:r>
    </w:p>
    <w:tbl>
      <w:tblPr>
        <w:tblStyle w:val="Table"/>
        <w:tblW w:type="pct" w:w="5000"/>
        <w:tblLayout w:type="fixed"/>
        <w:tblLook w:firstRow="1" w:lastRow="0" w:firstColumn="0" w:lastColumn="0" w:noHBand="0" w:noVBand="0" w:val="0020"/>
      </w:tblPr>
      <w:tblGrid>
        <w:gridCol w:w="1540"/>
        <w:gridCol w:w="1760"/>
        <w:gridCol w:w="1760"/>
        <w:gridCol w:w="2860"/>
      </w:tblGrid>
      <w:tr>
        <w:trPr>
          <w:tblHeader w:val="on"/>
        </w:trPr>
        <w:tc>
          <w:tcPr/>
          <w:p>
            <w:pPr>
              <w:pStyle w:val="Compact"/>
            </w:pPr>
            <w:r>
              <w:t xml:space="preserve">Round</w:t>
            </w:r>
          </w:p>
        </w:tc>
        <w:tc>
          <w:tcPr/>
          <w:p>
            <w:pPr>
              <w:pStyle w:val="Compact"/>
            </w:pPr>
            <w:r>
              <w:t xml:space="preserve">Timing</w:t>
            </w:r>
          </w:p>
        </w:tc>
        <w:tc>
          <w:tcPr/>
          <w:p>
            <w:pPr>
              <w:pStyle w:val="Compact"/>
            </w:pPr>
            <w:r>
              <w:t xml:space="preserve">Amount</w:t>
            </w:r>
          </w:p>
        </w:tc>
        <w:tc>
          <w:tcPr/>
          <w:p>
            <w:pPr>
              <w:pStyle w:val="Compact"/>
            </w:pPr>
            <w:r>
              <w:t xml:space="preserve">Primary Uses</w:t>
            </w:r>
          </w:p>
        </w:tc>
      </w:tr>
      <w:tr>
        <w:tc>
          <w:tcPr/>
          <w:p>
            <w:pPr>
              <w:pStyle w:val="Compact"/>
            </w:pPr>
            <w:r>
              <w:rPr>
                <w:b/>
                <w:bCs/>
              </w:rPr>
              <w:t xml:space="preserve">Series A</w:t>
            </w:r>
          </w:p>
        </w:tc>
        <w:tc>
          <w:tcPr/>
          <w:p>
            <w:pPr>
              <w:pStyle w:val="Compact"/>
            </w:pPr>
            <w:r>
              <w:t xml:space="preserve">Pre-launch</w:t>
            </w:r>
          </w:p>
        </w:tc>
        <w:tc>
          <w:tcPr/>
          <w:p>
            <w:pPr>
              <w:pStyle w:val="Compact"/>
            </w:pPr>
            <w:r>
              <w:t xml:space="preserve">$40M</w:t>
            </w:r>
          </w:p>
        </w:tc>
        <w:tc>
          <w:tcPr/>
          <w:p>
            <w:pPr>
              <w:pStyle w:val="Compact"/>
            </w:pPr>
            <w:r>
              <w:t xml:space="preserve">Flagships 1–2, Show 1, engineering team, 30-month runway to launch</w:t>
            </w:r>
          </w:p>
        </w:tc>
      </w:tr>
      <w:tr>
        <w:tc>
          <w:tcPr/>
          <w:p>
            <w:pPr>
              <w:pStyle w:val="Compact"/>
            </w:pPr>
            <w:r>
              <w:rPr>
                <w:b/>
                <w:bCs/>
              </w:rPr>
              <w:t xml:space="preserve">Series B</w:t>
            </w:r>
          </w:p>
        </w:tc>
        <w:tc>
          <w:tcPr/>
          <w:p>
            <w:pPr>
              <w:pStyle w:val="Compact"/>
            </w:pPr>
            <w:r>
              <w:t xml:space="preserve">Year 1</w:t>
            </w:r>
          </w:p>
        </w:tc>
        <w:tc>
          <w:tcPr/>
          <w:p>
            <w:pPr>
              <w:pStyle w:val="Compact"/>
            </w:pPr>
            <w:r>
              <w:t xml:space="preserve">$80M–$100M</w:t>
            </w:r>
          </w:p>
        </w:tc>
        <w:tc>
          <w:tcPr/>
          <w:p>
            <w:pPr>
              <w:pStyle w:val="Compact"/>
            </w:pPr>
            <w:r>
              <w:t xml:space="preserve">Shows 2–4, Flagships 3–4, Neural Pass pilot (75K units), permanent capture studio, sports rights scouting</w:t>
            </w:r>
          </w:p>
        </w:tc>
      </w:tr>
      <w:tr>
        <w:tc>
          <w:tcPr/>
          <w:p>
            <w:pPr>
              <w:pStyle w:val="Compact"/>
            </w:pPr>
            <w:r>
              <w:rPr>
                <w:b/>
                <w:bCs/>
              </w:rPr>
              <w:t xml:space="preserve">Series C</w:t>
            </w:r>
          </w:p>
        </w:tc>
        <w:tc>
          <w:tcPr/>
          <w:p>
            <w:pPr>
              <w:pStyle w:val="Compact"/>
            </w:pPr>
            <w:r>
              <w:t xml:space="preserve">Year 3</w:t>
            </w:r>
          </w:p>
        </w:tc>
        <w:tc>
          <w:tcPr/>
          <w:p>
            <w:pPr>
              <w:pStyle w:val="Compact"/>
            </w:pPr>
            <w:r>
              <w:t xml:space="preserve">$120M–$180M</w:t>
            </w:r>
          </w:p>
        </w:tc>
        <w:tc>
          <w:tcPr/>
          <w:p>
            <w:pPr>
              <w:pStyle w:val="Compact"/>
            </w:pPr>
            <w:r>
              <w:t xml:space="preserve">Flagships 5–8, continued content production, sports rights acquisition, Neural Pass scale-out, international expansion</w:t>
            </w:r>
          </w:p>
        </w:tc>
      </w:tr>
      <w:tr>
        <w:tc>
          <w:tcPr/>
          <w:p>
            <w:pPr>
              <w:pStyle w:val="Compact"/>
            </w:pPr>
            <w:r>
              <w:rPr>
                <w:b/>
                <w:bCs/>
              </w:rPr>
              <w:t xml:space="preserve">SPV Facility</w:t>
            </w:r>
          </w:p>
        </w:tc>
        <w:tc>
          <w:tcPr/>
          <w:p>
            <w:pPr>
              <w:pStyle w:val="Compact"/>
            </w:pPr>
            <w:r>
              <w:t xml:space="preserve">Year 3+</w:t>
            </w:r>
          </w:p>
        </w:tc>
        <w:tc>
          <w:tcPr/>
          <w:p>
            <w:pPr>
              <w:pStyle w:val="Compact"/>
            </w:pPr>
            <w:r>
              <w:t xml:space="preserve">$300M–$5B+</w:t>
            </w:r>
          </w:p>
        </w:tc>
        <w:tc>
          <w:tcPr/>
          <w:p>
            <w:pPr>
              <w:pStyle w:val="Compact"/>
            </w:pPr>
            <w:r>
              <w:t xml:space="preserve">Neural Pass hardware financing (off balance sheet, scaling with subscriber count)</w:t>
            </w:r>
          </w:p>
        </w:tc>
      </w:tr>
    </w:tbl>
    <w:p>
      <w:pPr>
        <w:pStyle w:val="BodyText"/>
      </w:pPr>
      <w:r>
        <w:rPr>
          <w:b/>
          <w:bCs/>
        </w:rPr>
        <w:t xml:space="preserve">Total equity raised through Year 3:</w:t>
      </w:r>
      <w:r>
        <w:t xml:space="preserve"> </w:t>
      </w:r>
      <w:r>
        <w:t xml:space="preserve">$240M–$320M</w:t>
      </w:r>
      <w:r>
        <w:t xml:space="preserve"> </w:t>
      </w:r>
      <w:r>
        <w:rPr>
          <w:b/>
          <w:bCs/>
        </w:rPr>
        <w:t xml:space="preserve">Total debt (SPV, off balance sheet):</w:t>
      </w:r>
      <w:r>
        <w:t xml:space="preserve"> </w:t>
      </w:r>
      <w:r>
        <w:t xml:space="preserve">$300M–$5B+ (scales with subscriber count over Years 3–6)</w:t>
      </w:r>
    </w:p>
    <w:bookmarkEnd w:id="35"/>
    <w:bookmarkStart w:id="36" w:name="series-a-40m-detail"/>
    <w:p>
      <w:pPr>
        <w:pStyle w:val="Heading3"/>
      </w:pPr>
      <w:r>
        <w:t xml:space="preserve">Series A: $40M (Detail)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Allocation</w:t>
            </w:r>
          </w:p>
        </w:tc>
        <w:tc>
          <w:tcPr/>
          <w:p>
            <w:pPr>
              <w:pStyle w:val="Compact"/>
            </w:pPr>
            <w:r>
              <w:t xml:space="preserve">Amount</w:t>
            </w:r>
          </w:p>
        </w:tc>
        <w:tc>
          <w:tcPr/>
          <w:p>
            <w:pPr>
              <w:pStyle w:val="Compact"/>
            </w:pPr>
            <w:r>
              <w:t xml:space="preserve">Entity</w:t>
            </w:r>
          </w:p>
        </w:tc>
      </w:tr>
      <w:tr>
        <w:tc>
          <w:tcPr/>
          <w:p>
            <w:pPr>
              <w:pStyle w:val="Compact"/>
            </w:pPr>
            <w:r>
              <w:t xml:space="preserve">Flagship 1 build-out</w:t>
            </w:r>
          </w:p>
        </w:tc>
        <w:tc>
          <w:tcPr/>
          <w:p>
            <w:pPr>
              <w:pStyle w:val="Compact"/>
            </w:pPr>
            <w:r>
              <w:t xml:space="preserve">$15M</w:t>
            </w:r>
          </w:p>
        </w:tc>
        <w:tc>
          <w:tcPr/>
          <w:p>
            <w:pPr>
              <w:pStyle w:val="Compact"/>
            </w:pPr>
            <w:r>
              <w:t xml:space="preserve">Retail</w:t>
            </w:r>
          </w:p>
        </w:tc>
      </w:tr>
      <w:tr>
        <w:tc>
          <w:tcPr/>
          <w:p>
            <w:pPr>
              <w:pStyle w:val="Compact"/>
            </w:pPr>
            <w:r>
              <w:t xml:space="preserve">Flagship 2 build-out</w:t>
            </w:r>
          </w:p>
        </w:tc>
        <w:tc>
          <w:tcPr/>
          <w:p>
            <w:pPr>
              <w:pStyle w:val="Compact"/>
            </w:pPr>
            <w:r>
              <w:t xml:space="preserve">$11M</w:t>
            </w:r>
          </w:p>
        </w:tc>
        <w:tc>
          <w:tcPr/>
          <w:p>
            <w:pPr>
              <w:pStyle w:val="Compact"/>
            </w:pPr>
            <w:r>
              <w:t xml:space="preserve">Retail</w:t>
            </w:r>
          </w:p>
        </w:tc>
      </w:tr>
      <w:tr>
        <w:tc>
          <w:tcPr/>
          <w:p>
            <w:pPr>
              <w:pStyle w:val="Compact"/>
            </w:pPr>
            <w:r>
              <w:t xml:space="preserve">Show 1 production</w:t>
            </w:r>
          </w:p>
        </w:tc>
        <w:tc>
          <w:tcPr/>
          <w:p>
            <w:pPr>
              <w:pStyle w:val="Compact"/>
            </w:pPr>
            <w:r>
              <w:t xml:space="preserve">$10M</w:t>
            </w:r>
          </w:p>
        </w:tc>
        <w:tc>
          <w:tcPr/>
          <w:p>
            <w:pPr>
              <w:pStyle w:val="Compact"/>
            </w:pPr>
            <w:r>
              <w:t xml:space="preserve">Publisher</w:t>
            </w:r>
          </w:p>
        </w:tc>
      </w:tr>
      <w:tr>
        <w:tc>
          <w:tcPr/>
          <w:p>
            <w:pPr>
              <w:pStyle w:val="Compact"/>
            </w:pPr>
            <w:r>
              <w:t xml:space="preserve">Engineering team (18 months)</w:t>
            </w:r>
          </w:p>
        </w:tc>
        <w:tc>
          <w:tcPr/>
          <w:p>
            <w:pPr>
              <w:pStyle w:val="Compact"/>
            </w:pPr>
            <w:r>
              <w:t xml:space="preserve">$3M</w:t>
            </w:r>
          </w:p>
        </w:tc>
        <w:tc>
          <w:tcPr/>
          <w:p>
            <w:pPr>
              <w:pStyle w:val="Compact"/>
            </w:pPr>
            <w:r>
              <w:t xml:space="preserve">Publisher</w:t>
            </w:r>
          </w:p>
        </w:tc>
      </w:tr>
      <w:tr>
        <w:tc>
          <w:tcPr/>
          <w:p>
            <w:pPr>
              <w:pStyle w:val="Compact"/>
            </w:pPr>
            <w:r>
              <w:t xml:space="preserve">Operating reserve</w:t>
            </w:r>
          </w:p>
        </w:tc>
        <w:tc>
          <w:tcPr/>
          <w:p>
            <w:pPr>
              <w:pStyle w:val="Compact"/>
            </w:pPr>
            <w:r>
              <w:t xml:space="preserve">$1M</w:t>
            </w:r>
          </w:p>
        </w:tc>
        <w:tc>
          <w:tcPr/>
          <w:p>
            <w:pPr>
              <w:pStyle w:val="Compact"/>
            </w:pPr>
            <w:r>
              <w:t xml:space="preserve">Holdings</w:t>
            </w:r>
          </w:p>
        </w:tc>
      </w:tr>
      <w:tr>
        <w:tc>
          <w:tcPr/>
          <w:p>
            <w:pPr>
              <w:pStyle w:val="Compact"/>
            </w:pPr>
            <w:r>
              <w:rPr>
                <w:b/>
                <w:bCs/>
              </w:rPr>
              <w:t xml:space="preserve">Total</w:t>
            </w:r>
          </w:p>
        </w:tc>
        <w:tc>
          <w:tcPr/>
          <w:p>
            <w:pPr>
              <w:pStyle w:val="Compact"/>
            </w:pPr>
            <w:r>
              <w:rPr>
                <w:b/>
                <w:bCs/>
              </w:rPr>
              <w:t xml:space="preserve">$40M</w:t>
            </w:r>
          </w:p>
        </w:tc>
        <w:tc>
          <w:tcPr/>
          <w:p>
            <w:pPr>
              <w:pStyle w:val="Compact"/>
            </w:pPr>
          </w:p>
        </w:tc>
      </w:tr>
    </w:tbl>
    <w:bookmarkEnd w:id="36"/>
    <w:bookmarkStart w:id="37" w:name="founding-partner-role"/>
    <w:p>
      <w:pPr>
        <w:pStyle w:val="Heading3"/>
      </w:pPr>
      <w:r>
        <w:t xml:space="preserve">Founding Partner Role</w:t>
      </w:r>
    </w:p>
    <w:p>
      <w:pPr>
        <w:pStyle w:val="FirstParagraph"/>
      </w:pPr>
      <w:r>
        <w:t xml:space="preserve">The founding partner and his structures provide:</w:t>
      </w:r>
    </w:p>
    <w:p>
      <w:pPr>
        <w:pStyle w:val="Compact"/>
        <w:numPr>
          <w:ilvl w:val="0"/>
          <w:numId w:val="1003"/>
        </w:numPr>
      </w:pPr>
      <w:r>
        <w:rPr>
          <w:b/>
          <w:bCs/>
        </w:rPr>
        <w:t xml:space="preserve">Anchor equity</w:t>
      </w:r>
      <w:r>
        <w:t xml:space="preserve"> </w:t>
      </w:r>
      <w:r>
        <w:t xml:space="preserve">across funding rounds (lead or co-lead position in Series A, with pro-rata rights in subsequent rounds)</w:t>
      </w:r>
    </w:p>
    <w:p>
      <w:pPr>
        <w:pStyle w:val="Compact"/>
        <w:numPr>
          <w:ilvl w:val="0"/>
          <w:numId w:val="1003"/>
        </w:numPr>
      </w:pPr>
      <w:r>
        <w:rPr>
          <w:b/>
          <w:bCs/>
        </w:rPr>
        <w:t xml:space="preserve">Strategic hardware access</w:t>
      </w:r>
      <w:r>
        <w:t xml:space="preserve"> </w:t>
      </w:r>
      <w:r>
        <w:t xml:space="preserve">— priority allocation of Steam Frame units, dev kit access, engineering collaboration with the hardware team</w:t>
      </w:r>
    </w:p>
    <w:p>
      <w:pPr>
        <w:pStyle w:val="Compact"/>
        <w:numPr>
          <w:ilvl w:val="0"/>
          <w:numId w:val="1003"/>
        </w:numPr>
      </w:pPr>
      <w:r>
        <w:rPr>
          <w:b/>
          <w:bCs/>
        </w:rPr>
        <w:t xml:space="preserve">Platform distribution</w:t>
      </w:r>
      <w:r>
        <w:t xml:space="preserve"> </w:t>
      </w:r>
      <w:r>
        <w:t xml:space="preserve">— vZero content featured on the Steam Store and SteamVR home environment</w:t>
      </w:r>
    </w:p>
    <w:p>
      <w:pPr>
        <w:pStyle w:val="Compact"/>
        <w:numPr>
          <w:ilvl w:val="0"/>
          <w:numId w:val="1003"/>
        </w:numPr>
      </w:pPr>
      <w:r>
        <w:rPr>
          <w:b/>
          <w:bCs/>
        </w:rPr>
        <w:t xml:space="preserve">Neural Pass acceleration</w:t>
      </w:r>
      <w:r>
        <w:t xml:space="preserve"> </w:t>
      </w:r>
      <w:r>
        <w:t xml:space="preserve">— the founding partner’s financial credibility de-risks the SPV facility, enabling faster and larger credit lines than a standalone startup could secure</w:t>
      </w:r>
    </w:p>
    <w:p>
      <w:pPr>
        <w:pStyle w:val="Compact"/>
        <w:numPr>
          <w:ilvl w:val="0"/>
          <w:numId w:val="1003"/>
        </w:numPr>
      </w:pPr>
      <w:r>
        <w:rPr>
          <w:b/>
          <w:bCs/>
        </w:rPr>
        <w:t xml:space="preserve">Credibility signal</w:t>
      </w:r>
      <w:r>
        <w:t xml:space="preserve"> </w:t>
      </w:r>
      <w:r>
        <w:t xml:space="preserve">— the founding partner’s involvement de-risks the venture for co-investors, artist partners, and venue landlords at every stage</w:t>
      </w:r>
    </w:p>
    <w:p>
      <w:pPr>
        <w:pStyle w:val="FirstParagraph"/>
      </w:pPr>
      <w:r>
        <w:t xml:space="preserve">In exchange, the founding partner and affiliated structures receive preferred equity with standard protective provisions, a board seat, and first-refusal rights on future rounds.</w:t>
      </w:r>
    </w:p>
    <w:bookmarkEnd w:id="37"/>
    <w:bookmarkStart w:id="38" w:name="content-investment-over-6-years"/>
    <w:p>
      <w:pPr>
        <w:pStyle w:val="Heading3"/>
      </w:pPr>
      <w:r>
        <w:t xml:space="preserve">Content Investment Over 6 Years</w:t>
      </w:r>
    </w:p>
    <w:p>
      <w:pPr>
        <w:pStyle w:val="FirstParagraph"/>
      </w:pPr>
      <w:r>
        <w:t xml:space="preserve">At 2 shows per year and $10M per show, the Publisher invests $120M in content over 6 years. This builds a library of 12 AAA volumetric spectacles — the definitive catalog in a new medium. This library is the core asset that drives flagship attendance, B2B licensing value, and Neural Pass subscriber retention. It is also the primary basis for the Publisher’s valuation at exit.</w:t>
      </w:r>
    </w:p>
    <w:p>
      <w:r>
        <w:pict>
          <v:rect style="width:0;height:1.5pt" o:hralign="center" o:hrstd="t" o:hr="t"/>
        </w:pict>
      </w:r>
    </w:p>
    <w:bookmarkEnd w:id="38"/>
    <w:bookmarkEnd w:id="39"/>
    <w:bookmarkStart w:id="43" w:name="viii.-exit-valuation-logic"/>
    <w:p>
      <w:pPr>
        <w:pStyle w:val="Heading2"/>
      </w:pPr>
      <w:r>
        <w:t xml:space="preserve">VIII. Exit &amp; Valuation Logic</w:t>
      </w:r>
    </w:p>
    <w:bookmarkStart w:id="40" w:name="minimum-horizon-6-years"/>
    <w:p>
      <w:pPr>
        <w:pStyle w:val="Heading3"/>
      </w:pPr>
      <w:r>
        <w:t xml:space="preserve">Minimum Horizon: 6 Years</w:t>
      </w:r>
    </w:p>
    <w:p>
      <w:pPr>
        <w:pStyle w:val="FirstParagraph"/>
      </w:pPr>
      <w:r>
        <w:t xml:space="preserve">vZero is not designed for a quick flip. The business requires 6+ years to realize its full value because:</w:t>
      </w:r>
    </w:p>
    <w:p>
      <w:pPr>
        <w:pStyle w:val="Compact"/>
        <w:numPr>
          <w:ilvl w:val="0"/>
          <w:numId w:val="1004"/>
        </w:numPr>
      </w:pPr>
      <w:r>
        <w:rPr>
          <w:b/>
          <w:bCs/>
        </w:rPr>
        <w:t xml:space="preserve">The content library needs depth.</w:t>
      </w:r>
      <w:r>
        <w:t xml:space="preserve"> </w:t>
      </w:r>
      <w:r>
        <w:t xml:space="preserve">12 AAA shows, 275+ Sessions, and years of sports archives create a catalog with lasting value. 2–4 shows is a startup; this library is an institution.</w:t>
      </w:r>
    </w:p>
    <w:p>
      <w:pPr>
        <w:pStyle w:val="Compact"/>
        <w:numPr>
          <w:ilvl w:val="0"/>
          <w:numId w:val="1004"/>
        </w:numPr>
      </w:pPr>
      <w:r>
        <w:rPr>
          <w:b/>
          <w:bCs/>
        </w:rPr>
        <w:t xml:space="preserve">The venue network needs scale.</w:t>
      </w:r>
      <w:r>
        <w:t xml:space="preserve"> </w:t>
      </w:r>
      <w:r>
        <w:t xml:space="preserve">12 Flagships across global entertainment capitals creates a defensible physical moat that takes years to build and is impossible to replicate quickly.</w:t>
      </w:r>
    </w:p>
    <w:p>
      <w:pPr>
        <w:pStyle w:val="Compact"/>
        <w:numPr>
          <w:ilvl w:val="0"/>
          <w:numId w:val="1004"/>
        </w:numPr>
      </w:pPr>
      <w:r>
        <w:rPr>
          <w:b/>
          <w:bCs/>
        </w:rPr>
        <w:t xml:space="preserve">The subscription base needs critical mass.</w:t>
      </w:r>
      <w:r>
        <w:t xml:space="preserve"> </w:t>
      </w:r>
      <w:r>
        <w:t xml:space="preserve">4 million subscribers generating $1.87B in annual recurring revenue is a fundamentally different asset than a 75,000-subscriber pilot. The flywheel — content drives subscribers, subscribers fund content — needs time to reach full velocity.</w:t>
      </w:r>
    </w:p>
    <w:p>
      <w:pPr>
        <w:pStyle w:val="FirstParagraph"/>
      </w:pPr>
      <w:r>
        <w:t xml:space="preserve">Exiting before Year 6 would mean selling the business before the sports-driven mass-market phase delivers its full subscriber cohort — leaving the majority of the value on the table.</w:t>
      </w:r>
    </w:p>
    <w:bookmarkEnd w:id="40"/>
    <w:bookmarkStart w:id="41" w:name="year-6-valuation"/>
    <w:p>
      <w:pPr>
        <w:pStyle w:val="Heading3"/>
      </w:pPr>
      <w:r>
        <w:t xml:space="preserve">Year 6 Valuation</w:t>
      </w:r>
    </w:p>
    <w:tbl>
      <w:tblPr>
        <w:tblStyle w:val="Table"/>
        <w:tblW w:type="pct" w:w="5000"/>
        <w:tblLayout w:type="fixed"/>
        <w:tblLook w:firstRow="1" w:lastRow="0" w:firstColumn="0" w:lastColumn="0" w:noHBand="0" w:noVBand="0" w:val="0020"/>
      </w:tblPr>
      <w:tblGrid>
        <w:gridCol w:w="1760"/>
        <w:gridCol w:w="1540"/>
        <w:gridCol w:w="2200"/>
        <w:gridCol w:w="2420"/>
      </w:tblGrid>
      <w:tr>
        <w:trPr>
          <w:tblHeader w:val="on"/>
        </w:trPr>
        <w:tc>
          <w:tcPr/>
          <w:p>
            <w:pPr>
              <w:pStyle w:val="Compact"/>
            </w:pPr>
            <w:r>
              <w:t xml:space="preserve">Method</w:t>
            </w:r>
          </w:p>
        </w:tc>
        <w:tc>
          <w:tcPr/>
          <w:p>
            <w:pPr>
              <w:pStyle w:val="Compact"/>
            </w:pPr>
            <w:r>
              <w:t xml:space="preserve">Basis</w:t>
            </w:r>
          </w:p>
        </w:tc>
        <w:tc>
          <w:tcPr/>
          <w:p>
            <w:pPr>
              <w:pStyle w:val="Compact"/>
            </w:pPr>
            <w:r>
              <w:t xml:space="preserve">Multiple</w:t>
            </w:r>
          </w:p>
        </w:tc>
        <w:tc>
          <w:tcPr/>
          <w:p>
            <w:pPr>
              <w:pStyle w:val="Compact"/>
            </w:pPr>
            <w:r>
              <w:t xml:space="preserve">Valuation</w:t>
            </w:r>
          </w:p>
        </w:tc>
      </w:tr>
      <w:tr>
        <w:tc>
          <w:tcPr/>
          <w:p>
            <w:pPr>
              <w:pStyle w:val="Compact"/>
            </w:pPr>
            <w:r>
              <w:t xml:space="preserve">Publisher (subscription ARR)</w:t>
            </w:r>
          </w:p>
        </w:tc>
        <w:tc>
          <w:tcPr/>
          <w:p>
            <w:pPr>
              <w:pStyle w:val="Compact"/>
            </w:pPr>
            <w:r>
              <w:t xml:space="preserve">$1,872M Neural Pass + $16M B2B licensing</w:t>
            </w:r>
          </w:p>
        </w:tc>
        <w:tc>
          <w:tcPr/>
          <w:p>
            <w:pPr>
              <w:pStyle w:val="Compact"/>
            </w:pPr>
            <w:r>
              <w:t xml:space="preserve">6–8x</w:t>
            </w:r>
          </w:p>
        </w:tc>
        <w:tc>
          <w:tcPr/>
          <w:p>
            <w:pPr>
              <w:pStyle w:val="Compact"/>
            </w:pPr>
            <w:r>
              <w:t xml:space="preserve">$11.3B–$15.1B</w:t>
            </w:r>
          </w:p>
        </w:tc>
      </w:tr>
      <w:tr>
        <w:tc>
          <w:tcPr/>
          <w:p>
            <w:pPr>
              <w:pStyle w:val="Compact"/>
            </w:pPr>
            <w:r>
              <w:t xml:space="preserve">Retail (venues EBITDA)</w:t>
            </w:r>
          </w:p>
        </w:tc>
        <w:tc>
          <w:tcPr/>
          <w:p>
            <w:pPr>
              <w:pStyle w:val="Compact"/>
            </w:pPr>
            <w:r>
              <w:t xml:space="preserve">~$64M EBITDA from 12 Flagships</w:t>
            </w:r>
          </w:p>
        </w:tc>
        <w:tc>
          <w:tcPr/>
          <w:p>
            <w:pPr>
              <w:pStyle w:val="Compact"/>
            </w:pPr>
            <w:r>
              <w:t xml:space="preserve">8–10x</w:t>
            </w:r>
          </w:p>
        </w:tc>
        <w:tc>
          <w:tcPr/>
          <w:p>
            <w:pPr>
              <w:pStyle w:val="Compact"/>
            </w:pPr>
            <w:r>
              <w:t xml:space="preserve">$512M–$640M</w:t>
            </w:r>
          </w:p>
        </w:tc>
      </w:tr>
      <w:tr>
        <w:tc>
          <w:tcPr/>
          <w:p>
            <w:pPr>
              <w:pStyle w:val="Compact"/>
            </w:pPr>
            <w:r>
              <w:rPr>
                <w:b/>
                <w:bCs/>
              </w:rPr>
              <w:t xml:space="preserve">Blended enterprise value</w:t>
            </w:r>
          </w:p>
        </w:tc>
        <w:tc>
          <w:tcPr/>
          <w:p>
            <w:pPr>
              <w:pStyle w:val="Compact"/>
            </w:pPr>
          </w:p>
        </w:tc>
        <w:tc>
          <w:tcPr/>
          <w:p>
            <w:pPr>
              <w:pStyle w:val="Compact"/>
            </w:pPr>
          </w:p>
        </w:tc>
        <w:tc>
          <w:tcPr/>
          <w:p>
            <w:pPr>
              <w:pStyle w:val="Compact"/>
            </w:pPr>
            <w:r>
              <w:rPr>
                <w:b/>
                <w:bCs/>
              </w:rPr>
              <w:t xml:space="preserve">$11.8B–$15.7B</w:t>
            </w:r>
          </w:p>
        </w:tc>
      </w:tr>
    </w:tbl>
    <w:p>
      <w:pPr>
        <w:pStyle w:val="BodyText"/>
      </w:pPr>
      <w:r>
        <w:t xml:space="preserve">The Publisher dominates the valuation because it owns the recurring revenue, the IP library, and the sports rights portfolio. The Retail business is valuable but secondary — it is the physical infrastructure that feeds the subscription funnel.</w:t>
      </w:r>
    </w:p>
    <w:p>
      <w:pPr>
        <w:pStyle w:val="BodyText"/>
      </w:pPr>
      <w:r>
        <w:rPr>
          <w:b/>
          <w:bCs/>
        </w:rPr>
        <w:t xml:space="preserve">Note on multiples:</w:t>
      </w:r>
      <w:r>
        <w:t xml:space="preserve"> </w:t>
      </w:r>
      <w:r>
        <w:t xml:space="preserve">At $1.87B ARR, we apply 6–8x rather than the 10–12x typical of smaller SaaS companies, reflecting the hardware-subsidized nature of a portion of the revenue and the maturity of the business at Year 6. Pure Digital-Only subscribers (~1M at $14.99/mo) command higher multiples; the blended figure reflects the full subscriber mix.</w:t>
      </w:r>
    </w:p>
    <w:p>
      <w:pPr>
        <w:pStyle w:val="BodyText"/>
      </w:pPr>
      <w:r>
        <w:rPr>
          <w:b/>
          <w:bCs/>
        </w:rPr>
        <w:t xml:space="preserve">Sensitivity:</w:t>
      </w:r>
      <w:r>
        <w:t xml:space="preserve"> </w:t>
      </w:r>
      <w:r>
        <w:t xml:space="preserve">If Neural Pass reaches 2 million subscribers (roughly the Year 5 target, one year behind plan), the Publisher ARR is ~$1.0B and the blended valuation is $6.2B–$8.3B. If sports content fails to achieve mass-market traction and the subscriber base plateaus at 1 million (music-only), the Publisher ARR is ~$468M and the blended valuation is $3.3B–$4.3B. Even in this downside scenario, the venue network with 12 Flagships, a 12-show library, and B2B licensing supports a $1B+ standalone valuation.</w:t>
      </w:r>
    </w:p>
    <w:bookmarkEnd w:id="41"/>
    <w:bookmarkStart w:id="42" w:name="strategic-acquirers"/>
    <w:p>
      <w:pPr>
        <w:pStyle w:val="Heading3"/>
      </w:pPr>
      <w:r>
        <w:t xml:space="preserve">Strategic Acquirers</w:t>
      </w:r>
    </w:p>
    <w:p>
      <w:pPr>
        <w:numPr>
          <w:ilvl w:val="0"/>
          <w:numId w:val="1005"/>
        </w:numPr>
      </w:pPr>
      <w:r>
        <w:rPr>
          <w:b/>
          <w:bCs/>
        </w:rPr>
        <w:t xml:space="preserve">The founding partner’s platform company</w:t>
      </w:r>
      <w:r>
        <w:t xml:space="preserve"> </w:t>
      </w:r>
      <w:r>
        <w:t xml:space="preserve">— acquiring vZero secures the</w:t>
      </w:r>
      <w:r>
        <w:t xml:space="preserve"> </w:t>
      </w:r>
      <w:r>
        <w:t xml:space="preserve">“anchor tenant”</w:t>
      </w:r>
      <w:r>
        <w:t xml:space="preserve"> </w:t>
      </w:r>
      <w:r>
        <w:t xml:space="preserve">of their VR ecosystem. At Year 6, vZero is driving 4 million+ headset deployments through the Neural Pass — potentially the single largest distribution channel for the platform’s hardware. The acquisition thesis is identical to a console manufacturer acquiring a first-party studio — but with a $1.87B ARR subscription business attached that sells millions of units of the acquirer’s own hardware. This is the most natural exit path and the one most aligned with both parties’ interests.</w:t>
      </w:r>
    </w:p>
    <w:p>
      <w:pPr>
        <w:numPr>
          <w:ilvl w:val="0"/>
          <w:numId w:val="1005"/>
        </w:numPr>
      </w:pPr>
      <w:r>
        <w:rPr>
          <w:b/>
          <w:bCs/>
        </w:rPr>
        <w:t xml:space="preserve">Universal Music Group / Warner Music</w:t>
      </w:r>
      <w:r>
        <w:t xml:space="preserve"> </w:t>
      </w:r>
      <w:r>
        <w:t xml:space="preserve">— acquiring vZero provides the major labels with a proprietary distribution channel for volumetric performance rights, a 4-million-subscriber direct-to-consumer base, and a new revenue line that bypasses streaming economics entirely.</w:t>
      </w:r>
    </w:p>
    <w:p>
      <w:pPr>
        <w:numPr>
          <w:ilvl w:val="0"/>
          <w:numId w:val="1005"/>
        </w:numPr>
      </w:pPr>
      <w:r>
        <w:rPr>
          <w:b/>
          <w:bCs/>
        </w:rPr>
        <w:t xml:space="preserve">Live Nation / AEG</w:t>
      </w:r>
      <w:r>
        <w:t xml:space="preserve"> </w:t>
      </w:r>
      <w:r>
        <w:t xml:space="preserve">— vZero’s venue network and content library extend their live entertainment portfolios into the volumetric domain, with the Neural Pass providing the recurring revenue that traditional venue operators lack.</w:t>
      </w:r>
    </w:p>
    <w:p>
      <w:pPr>
        <w:numPr>
          <w:ilvl w:val="0"/>
          <w:numId w:val="1005"/>
        </w:numPr>
      </w:pPr>
      <w:r>
        <w:rPr>
          <w:b/>
          <w:bCs/>
        </w:rPr>
        <w:t xml:space="preserve">IPO</w:t>
      </w:r>
      <w:r>
        <w:t xml:space="preserve"> </w:t>
      </w:r>
      <w:r>
        <w:t xml:space="preserve">— at $2.0B revenue and 76% EBITDA margins, vZero is a compelling public market candidate. The dual-entity structure allows for a Publisher-only IPO (pure SaaS/media multiples) while retaining the Retail business as a private cash-flow asset. The combination of recurring subscription revenue, a growing content library, and sports rights creates a public market narrative that spans technology, media, and entertainment.</w:t>
      </w:r>
    </w:p>
    <w:p>
      <w:r>
        <w:pict>
          <v:rect style="width:0;height:1.5pt" o:hralign="center" o:hrstd="t" o:hr="t"/>
        </w:pict>
      </w:r>
    </w:p>
    <w:p>
      <w:pPr>
        <w:pStyle w:val="FirstParagraph"/>
      </w:pPr>
      <w:r>
        <w:rPr>
          <w:i/>
          <w:iCs/>
        </w:rPr>
        <w:t xml:space="preserve">This document is part of the vZero Strategic Document Suite. See also: Strategic Vision &amp; Market Opportunity, Technical Architecture, and Execution Roadmap.</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2026-02-16T11:52:43Z</dcterms:created>
  <dcterms:modified xsi:type="dcterms:W3CDTF">2026-02-16T11:52:43Z</dcterms:modified>
</cp:coreProperties>
</file>

<file path=docProps/custom.xml><?xml version="1.0" encoding="utf-8"?>
<Properties xmlns="http://schemas.openxmlformats.org/officeDocument/2006/custom-properties" xmlns:vt="http://schemas.openxmlformats.org/officeDocument/2006/docPropsVTypes"/>
</file>