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vzero-30-months-to-launch"/>
    <w:p>
      <w:pPr>
        <w:pStyle w:val="Heading1"/>
      </w:pPr>
      <w:r>
        <w:t xml:space="preserve">vZero: 30 Months to Launch</w:t>
      </w:r>
    </w:p>
    <w:bookmarkStart w:id="9" w:name="execution-roadmap"/>
    <w:p>
      <w:pPr>
        <w:pStyle w:val="Heading2"/>
      </w:pPr>
      <w:r>
        <w:t xml:space="preserve">Execution Roadmap</w:t>
      </w:r>
    </w:p>
    <w:p>
      <w:pPr>
        <w:pStyle w:val="FirstParagraph"/>
      </w:pPr>
      <w:r>
        <w:rPr>
          <w:b/>
          <w:bCs/>
        </w:rPr>
        <w:t xml:space="preserve">Classification:</w:t>
      </w:r>
      <w:r>
        <w:t xml:space="preserve"> </w:t>
      </w:r>
      <w:r>
        <w:t xml:space="preserve">Operational Plan — Confidential</w:t>
      </w:r>
      <w:r>
        <w:t xml:space="preserve"> </w:t>
      </w:r>
      <w:r>
        <w:rPr>
          <w:b/>
          <w:bCs/>
        </w:rPr>
        <w:t xml:space="preserve">Version:</w:t>
      </w:r>
      <w:r>
        <w:t xml:space="preserve"> </w:t>
      </w:r>
      <w:r>
        <w:t xml:space="preserve">1.0</w:t>
      </w:r>
    </w:p>
    <w:p>
      <w:r>
        <w:pict>
          <v:rect style="width:0;height:1.5pt" o:hralign="center" o:hrstd="t" o:hr="t"/>
        </w:pict>
      </w:r>
    </w:p>
    <w:bookmarkEnd w:id="9"/>
    <w:bookmarkStart w:id="10" w:name="overview"/>
    <w:p>
      <w:pPr>
        <w:pStyle w:val="Heading2"/>
      </w:pPr>
      <w:r>
        <w:t xml:space="preserve">Overview</w:t>
      </w:r>
    </w:p>
    <w:p>
      <w:pPr>
        <w:pStyle w:val="FirstParagraph"/>
      </w:pPr>
      <w:r>
        <w:t xml:space="preserve">This roadmap covers the 30-month path from project kickoff (Month 0) to the opening of the first vZero Flagship (Month 30). All timelines are expressed as months from the project start date, making this plan independent of calendar dates.</w:t>
      </w:r>
    </w:p>
    <w:p>
      <w:pPr>
        <w:pStyle w:val="BodyText"/>
      </w:pPr>
      <w:r>
        <w:t xml:space="preserve">The critical path runs through three parallel workstreams that must converge at launch:</w:t>
      </w:r>
      <w:r>
        <w:t xml:space="preserve"> </w:t>
      </w:r>
      <w:r>
        <w:t xml:space="preserve">1.</w:t>
      </w:r>
      <w:r>
        <w:t xml:space="preserve"> </w:t>
      </w:r>
      <w:r>
        <w:rPr>
          <w:b/>
          <w:bCs/>
        </w:rPr>
        <w:t xml:space="preserve">Content</w:t>
      </w:r>
      <w:r>
        <w:t xml:space="preserve"> </w:t>
      </w:r>
      <w:r>
        <w:t xml:space="preserve">— artist contract, volumetric capture, 4DGS processing, interactive authoring, spatial audio</w:t>
      </w:r>
      <w:r>
        <w:t xml:space="preserve"> </w:t>
      </w:r>
      <w:r>
        <w:t xml:space="preserve">2.</w:t>
      </w:r>
      <w:r>
        <w:t xml:space="preserve"> </w:t>
      </w:r>
      <w:r>
        <w:rPr>
          <w:b/>
          <w:bCs/>
        </w:rPr>
        <w:t xml:space="preserve">Technology</w:t>
      </w:r>
      <w:r>
        <w:t xml:space="preserve"> </w:t>
      </w:r>
      <w:r>
        <w:t xml:space="preserve">— rendering engine, multi-viewer streaming, WFS integration, content tools</w:t>
      </w:r>
      <w:r>
        <w:t xml:space="preserve"> </w:t>
      </w:r>
      <w:r>
        <w:t xml:space="preserve">3.</w:t>
      </w:r>
      <w:r>
        <w:t xml:space="preserve"> </w:t>
      </w:r>
      <w:r>
        <w:rPr>
          <w:b/>
          <w:bCs/>
        </w:rPr>
        <w:t xml:space="preserve">Venue</w:t>
      </w:r>
      <w:r>
        <w:t xml:space="preserve"> </w:t>
      </w:r>
      <w:r>
        <w:t xml:space="preserve">— site selection, lease, design, construction, hardware installation, testing</w:t>
      </w:r>
    </w:p>
    <w:p>
      <w:pPr>
        <w:pStyle w:val="BodyText"/>
      </w:pPr>
      <w:r>
        <w:t xml:space="preserve">These workstreams are largely independent until Phase 3 (Integration), where the content must run on the technology in the venue. Delays in any one workstream delay launch.</w:t>
      </w:r>
    </w:p>
    <w:p>
      <w:r>
        <w:pict>
          <v:rect style="width:0;height:1.5pt" o:hralign="center" o:hrstd="t" o:hr="t"/>
        </w:pict>
      </w:r>
    </w:p>
    <w:bookmarkEnd w:id="10"/>
    <w:bookmarkStart w:id="13" w:name="phase-0-foundation-m0-m4"/>
    <w:p>
      <w:pPr>
        <w:pStyle w:val="Heading2"/>
      </w:pPr>
      <w:r>
        <w:t xml:space="preserve">Phase 0: Foundation (M0 – M4)</w:t>
      </w:r>
    </w:p>
    <w:p>
      <w:pPr>
        <w:pStyle w:val="FirstParagraph"/>
      </w:pPr>
      <w:r>
        <w:rPr>
          <w:b/>
          <w:bCs/>
        </w:rPr>
        <w:t xml:space="preserve">Duration:</w:t>
      </w:r>
      <w:r>
        <w:t xml:space="preserve"> </w:t>
      </w:r>
      <w:r>
        <w:t xml:space="preserve">4 months</w:t>
      </w:r>
      <w:r>
        <w:t xml:space="preserve"> </w:t>
      </w:r>
      <w:r>
        <w:rPr>
          <w:b/>
          <w:bCs/>
        </w:rPr>
        <w:t xml:space="preserve">Capital deployed:</w:t>
      </w:r>
      <w:r>
        <w:t xml:space="preserve"> </w:t>
      </w:r>
      <w:r>
        <w:t xml:space="preserve">$2M (of $40M Series A)</w:t>
      </w:r>
      <w:r>
        <w:t xml:space="preserve"> </w:t>
      </w:r>
      <w:r>
        <w:rPr>
          <w:b/>
          <w:bCs/>
        </w:rPr>
        <w:t xml:space="preserve">Team size:</w:t>
      </w:r>
      <w:r>
        <w:t xml:space="preserve"> </w:t>
      </w:r>
      <w:r>
        <w:t xml:space="preserve">5–8</w:t>
      </w:r>
    </w:p>
    <w:bookmarkStart w:id="11" w:name="deliverables"/>
    <w:p>
      <w:pPr>
        <w:pStyle w:val="Heading3"/>
      </w:pPr>
      <w:r>
        <w:t xml:space="preserve">Deliverables</w:t>
      </w:r>
    </w:p>
    <w:tbl>
      <w:tblPr>
        <w:tblStyle w:val="Table"/>
        <w:tblW w:type="pct" w:w="5000"/>
        <w:tblLayout w:type="fixed"/>
        <w:tblLook w:firstRow="1" w:lastRow="0" w:firstColumn="0" w:lastColumn="0" w:noHBand="0" w:noVBand="0" w:val="0020"/>
      </w:tblPr>
      <w:tblGrid>
        <w:gridCol w:w="792"/>
        <w:gridCol w:w="3168"/>
        <w:gridCol w:w="1848"/>
        <w:gridCol w:w="2112"/>
      </w:tblGrid>
      <w:tr>
        <w:trPr>
          <w:tblHeader w:val="on"/>
        </w:trPr>
        <w:tc>
          <w:tcPr/>
          <w:p>
            <w:pPr>
              <w:pStyle w:val="Compact"/>
            </w:pPr>
            <w:r>
              <w:t xml:space="preserve">#</w:t>
            </w:r>
          </w:p>
        </w:tc>
        <w:tc>
          <w:tcPr/>
          <w:p>
            <w:pPr>
              <w:pStyle w:val="Compact"/>
            </w:pPr>
            <w:r>
              <w:t xml:space="preserve">Deliverable</w:t>
            </w:r>
          </w:p>
        </w:tc>
        <w:tc>
          <w:tcPr/>
          <w:p>
            <w:pPr>
              <w:pStyle w:val="Compact"/>
            </w:pPr>
            <w:r>
              <w:t xml:space="preserve">Owner</w:t>
            </w:r>
          </w:p>
        </w:tc>
        <w:tc>
          <w:tcPr/>
          <w:p>
            <w:pPr>
              <w:pStyle w:val="Compact"/>
            </w:pPr>
            <w:r>
              <w:t xml:space="preserve">Target</w:t>
            </w:r>
          </w:p>
        </w:tc>
      </w:tr>
      <w:tr>
        <w:tc>
          <w:tcPr/>
          <w:p>
            <w:pPr>
              <w:pStyle w:val="Compact"/>
            </w:pPr>
            <w:r>
              <w:t xml:space="preserve">0.1</w:t>
            </w:r>
          </w:p>
        </w:tc>
        <w:tc>
          <w:tcPr/>
          <w:p>
            <w:pPr>
              <w:pStyle w:val="Compact"/>
            </w:pPr>
            <w:r>
              <w:rPr>
                <w:b/>
                <w:bCs/>
              </w:rPr>
              <w:t xml:space="preserve">Secure Steam Frame dev kits</w:t>
            </w:r>
            <w:r>
              <w:t xml:space="preserve"> </w:t>
            </w:r>
            <w:r>
              <w:t xml:space="preserve">— minimum 6 units for engineering team</w:t>
            </w:r>
          </w:p>
        </w:tc>
        <w:tc>
          <w:tcPr/>
          <w:p>
            <w:pPr>
              <w:pStyle w:val="Compact"/>
            </w:pPr>
            <w:r>
              <w:t xml:space="preserve">Founding Partner</w:t>
            </w:r>
          </w:p>
        </w:tc>
        <w:tc>
          <w:tcPr/>
          <w:p>
            <w:pPr>
              <w:pStyle w:val="Compact"/>
            </w:pPr>
            <w:r>
              <w:t xml:space="preserve">M1</w:t>
            </w:r>
          </w:p>
        </w:tc>
      </w:tr>
      <w:tr>
        <w:tc>
          <w:tcPr/>
          <w:p>
            <w:pPr>
              <w:pStyle w:val="Compact"/>
            </w:pPr>
            <w:r>
              <w:t xml:space="preserve">0.2</w:t>
            </w:r>
          </w:p>
        </w:tc>
        <w:tc>
          <w:tcPr/>
          <w:p>
            <w:pPr>
              <w:pStyle w:val="Compact"/>
            </w:pPr>
            <w:r>
              <w:rPr>
                <w:b/>
                <w:bCs/>
              </w:rPr>
              <w:t xml:space="preserve">Execute artist LOI</w:t>
            </w:r>
            <w:r>
              <w:t xml:space="preserve"> </w:t>
            </w:r>
            <w:r>
              <w:t xml:space="preserve">— Letter of Intent with Tier-1 artist and their label, covering volumetric performance rights, advance terms, and capture scheduling</w:t>
            </w:r>
          </w:p>
        </w:tc>
        <w:tc>
          <w:tcPr/>
          <w:p>
            <w:pPr>
              <w:pStyle w:val="Compact"/>
            </w:pPr>
            <w:r>
              <w:t xml:space="preserve">CEO / Music Counsel</w:t>
            </w:r>
          </w:p>
        </w:tc>
        <w:tc>
          <w:tcPr/>
          <w:p>
            <w:pPr>
              <w:pStyle w:val="Compact"/>
            </w:pPr>
            <w:r>
              <w:t xml:space="preserve">M3</w:t>
            </w:r>
          </w:p>
        </w:tc>
      </w:tr>
      <w:tr>
        <w:tc>
          <w:tcPr/>
          <w:p>
            <w:pPr>
              <w:pStyle w:val="Compact"/>
            </w:pPr>
            <w:r>
              <w:t xml:space="preserve">0.3</w:t>
            </w:r>
          </w:p>
        </w:tc>
        <w:tc>
          <w:tcPr/>
          <w:p>
            <w:pPr>
              <w:pStyle w:val="Compact"/>
            </w:pPr>
            <w:r>
              <w:rPr>
                <w:b/>
                <w:bCs/>
              </w:rPr>
              <w:t xml:space="preserve">Hire Technical Director</w:t>
            </w:r>
            <w:r>
              <w:t xml:space="preserve"> </w:t>
            </w:r>
            <w:r>
              <w:t xml:space="preserve">— single senior hire to own the full technology architecture</w:t>
            </w:r>
          </w:p>
        </w:tc>
        <w:tc>
          <w:tcPr/>
          <w:p>
            <w:pPr>
              <w:pStyle w:val="Compact"/>
            </w:pPr>
            <w:r>
              <w:t xml:space="preserve">CEO</w:t>
            </w:r>
          </w:p>
        </w:tc>
        <w:tc>
          <w:tcPr/>
          <w:p>
            <w:pPr>
              <w:pStyle w:val="Compact"/>
            </w:pPr>
            <w:r>
              <w:t xml:space="preserve">M2</w:t>
            </w:r>
          </w:p>
        </w:tc>
      </w:tr>
      <w:tr>
        <w:tc>
          <w:tcPr/>
          <w:p>
            <w:pPr>
              <w:pStyle w:val="Compact"/>
            </w:pPr>
            <w:r>
              <w:t xml:space="preserve">0.4</w:t>
            </w:r>
          </w:p>
        </w:tc>
        <w:tc>
          <w:tcPr/>
          <w:p>
            <w:pPr>
              <w:pStyle w:val="Compact"/>
            </w:pPr>
            <w:r>
              <w:rPr>
                <w:b/>
                <w:bCs/>
              </w:rPr>
              <w:t xml:space="preserve">Volumetric capture venue scouting</w:t>
            </w:r>
            <w:r>
              <w:t xml:space="preserve"> </w:t>
            </w:r>
            <w:r>
              <w:t xml:space="preserve">— evaluate 4DViews (Grenoble), Metastage (LA), Dimension Studio (London) for Show 1 capture facility</w:t>
            </w:r>
          </w:p>
        </w:tc>
        <w:tc>
          <w:tcPr/>
          <w:p>
            <w:pPr>
              <w:pStyle w:val="Compact"/>
            </w:pPr>
            <w:r>
              <w:t xml:space="preserve">Technical Director</w:t>
            </w:r>
          </w:p>
        </w:tc>
        <w:tc>
          <w:tcPr/>
          <w:p>
            <w:pPr>
              <w:pStyle w:val="Compact"/>
            </w:pPr>
            <w:r>
              <w:t xml:space="preserve">M4</w:t>
            </w:r>
          </w:p>
        </w:tc>
      </w:tr>
      <w:tr>
        <w:tc>
          <w:tcPr/>
          <w:p>
            <w:pPr>
              <w:pStyle w:val="Compact"/>
            </w:pPr>
            <w:r>
              <w:t xml:space="preserve">0.5</w:t>
            </w:r>
          </w:p>
        </w:tc>
        <w:tc>
          <w:tcPr/>
          <w:p>
            <w:pPr>
              <w:pStyle w:val="Compact"/>
            </w:pPr>
            <w:r>
              <w:rPr>
                <w:b/>
                <w:bCs/>
              </w:rPr>
              <w:t xml:space="preserve">Legal entity formation</w:t>
            </w:r>
            <w:r>
              <w:t xml:space="preserve"> </w:t>
            </w:r>
            <w:r>
              <w:t xml:space="preserve">— incorporate vZero Holdings, Publisher, and Retail entities</w:t>
            </w:r>
          </w:p>
        </w:tc>
        <w:tc>
          <w:tcPr/>
          <w:p>
            <w:pPr>
              <w:pStyle w:val="Compact"/>
            </w:pPr>
            <w:r>
              <w:t xml:space="preserve">Legal Counsel</w:t>
            </w:r>
          </w:p>
        </w:tc>
        <w:tc>
          <w:tcPr/>
          <w:p>
            <w:pPr>
              <w:pStyle w:val="Compact"/>
            </w:pPr>
            <w:r>
              <w:t xml:space="preserve">M2</w:t>
            </w:r>
          </w:p>
        </w:tc>
      </w:tr>
      <w:tr>
        <w:tc>
          <w:tcPr/>
          <w:p>
            <w:pPr>
              <w:pStyle w:val="Compact"/>
            </w:pPr>
            <w:r>
              <w:t xml:space="preserve">0.6</w:t>
            </w:r>
          </w:p>
        </w:tc>
        <w:tc>
          <w:tcPr/>
          <w:p>
            <w:pPr>
              <w:pStyle w:val="Compact"/>
            </w:pPr>
            <w:r>
              <w:rPr>
                <w:b/>
                <w:bCs/>
              </w:rPr>
              <w:t xml:space="preserve">Begin real estate search</w:t>
            </w:r>
            <w:r>
              <w:t xml:space="preserve"> </w:t>
            </w:r>
            <w:r>
              <w:t xml:space="preserve">— engage commercial real estate brokers in target cities for 900–1,100 m² (~10,000–12,000 sq ft) entertainment-zoned spaces</w:t>
            </w:r>
          </w:p>
        </w:tc>
        <w:tc>
          <w:tcPr/>
          <w:p>
            <w:pPr>
              <w:pStyle w:val="Compact"/>
            </w:pPr>
            <w:r>
              <w:t xml:space="preserve">COO</w:t>
            </w:r>
          </w:p>
        </w:tc>
        <w:tc>
          <w:tcPr/>
          <w:p>
            <w:pPr>
              <w:pStyle w:val="Compact"/>
            </w:pPr>
            <w:r>
              <w:t xml:space="preserve">M3</w:t>
            </w:r>
          </w:p>
        </w:tc>
      </w:tr>
    </w:tbl>
    <w:bookmarkEnd w:id="11"/>
    <w:bookmarkStart w:id="12" w:name="decision-gate-m4"/>
    <w:p>
      <w:pPr>
        <w:pStyle w:val="Heading3"/>
      </w:pPr>
      <w:r>
        <w:t xml:space="preserve">Decision Gate (M4)</w:t>
      </w:r>
    </w:p>
    <w:p>
      <w:pPr>
        <w:pStyle w:val="FirstParagraph"/>
      </w:pPr>
      <w:r>
        <w:rPr>
          <w:b/>
          <w:bCs/>
        </w:rPr>
        <w:t xml:space="preserve">Gate 0: Go/No-Go on Series A close</w:t>
      </w:r>
      <w:r>
        <w:t xml:space="preserve"> </w:t>
      </w:r>
      <w:r>
        <w:t xml:space="preserve">- Artist LOI signed?</w:t>
      </w:r>
      <w:r>
        <w:t xml:space="preserve"> </w:t>
      </w:r>
      <w:r>
        <w:t xml:space="preserve">- Steam Frame dev kits in hand?</w:t>
      </w:r>
      <w:r>
        <w:t xml:space="preserve"> </w:t>
      </w:r>
      <w:r>
        <w:t xml:space="preserve">- Technical Director hired?</w:t>
      </w:r>
      <w:r>
        <w:t xml:space="preserve"> </w:t>
      </w:r>
      <w:r>
        <w:t xml:space="preserve">- At least 2 viable venue sites identified?</w:t>
      </w:r>
    </w:p>
    <w:p>
      <w:pPr>
        <w:pStyle w:val="BodyText"/>
      </w:pPr>
      <w:r>
        <w:t xml:space="preserve">If all four: close Series A and advance to Phase 1.</w:t>
      </w:r>
      <w:r>
        <w:t xml:space="preserve"> </w:t>
      </w:r>
      <w:r>
        <w:t xml:space="preserve">If artist LOI not signed: pause — no point building a venue without confirmed content.</w:t>
      </w:r>
    </w:p>
    <w:p>
      <w:r>
        <w:pict>
          <v:rect style="width:0;height:1.5pt" o:hralign="center" o:hrstd="t" o:hr="t"/>
        </w:pict>
      </w:r>
    </w:p>
    <w:bookmarkEnd w:id="12"/>
    <w:bookmarkEnd w:id="13"/>
    <w:bookmarkStart w:id="18" w:name="phase-1-proof-of-concept-m5-m11"/>
    <w:p>
      <w:pPr>
        <w:pStyle w:val="Heading2"/>
      </w:pPr>
      <w:r>
        <w:t xml:space="preserve">Phase 1: Proof of Concept (M5 – M11)</w:t>
      </w:r>
    </w:p>
    <w:p>
      <w:pPr>
        <w:pStyle w:val="FirstParagraph"/>
      </w:pPr>
      <w:r>
        <w:rPr>
          <w:b/>
          <w:bCs/>
        </w:rPr>
        <w:t xml:space="preserve">Duration:</w:t>
      </w:r>
      <w:r>
        <w:t xml:space="preserve"> </w:t>
      </w:r>
      <w:r>
        <w:t xml:space="preserve">7 months</w:t>
      </w:r>
      <w:r>
        <w:t xml:space="preserve"> </w:t>
      </w:r>
      <w:r>
        <w:rPr>
          <w:b/>
          <w:bCs/>
        </w:rPr>
        <w:t xml:space="preserve">Capital deployed:</w:t>
      </w:r>
      <w:r>
        <w:t xml:space="preserve"> </w:t>
      </w:r>
      <w:r>
        <w:t xml:space="preserve">$8M cumulative</w:t>
      </w:r>
      <w:r>
        <w:t xml:space="preserve"> </w:t>
      </w:r>
      <w:r>
        <w:rPr>
          <w:b/>
          <w:bCs/>
        </w:rPr>
        <w:t xml:space="preserve">Team size:</w:t>
      </w:r>
      <w:r>
        <w:t xml:space="preserve"> </w:t>
      </w:r>
      <w:r>
        <w:t xml:space="preserve">15–20</w:t>
      </w:r>
    </w:p>
    <w:bookmarkStart w:id="14" w:name="workstream-1-technology"/>
    <w:p>
      <w:pPr>
        <w:pStyle w:val="Heading3"/>
      </w:pPr>
      <w:r>
        <w:t xml:space="preserve">Workstream 1: Technology</w:t>
      </w:r>
    </w:p>
    <w:tbl>
      <w:tblPr>
        <w:tblStyle w:val="Table"/>
        <w:tblW w:type="pct" w:w="5000"/>
        <w:tblLayout w:type="fixed"/>
        <w:tblLook w:firstRow="1" w:lastRow="0" w:firstColumn="0" w:lastColumn="0" w:noHBand="0" w:noVBand="0" w:val="0020"/>
      </w:tblPr>
      <w:tblGrid>
        <w:gridCol w:w="766"/>
        <w:gridCol w:w="3065"/>
        <w:gridCol w:w="2043"/>
        <w:gridCol w:w="2043"/>
      </w:tblGrid>
      <w:tr>
        <w:trPr>
          <w:tblHeader w:val="on"/>
        </w:trPr>
        <w:tc>
          <w:tcPr/>
          <w:p>
            <w:pPr>
              <w:pStyle w:val="Compact"/>
            </w:pPr>
            <w:r>
              <w:t xml:space="preserve">#</w:t>
            </w:r>
          </w:p>
        </w:tc>
        <w:tc>
          <w:tcPr/>
          <w:p>
            <w:pPr>
              <w:pStyle w:val="Compact"/>
            </w:pPr>
            <w:r>
              <w:t xml:space="preserve">Deliverable</w:t>
            </w:r>
          </w:p>
        </w:tc>
        <w:tc>
          <w:tcPr/>
          <w:p>
            <w:pPr>
              <w:pStyle w:val="Compact"/>
            </w:pPr>
            <w:r>
              <w:t xml:space="preserve">Detail</w:t>
            </w:r>
          </w:p>
        </w:tc>
        <w:tc>
          <w:tcPr/>
          <w:p>
            <w:pPr>
              <w:pStyle w:val="Compact"/>
            </w:pPr>
            <w:r>
              <w:t xml:space="preserve">Target</w:t>
            </w:r>
          </w:p>
        </w:tc>
      </w:tr>
      <w:tr>
        <w:tc>
          <w:tcPr/>
          <w:p>
            <w:pPr>
              <w:pStyle w:val="Compact"/>
            </w:pPr>
            <w:r>
              <w:t xml:space="preserve">1.1</w:t>
            </w:r>
          </w:p>
        </w:tc>
        <w:tc>
          <w:tcPr/>
          <w:p>
            <w:pPr>
              <w:pStyle w:val="Compact"/>
            </w:pPr>
            <w:r>
              <w:rPr>
                <w:b/>
                <w:bCs/>
              </w:rPr>
              <w:t xml:space="preserve">Hire core engineering team</w:t>
            </w:r>
            <w:r>
              <w:t xml:space="preserve"> </w:t>
            </w:r>
            <w:r>
              <w:t xml:space="preserve">(12–15 engineers)</w:t>
            </w:r>
          </w:p>
        </w:tc>
        <w:tc>
          <w:tcPr/>
          <w:p>
            <w:pPr>
              <w:pStyle w:val="Compact"/>
            </w:pPr>
            <w:r>
              <w:t xml:space="preserve">4DGS rendering, systems/infra, spatial audio, VR/SteamVR, tools</w:t>
            </w:r>
          </w:p>
        </w:tc>
        <w:tc>
          <w:tcPr/>
          <w:p>
            <w:pPr>
              <w:pStyle w:val="Compact"/>
            </w:pPr>
            <w:r>
              <w:t xml:space="preserve">M7</w:t>
            </w:r>
          </w:p>
        </w:tc>
      </w:tr>
      <w:tr>
        <w:tc>
          <w:tcPr/>
          <w:p>
            <w:pPr>
              <w:pStyle w:val="Compact"/>
            </w:pPr>
            <w:r>
              <w:t xml:space="preserve">1.2</w:t>
            </w:r>
          </w:p>
        </w:tc>
        <w:tc>
          <w:tcPr/>
          <w:p>
            <w:pPr>
              <w:pStyle w:val="Compact"/>
            </w:pPr>
            <w:r>
              <w:rPr>
                <w:b/>
                <w:bCs/>
              </w:rPr>
              <w:t xml:space="preserve">4DGS single-viewer prototype</w:t>
            </w:r>
          </w:p>
        </w:tc>
        <w:tc>
          <w:tcPr/>
          <w:p>
            <w:pPr>
              <w:pStyle w:val="Compact"/>
            </w:pPr>
            <w:r>
              <w:t xml:space="preserve">Render a DBS/UBS-7D scene on a Steam Frame via Wi-Fi 7 from a local GPU server. Measure motion-to-photon latency.</w:t>
            </w:r>
          </w:p>
        </w:tc>
        <w:tc>
          <w:tcPr/>
          <w:p>
            <w:pPr>
              <w:pStyle w:val="Compact"/>
            </w:pPr>
            <w:r>
              <w:t xml:space="preserve">M9</w:t>
            </w:r>
          </w:p>
        </w:tc>
      </w:tr>
      <w:tr>
        <w:tc>
          <w:tcPr/>
          <w:p>
            <w:pPr>
              <w:pStyle w:val="Compact"/>
            </w:pPr>
            <w:r>
              <w:t xml:space="preserve">1.3</w:t>
            </w:r>
          </w:p>
        </w:tc>
        <w:tc>
          <w:tcPr/>
          <w:p>
            <w:pPr>
              <w:pStyle w:val="Compact"/>
            </w:pPr>
            <w:r>
              <w:rPr>
                <w:b/>
                <w:bCs/>
              </w:rPr>
              <w:t xml:space="preserve">Multi-viewer prototype</w:t>
            </w:r>
          </w:p>
        </w:tc>
        <w:tc>
          <w:tcPr/>
          <w:p>
            <w:pPr>
              <w:pStyle w:val="Compact"/>
            </w:pPr>
            <w:r>
              <w:t xml:space="preserve">Extend to 4 simultaneous Steam Frames rendering independent viewpoints from a shared 4DGS scene on a 2-GPU server.</w:t>
            </w:r>
          </w:p>
        </w:tc>
        <w:tc>
          <w:tcPr/>
          <w:p>
            <w:pPr>
              <w:pStyle w:val="Compact"/>
            </w:pPr>
            <w:r>
              <w:t xml:space="preserve">M11</w:t>
            </w:r>
          </w:p>
        </w:tc>
      </w:tr>
      <w:tr>
        <w:tc>
          <w:tcPr/>
          <w:p>
            <w:pPr>
              <w:pStyle w:val="Compact"/>
            </w:pPr>
            <w:r>
              <w:t xml:space="preserve">1.4</w:t>
            </w:r>
          </w:p>
        </w:tc>
        <w:tc>
          <w:tcPr/>
          <w:p>
            <w:pPr>
              <w:pStyle w:val="Compact"/>
            </w:pPr>
            <w:r>
              <w:rPr>
                <w:b/>
                <w:bCs/>
              </w:rPr>
              <w:t xml:space="preserve">WFS audio prototype</w:t>
            </w:r>
          </w:p>
        </w:tc>
        <w:tc>
          <w:tcPr/>
          <w:p>
            <w:pPr>
              <w:pStyle w:val="Compact"/>
            </w:pPr>
            <w:r>
              <w:t xml:space="preserve">Secure a small-scale Holoplot evaluation kit (16–32 drivers). Demonstrate synchronized audio-visual playback with a 4DGS scene on a Steam Frame.</w:t>
            </w:r>
          </w:p>
        </w:tc>
        <w:tc>
          <w:tcPr/>
          <w:p>
            <w:pPr>
              <w:pStyle w:val="Compact"/>
            </w:pPr>
            <w:r>
              <w:t xml:space="preserve">M10</w:t>
            </w:r>
          </w:p>
        </w:tc>
      </w:tr>
    </w:tbl>
    <w:bookmarkEnd w:id="14"/>
    <w:bookmarkStart w:id="15" w:name="workstream-2-content"/>
    <w:p>
      <w:pPr>
        <w:pStyle w:val="Heading3"/>
      </w:pPr>
      <w:r>
        <w:t xml:space="preserve">Workstream 2: Content</w:t>
      </w:r>
    </w:p>
    <w:tbl>
      <w:tblPr>
        <w:tblStyle w:val="Table"/>
        <w:tblW w:type="pct" w:w="5000"/>
        <w:tblLayout w:type="fixed"/>
        <w:tblLook w:firstRow="1" w:lastRow="0" w:firstColumn="0" w:lastColumn="0" w:noHBand="0" w:noVBand="0" w:val="0020"/>
      </w:tblPr>
      <w:tblGrid>
        <w:gridCol w:w="766"/>
        <w:gridCol w:w="3065"/>
        <w:gridCol w:w="2043"/>
        <w:gridCol w:w="2043"/>
      </w:tblGrid>
      <w:tr>
        <w:trPr>
          <w:tblHeader w:val="on"/>
        </w:trPr>
        <w:tc>
          <w:tcPr/>
          <w:p>
            <w:pPr>
              <w:pStyle w:val="Compact"/>
            </w:pPr>
            <w:r>
              <w:t xml:space="preserve">#</w:t>
            </w:r>
          </w:p>
        </w:tc>
        <w:tc>
          <w:tcPr/>
          <w:p>
            <w:pPr>
              <w:pStyle w:val="Compact"/>
            </w:pPr>
            <w:r>
              <w:t xml:space="preserve">Deliverable</w:t>
            </w:r>
          </w:p>
        </w:tc>
        <w:tc>
          <w:tcPr/>
          <w:p>
            <w:pPr>
              <w:pStyle w:val="Compact"/>
            </w:pPr>
            <w:r>
              <w:t xml:space="preserve">Detail</w:t>
            </w:r>
          </w:p>
        </w:tc>
        <w:tc>
          <w:tcPr/>
          <w:p>
            <w:pPr>
              <w:pStyle w:val="Compact"/>
            </w:pPr>
            <w:r>
              <w:t xml:space="preserve">Target</w:t>
            </w:r>
          </w:p>
        </w:tc>
      </w:tr>
      <w:tr>
        <w:tc>
          <w:tcPr/>
          <w:p>
            <w:pPr>
              <w:pStyle w:val="Compact"/>
            </w:pPr>
            <w:r>
              <w:t xml:space="preserve">1.5</w:t>
            </w:r>
          </w:p>
        </w:tc>
        <w:tc>
          <w:tcPr/>
          <w:p>
            <w:pPr>
              <w:pStyle w:val="Compact"/>
            </w:pPr>
            <w:r>
              <w:rPr>
                <w:b/>
                <w:bCs/>
              </w:rPr>
              <w:t xml:space="preserve">Execute full artist contract</w:t>
            </w:r>
          </w:p>
        </w:tc>
        <w:tc>
          <w:tcPr/>
          <w:p>
            <w:pPr>
              <w:pStyle w:val="Compact"/>
            </w:pPr>
            <w:r>
              <w:t xml:space="preserve">Move from LOI to binding agreement. Finalize advance, royalty terms, capture schedule, likeness rights.</w:t>
            </w:r>
          </w:p>
        </w:tc>
        <w:tc>
          <w:tcPr/>
          <w:p>
            <w:pPr>
              <w:pStyle w:val="Compact"/>
            </w:pPr>
            <w:r>
              <w:t xml:space="preserve">M7</w:t>
            </w:r>
          </w:p>
        </w:tc>
      </w:tr>
      <w:tr>
        <w:tc>
          <w:tcPr/>
          <w:p>
            <w:pPr>
              <w:pStyle w:val="Compact"/>
            </w:pPr>
            <w:r>
              <w:t xml:space="preserve">1.6</w:t>
            </w:r>
          </w:p>
        </w:tc>
        <w:tc>
          <w:tcPr/>
          <w:p>
            <w:pPr>
              <w:pStyle w:val="Compact"/>
            </w:pPr>
            <w:r>
              <w:rPr>
                <w:b/>
                <w:bCs/>
              </w:rPr>
              <w:t xml:space="preserve">Tech demo capture</w:t>
            </w:r>
          </w:p>
        </w:tc>
        <w:tc>
          <w:tcPr/>
          <w:p>
            <w:pPr>
              <w:pStyle w:val="Compact"/>
            </w:pPr>
            <w:r>
              <w:t xml:space="preserve">3-minute volumetric capture of the artist at a partner studio (4DViews or Metastage). No interactive elements — pure 4DGS visual quality proof.</w:t>
            </w:r>
          </w:p>
        </w:tc>
        <w:tc>
          <w:tcPr/>
          <w:p>
            <w:pPr>
              <w:pStyle w:val="Compact"/>
            </w:pPr>
            <w:r>
              <w:t xml:space="preserve">M9</w:t>
            </w:r>
          </w:p>
        </w:tc>
      </w:tr>
      <w:tr>
        <w:tc>
          <w:tcPr/>
          <w:p>
            <w:pPr>
              <w:pStyle w:val="Compact"/>
            </w:pPr>
            <w:r>
              <w:t xml:space="preserve">1.7</w:t>
            </w:r>
          </w:p>
        </w:tc>
        <w:tc>
          <w:tcPr/>
          <w:p>
            <w:pPr>
              <w:pStyle w:val="Compact"/>
            </w:pPr>
            <w:r>
              <w:rPr>
                <w:b/>
                <w:bCs/>
              </w:rPr>
              <w:t xml:space="preserve">Tech demo processing</w:t>
            </w:r>
          </w:p>
        </w:tc>
        <w:tc>
          <w:tcPr/>
          <w:p>
            <w:pPr>
              <w:pStyle w:val="Compact"/>
            </w:pPr>
            <w:r>
              <w:t xml:space="preserve">Process the 3-minute capture through the DBS/UBS-7D pipeline. Produce a viewable 4DGS asset on Steam Frame.</w:t>
            </w:r>
          </w:p>
        </w:tc>
        <w:tc>
          <w:tcPr/>
          <w:p>
            <w:pPr>
              <w:pStyle w:val="Compact"/>
            </w:pPr>
            <w:r>
              <w:t xml:space="preserve">M11</w:t>
            </w:r>
          </w:p>
        </w:tc>
      </w:tr>
    </w:tbl>
    <w:bookmarkEnd w:id="15"/>
    <w:bookmarkStart w:id="16" w:name="workstream-3-venue"/>
    <w:p>
      <w:pPr>
        <w:pStyle w:val="Heading3"/>
      </w:pPr>
      <w:r>
        <w:t xml:space="preserve">Workstream 3: Venue</w:t>
      </w:r>
    </w:p>
    <w:tbl>
      <w:tblPr>
        <w:tblStyle w:val="Table"/>
        <w:tblW w:type="pct" w:w="5000"/>
        <w:tblLayout w:type="fixed"/>
        <w:tblLook w:firstRow="1" w:lastRow="0" w:firstColumn="0" w:lastColumn="0" w:noHBand="0" w:noVBand="0" w:val="0020"/>
      </w:tblPr>
      <w:tblGrid>
        <w:gridCol w:w="766"/>
        <w:gridCol w:w="3065"/>
        <w:gridCol w:w="2043"/>
        <w:gridCol w:w="2043"/>
      </w:tblGrid>
      <w:tr>
        <w:trPr>
          <w:tblHeader w:val="on"/>
        </w:trPr>
        <w:tc>
          <w:tcPr/>
          <w:p>
            <w:pPr>
              <w:pStyle w:val="Compact"/>
            </w:pPr>
            <w:r>
              <w:t xml:space="preserve">#</w:t>
            </w:r>
          </w:p>
        </w:tc>
        <w:tc>
          <w:tcPr/>
          <w:p>
            <w:pPr>
              <w:pStyle w:val="Compact"/>
            </w:pPr>
            <w:r>
              <w:t xml:space="preserve">Deliverable</w:t>
            </w:r>
          </w:p>
        </w:tc>
        <w:tc>
          <w:tcPr/>
          <w:p>
            <w:pPr>
              <w:pStyle w:val="Compact"/>
            </w:pPr>
            <w:r>
              <w:t xml:space="preserve">Detail</w:t>
            </w:r>
          </w:p>
        </w:tc>
        <w:tc>
          <w:tcPr/>
          <w:p>
            <w:pPr>
              <w:pStyle w:val="Compact"/>
            </w:pPr>
            <w:r>
              <w:t xml:space="preserve">Target</w:t>
            </w:r>
          </w:p>
        </w:tc>
      </w:tr>
      <w:tr>
        <w:tc>
          <w:tcPr/>
          <w:p>
            <w:pPr>
              <w:pStyle w:val="Compact"/>
            </w:pPr>
            <w:r>
              <w:t xml:space="preserve">1.8</w:t>
            </w:r>
          </w:p>
        </w:tc>
        <w:tc>
          <w:tcPr/>
          <w:p>
            <w:pPr>
              <w:pStyle w:val="Compact"/>
            </w:pPr>
            <w:r>
              <w:rPr>
                <w:b/>
                <w:bCs/>
              </w:rPr>
              <w:t xml:space="preserve">Site selection — Flagship 1</w:t>
            </w:r>
          </w:p>
        </w:tc>
        <w:tc>
          <w:tcPr/>
          <w:p>
            <w:pPr>
              <w:pStyle w:val="Compact"/>
            </w:pPr>
            <w:r>
              <w:t xml:space="preserve">Select and sign LOI for the first venue location. Shortlist to final 2 candidates by M8; sign by M10.</w:t>
            </w:r>
          </w:p>
        </w:tc>
        <w:tc>
          <w:tcPr/>
          <w:p>
            <w:pPr>
              <w:pStyle w:val="Compact"/>
            </w:pPr>
            <w:r>
              <w:t xml:space="preserve">M10</w:t>
            </w:r>
          </w:p>
        </w:tc>
      </w:tr>
      <w:tr>
        <w:tc>
          <w:tcPr/>
          <w:p>
            <w:pPr>
              <w:pStyle w:val="Compact"/>
            </w:pPr>
            <w:r>
              <w:t xml:space="preserve">1.9</w:t>
            </w:r>
          </w:p>
        </w:tc>
        <w:tc>
          <w:tcPr/>
          <w:p>
            <w:pPr>
              <w:pStyle w:val="Compact"/>
            </w:pPr>
            <w:r>
              <w:rPr>
                <w:b/>
                <w:bCs/>
              </w:rPr>
              <w:t xml:space="preserve">Architectural design — begin</w:t>
            </w:r>
          </w:p>
        </w:tc>
        <w:tc>
          <w:tcPr/>
          <w:p>
            <w:pPr>
              <w:pStyle w:val="Compact"/>
            </w:pPr>
            <w:r>
              <w:t xml:space="preserve">Engage architecture firm specializing in entertainment/acoustic spaces. Begin schematic design for the performance room layout.</w:t>
            </w:r>
          </w:p>
        </w:tc>
        <w:tc>
          <w:tcPr/>
          <w:p>
            <w:pPr>
              <w:pStyle w:val="Compact"/>
            </w:pPr>
            <w:r>
              <w:t xml:space="preserve">M11</w:t>
            </w:r>
          </w:p>
        </w:tc>
      </w:tr>
    </w:tbl>
    <w:bookmarkEnd w:id="16"/>
    <w:bookmarkStart w:id="17" w:name="decision-gate-m11"/>
    <w:p>
      <w:pPr>
        <w:pStyle w:val="Heading3"/>
      </w:pPr>
      <w:r>
        <w:t xml:space="preserve">Decision Gate (M11)</w:t>
      </w:r>
    </w:p>
    <w:p>
      <w:pPr>
        <w:pStyle w:val="FirstParagraph"/>
      </w:pPr>
      <w:r>
        <w:rPr>
          <w:b/>
          <w:bCs/>
        </w:rPr>
        <w:t xml:space="preserve">Gate 1: Technology viability</w:t>
      </w:r>
      <w:r>
        <w:t xml:space="preserve"> </w:t>
      </w:r>
      <w:r>
        <w:t xml:space="preserve">- Can we render 4DGS on a Steam Frame at acceptable visual quality (&gt;28 dB PSNR)?</w:t>
      </w:r>
      <w:r>
        <w:t xml:space="preserve"> </w:t>
      </w:r>
      <w:r>
        <w:t xml:space="preserve">- Is motion-to-photon latency &lt;25ms over Wi-Fi 7?</w:t>
      </w:r>
      <w:r>
        <w:t xml:space="preserve"> </w:t>
      </w:r>
      <w:r>
        <w:t xml:space="preserve">- Does multi-viewer rendering scale (4 headsets from 2 GPUs)?</w:t>
      </w:r>
      <w:r>
        <w:t xml:space="preserve"> </w:t>
      </w:r>
      <w:r>
        <w:t xml:space="preserve">- Does the tech demo capture look lifelike on the Steam Frame?</w:t>
      </w:r>
    </w:p>
    <w:p>
      <w:pPr>
        <w:pStyle w:val="BodyText"/>
      </w:pPr>
      <w:r>
        <w:t xml:space="preserve">If yes on all: proceed to full production.</w:t>
      </w:r>
      <w:r>
        <w:t xml:space="preserve"> </w:t>
      </w:r>
      <w:r>
        <w:t xml:space="preserve">If latency exceeds 25ms: evaluate wired fallback (USB-C tether as interim solution).</w:t>
      </w:r>
      <w:r>
        <w:t xml:space="preserve"> </w:t>
      </w:r>
      <w:r>
        <w:t xml:space="preserve">If visual quality is insufficient: evaluate whether the capture rig or the rendering pipeline is the bottleneck.</w:t>
      </w:r>
    </w:p>
    <w:p>
      <w:pPr>
        <w:pStyle w:val="BodyText"/>
      </w:pPr>
      <w:r>
        <w:rPr>
          <w:b/>
          <w:bCs/>
        </w:rPr>
        <w:t xml:space="preserve">This gate is the highest-risk moment in the project.</w:t>
      </w:r>
      <w:r>
        <w:t xml:space="preserve"> </w:t>
      </w:r>
      <w:r>
        <w:t xml:space="preserve">If the core technical claim — lifelike 4DGS streamed wirelessly to a Steam Frame — does not hold, the entire venture model must be reconsidered. The $8M invested to this point is the cost of proving or disproving the thesis.</w:t>
      </w:r>
    </w:p>
    <w:p>
      <w:r>
        <w:pict>
          <v:rect style="width:0;height:1.5pt" o:hralign="center" o:hrstd="t" o:hr="t"/>
        </w:pict>
      </w:r>
    </w:p>
    <w:bookmarkEnd w:id="17"/>
    <w:bookmarkEnd w:id="18"/>
    <w:bookmarkStart w:id="23" w:name="phase-2-production-m12-m20"/>
    <w:p>
      <w:pPr>
        <w:pStyle w:val="Heading2"/>
      </w:pPr>
      <w:r>
        <w:t xml:space="preserve">Phase 2: Production (M12 – M20)</w:t>
      </w:r>
    </w:p>
    <w:p>
      <w:pPr>
        <w:pStyle w:val="FirstParagraph"/>
      </w:pPr>
      <w:r>
        <w:rPr>
          <w:b/>
          <w:bCs/>
        </w:rPr>
        <w:t xml:space="preserve">Duration:</w:t>
      </w:r>
      <w:r>
        <w:t xml:space="preserve"> </w:t>
      </w:r>
      <w:r>
        <w:t xml:space="preserve">9 months</w:t>
      </w:r>
      <w:r>
        <w:t xml:space="preserve"> </w:t>
      </w:r>
      <w:r>
        <w:rPr>
          <w:b/>
          <w:bCs/>
        </w:rPr>
        <w:t xml:space="preserve">Capital deployed:</w:t>
      </w:r>
      <w:r>
        <w:t xml:space="preserve"> </w:t>
      </w:r>
      <w:r>
        <w:t xml:space="preserve">$25M cumulative</w:t>
      </w:r>
      <w:r>
        <w:t xml:space="preserve"> </w:t>
      </w:r>
      <w:r>
        <w:rPr>
          <w:b/>
          <w:bCs/>
        </w:rPr>
        <w:t xml:space="preserve">Team size:</w:t>
      </w:r>
      <w:r>
        <w:t xml:space="preserve"> </w:t>
      </w:r>
      <w:r>
        <w:t xml:space="preserve">25–35 (including content production crew)</w:t>
      </w:r>
    </w:p>
    <w:bookmarkStart w:id="19" w:name="workstream-1-technology-1"/>
    <w:p>
      <w:pPr>
        <w:pStyle w:val="Heading3"/>
      </w:pPr>
      <w:r>
        <w:t xml:space="preserve">Workstream 1: Technology</w:t>
      </w:r>
    </w:p>
    <w:tbl>
      <w:tblPr>
        <w:tblStyle w:val="Table"/>
        <w:tblW w:type="pct" w:w="5000"/>
        <w:tblLayout w:type="fixed"/>
        <w:tblLook w:firstRow="1" w:lastRow="0" w:firstColumn="0" w:lastColumn="0" w:noHBand="0" w:noVBand="0" w:val="0020"/>
      </w:tblPr>
      <w:tblGrid>
        <w:gridCol w:w="766"/>
        <w:gridCol w:w="3065"/>
        <w:gridCol w:w="2043"/>
        <w:gridCol w:w="2043"/>
      </w:tblGrid>
      <w:tr>
        <w:trPr>
          <w:tblHeader w:val="on"/>
        </w:trPr>
        <w:tc>
          <w:tcPr/>
          <w:p>
            <w:pPr>
              <w:pStyle w:val="Compact"/>
            </w:pPr>
            <w:r>
              <w:t xml:space="preserve">#</w:t>
            </w:r>
          </w:p>
        </w:tc>
        <w:tc>
          <w:tcPr/>
          <w:p>
            <w:pPr>
              <w:pStyle w:val="Compact"/>
            </w:pPr>
            <w:r>
              <w:t xml:space="preserve">Deliverable</w:t>
            </w:r>
          </w:p>
        </w:tc>
        <w:tc>
          <w:tcPr/>
          <w:p>
            <w:pPr>
              <w:pStyle w:val="Compact"/>
            </w:pPr>
            <w:r>
              <w:t xml:space="preserve">Detail</w:t>
            </w:r>
          </w:p>
        </w:tc>
        <w:tc>
          <w:tcPr/>
          <w:p>
            <w:pPr>
              <w:pStyle w:val="Compact"/>
            </w:pPr>
            <w:r>
              <w:t xml:space="preserve">Target</w:t>
            </w:r>
          </w:p>
        </w:tc>
      </w:tr>
      <w:tr>
        <w:tc>
          <w:tcPr/>
          <w:p>
            <w:pPr>
              <w:pStyle w:val="Compact"/>
            </w:pPr>
            <w:r>
              <w:t xml:space="preserve">2.1</w:t>
            </w:r>
          </w:p>
        </w:tc>
        <w:tc>
          <w:tcPr/>
          <w:p>
            <w:pPr>
              <w:pStyle w:val="Compact"/>
            </w:pPr>
            <w:r>
              <w:rPr>
                <w:b/>
                <w:bCs/>
              </w:rPr>
              <w:t xml:space="preserve">12-viewer rendering engine</w:t>
            </w:r>
          </w:p>
        </w:tc>
        <w:tc>
          <w:tcPr/>
          <w:p>
            <w:pPr>
              <w:pStyle w:val="Compact"/>
            </w:pPr>
            <w:r>
              <w:t xml:space="preserve">Scale from 4-viewer prototype to full 12-viewer server, targeting Rubin-class GPUs</w:t>
            </w:r>
          </w:p>
        </w:tc>
        <w:tc>
          <w:tcPr/>
          <w:p>
            <w:pPr>
              <w:pStyle w:val="Compact"/>
            </w:pPr>
            <w:r>
              <w:t xml:space="preserve">M15</w:t>
            </w:r>
          </w:p>
        </w:tc>
      </w:tr>
      <w:tr>
        <w:tc>
          <w:tcPr/>
          <w:p>
            <w:pPr>
              <w:pStyle w:val="Compact"/>
            </w:pPr>
            <w:r>
              <w:t xml:space="preserve">2.2</w:t>
            </w:r>
          </w:p>
        </w:tc>
        <w:tc>
          <w:tcPr/>
          <w:p>
            <w:pPr>
              <w:pStyle w:val="Compact"/>
            </w:pPr>
            <w:r>
              <w:rPr>
                <w:b/>
                <w:bCs/>
              </w:rPr>
              <w:t xml:space="preserve">Interactive overlay SDK</w:t>
            </w:r>
          </w:p>
        </w:tc>
        <w:tc>
          <w:tcPr/>
          <w:p>
            <w:pPr>
              <w:pStyle w:val="Compact"/>
            </w:pPr>
            <w:r>
              <w:t xml:space="preserve">Build the SDK that allows interactive elements (Unreal Engine) to composite with the server-streamed 4DGS feed, including depth-correct occlusion</w:t>
            </w:r>
          </w:p>
        </w:tc>
        <w:tc>
          <w:tcPr/>
          <w:p>
            <w:pPr>
              <w:pStyle w:val="Compact"/>
            </w:pPr>
            <w:r>
              <w:t xml:space="preserve">M17</w:t>
            </w:r>
          </w:p>
        </w:tc>
      </w:tr>
      <w:tr>
        <w:tc>
          <w:tcPr/>
          <w:p>
            <w:pPr>
              <w:pStyle w:val="Compact"/>
            </w:pPr>
            <w:r>
              <w:t xml:space="preserve">2.3</w:t>
            </w:r>
          </w:p>
        </w:tc>
        <w:tc>
          <w:tcPr/>
          <w:p>
            <w:pPr>
              <w:pStyle w:val="Compact"/>
            </w:pPr>
            <w:r>
              <w:rPr>
                <w:b/>
                <w:bCs/>
              </w:rPr>
              <w:t xml:space="preserve">Content authoring toolchain v1</w:t>
            </w:r>
          </w:p>
        </w:tc>
        <w:tc>
          <w:tcPr/>
          <w:p>
            <w:pPr>
              <w:pStyle w:val="Compact"/>
            </w:pPr>
            <w:r>
              <w:t xml:space="preserve">Editorial tools for sequencing 4DGS takes, spatial audio mixing for WFS, interactive scripting, preview-on-headset workflow</w:t>
            </w:r>
          </w:p>
        </w:tc>
        <w:tc>
          <w:tcPr/>
          <w:p>
            <w:pPr>
              <w:pStyle w:val="Compact"/>
            </w:pPr>
            <w:r>
              <w:t xml:space="preserve">M18</w:t>
            </w:r>
          </w:p>
        </w:tc>
      </w:tr>
      <w:tr>
        <w:tc>
          <w:tcPr/>
          <w:p>
            <w:pPr>
              <w:pStyle w:val="Compact"/>
            </w:pPr>
            <w:r>
              <w:t xml:space="preserve">2.4</w:t>
            </w:r>
          </w:p>
        </w:tc>
        <w:tc>
          <w:tcPr/>
          <w:p>
            <w:pPr>
              <w:pStyle w:val="Compact"/>
            </w:pPr>
            <w:r>
              <w:rPr>
                <w:b/>
                <w:bCs/>
              </w:rPr>
              <w:t xml:space="preserve">WFS integration — full scale</w:t>
            </w:r>
          </w:p>
        </w:tc>
        <w:tc>
          <w:tcPr/>
          <w:p>
            <w:pPr>
              <w:pStyle w:val="Compact"/>
            </w:pPr>
            <w:r>
              <w:t xml:space="preserve">Order and receive full Holoplot array (1,200+ drivers per room). Begin integration with the rendering pipeline on-site or in a test facility.</w:t>
            </w:r>
          </w:p>
        </w:tc>
        <w:tc>
          <w:tcPr/>
          <w:p>
            <w:pPr>
              <w:pStyle w:val="Compact"/>
            </w:pPr>
            <w:r>
              <w:t xml:space="preserve">M20</w:t>
            </w:r>
          </w:p>
        </w:tc>
      </w:tr>
    </w:tbl>
    <w:bookmarkEnd w:id="19"/>
    <w:bookmarkStart w:id="20" w:name="workstream-2-content-1"/>
    <w:p>
      <w:pPr>
        <w:pStyle w:val="Heading3"/>
      </w:pPr>
      <w:r>
        <w:t xml:space="preserve">Workstream 2: Content</w:t>
      </w:r>
    </w:p>
    <w:tbl>
      <w:tblPr>
        <w:tblStyle w:val="Table"/>
        <w:tblW w:type="pct" w:w="5000"/>
        <w:tblLayout w:type="fixed"/>
        <w:tblLook w:firstRow="1" w:lastRow="0" w:firstColumn="0" w:lastColumn="0" w:noHBand="0" w:noVBand="0" w:val="0020"/>
      </w:tblPr>
      <w:tblGrid>
        <w:gridCol w:w="766"/>
        <w:gridCol w:w="3065"/>
        <w:gridCol w:w="2043"/>
        <w:gridCol w:w="2043"/>
      </w:tblGrid>
      <w:tr>
        <w:trPr>
          <w:tblHeader w:val="on"/>
        </w:trPr>
        <w:tc>
          <w:tcPr/>
          <w:p>
            <w:pPr>
              <w:pStyle w:val="Compact"/>
            </w:pPr>
            <w:r>
              <w:t xml:space="preserve">#</w:t>
            </w:r>
          </w:p>
        </w:tc>
        <w:tc>
          <w:tcPr/>
          <w:p>
            <w:pPr>
              <w:pStyle w:val="Compact"/>
            </w:pPr>
            <w:r>
              <w:t xml:space="preserve">Deliverable</w:t>
            </w:r>
          </w:p>
        </w:tc>
        <w:tc>
          <w:tcPr/>
          <w:p>
            <w:pPr>
              <w:pStyle w:val="Compact"/>
            </w:pPr>
            <w:r>
              <w:t xml:space="preserve">Detail</w:t>
            </w:r>
          </w:p>
        </w:tc>
        <w:tc>
          <w:tcPr/>
          <w:p>
            <w:pPr>
              <w:pStyle w:val="Compact"/>
            </w:pPr>
            <w:r>
              <w:t xml:space="preserve">Target</w:t>
            </w:r>
          </w:p>
        </w:tc>
      </w:tr>
      <w:tr>
        <w:tc>
          <w:tcPr/>
          <w:p>
            <w:pPr>
              <w:pStyle w:val="Compact"/>
            </w:pPr>
            <w:r>
              <w:t xml:space="preserve">2.5</w:t>
            </w:r>
          </w:p>
        </w:tc>
        <w:tc>
          <w:tcPr/>
          <w:p>
            <w:pPr>
              <w:pStyle w:val="Compact"/>
            </w:pPr>
            <w:r>
              <w:rPr>
                <w:b/>
                <w:bCs/>
              </w:rPr>
              <w:t xml:space="preserve">Full capture sessions</w:t>
            </w:r>
          </w:p>
        </w:tc>
        <w:tc>
          <w:tcPr/>
          <w:p>
            <w:pPr>
              <w:pStyle w:val="Compact"/>
            </w:pPr>
            <w:r>
              <w:t xml:space="preserve">3–4 months of studio time with the artist. Multiple performances, wardrobe changes, interactive sequences. Target: 60+ minutes of raw 4DGS material for a 20-minute show.</w:t>
            </w:r>
          </w:p>
        </w:tc>
        <w:tc>
          <w:tcPr/>
          <w:p>
            <w:pPr>
              <w:pStyle w:val="Compact"/>
            </w:pPr>
            <w:r>
              <w:t xml:space="preserve">M12–M15</w:t>
            </w:r>
          </w:p>
        </w:tc>
      </w:tr>
      <w:tr>
        <w:tc>
          <w:tcPr/>
          <w:p>
            <w:pPr>
              <w:pStyle w:val="Compact"/>
            </w:pPr>
            <w:r>
              <w:t xml:space="preserve">2.6</w:t>
            </w:r>
          </w:p>
        </w:tc>
        <w:tc>
          <w:tcPr/>
          <w:p>
            <w:pPr>
              <w:pStyle w:val="Compact"/>
            </w:pPr>
            <w:r>
              <w:rPr>
                <w:b/>
                <w:bCs/>
              </w:rPr>
              <w:t xml:space="preserve">4DGS processing — full show</w:t>
            </w:r>
          </w:p>
        </w:tc>
        <w:tc>
          <w:tcPr/>
          <w:p>
            <w:pPr>
              <w:pStyle w:val="Compact"/>
            </w:pPr>
            <w:r>
              <w:t xml:space="preserve">Process all captured material through the pipeline. Quality iteration, selective re-capture if needed.</w:t>
            </w:r>
          </w:p>
        </w:tc>
        <w:tc>
          <w:tcPr/>
          <w:p>
            <w:pPr>
              <w:pStyle w:val="Compact"/>
            </w:pPr>
            <w:r>
              <w:t xml:space="preserve">M15–M18</w:t>
            </w:r>
          </w:p>
        </w:tc>
      </w:tr>
      <w:tr>
        <w:tc>
          <w:tcPr/>
          <w:p>
            <w:pPr>
              <w:pStyle w:val="Compact"/>
            </w:pPr>
            <w:r>
              <w:t xml:space="preserve">2.7</w:t>
            </w:r>
          </w:p>
        </w:tc>
        <w:tc>
          <w:tcPr/>
          <w:p>
            <w:pPr>
              <w:pStyle w:val="Compact"/>
            </w:pPr>
            <w:r>
              <w:rPr>
                <w:b/>
                <w:bCs/>
              </w:rPr>
              <w:t xml:space="preserve">Interactive layer design</w:t>
            </w:r>
          </w:p>
        </w:tc>
        <w:tc>
          <w:tcPr/>
          <w:p>
            <w:pPr>
              <w:pStyle w:val="Compact"/>
            </w:pPr>
            <w:r>
              <w:t xml:space="preserve">Game designers and the artist’s creative team define the interactive mechanics (audience participation, environmental reactions, collective moments).</w:t>
            </w:r>
          </w:p>
        </w:tc>
        <w:tc>
          <w:tcPr/>
          <w:p>
            <w:pPr>
              <w:pStyle w:val="Compact"/>
            </w:pPr>
            <w:r>
              <w:t xml:space="preserve">M14–M17</w:t>
            </w:r>
          </w:p>
        </w:tc>
      </w:tr>
      <w:tr>
        <w:tc>
          <w:tcPr/>
          <w:p>
            <w:pPr>
              <w:pStyle w:val="Compact"/>
            </w:pPr>
            <w:r>
              <w:t xml:space="preserve">2.8</w:t>
            </w:r>
          </w:p>
        </w:tc>
        <w:tc>
          <w:tcPr/>
          <w:p>
            <w:pPr>
              <w:pStyle w:val="Compact"/>
            </w:pPr>
            <w:r>
              <w:rPr>
                <w:b/>
                <w:bCs/>
              </w:rPr>
              <w:t xml:space="preserve">Spatial audio production</w:t>
            </w:r>
          </w:p>
        </w:tc>
        <w:tc>
          <w:tcPr/>
          <w:p>
            <w:pPr>
              <w:pStyle w:val="Compact"/>
            </w:pPr>
            <w:r>
              <w:t xml:space="preserve">Decompose ambisonic captures into WFS sound objects. Author the haptic score (floor transducer mapping). Mix and master.</w:t>
            </w:r>
          </w:p>
        </w:tc>
        <w:tc>
          <w:tcPr/>
          <w:p>
            <w:pPr>
              <w:pStyle w:val="Compact"/>
            </w:pPr>
            <w:r>
              <w:t xml:space="preserve">M17–M20</w:t>
            </w:r>
          </w:p>
        </w:tc>
      </w:tr>
    </w:tbl>
    <w:bookmarkEnd w:id="20"/>
    <w:bookmarkStart w:id="21" w:name="workstream-3-venue-1"/>
    <w:p>
      <w:pPr>
        <w:pStyle w:val="Heading3"/>
      </w:pPr>
      <w:r>
        <w:t xml:space="preserve">Workstream 3: Venue</w:t>
      </w:r>
    </w:p>
    <w:tbl>
      <w:tblPr>
        <w:tblStyle w:val="Table"/>
        <w:tblW w:type="pct" w:w="5000"/>
        <w:tblLayout w:type="fixed"/>
        <w:tblLook w:firstRow="1" w:lastRow="0" w:firstColumn="0" w:lastColumn="0" w:noHBand="0" w:noVBand="0" w:val="0020"/>
      </w:tblPr>
      <w:tblGrid>
        <w:gridCol w:w="766"/>
        <w:gridCol w:w="3065"/>
        <w:gridCol w:w="2043"/>
        <w:gridCol w:w="2043"/>
      </w:tblGrid>
      <w:tr>
        <w:trPr>
          <w:tblHeader w:val="on"/>
        </w:trPr>
        <w:tc>
          <w:tcPr/>
          <w:p>
            <w:pPr>
              <w:pStyle w:val="Compact"/>
            </w:pPr>
            <w:r>
              <w:t xml:space="preserve">#</w:t>
            </w:r>
          </w:p>
        </w:tc>
        <w:tc>
          <w:tcPr/>
          <w:p>
            <w:pPr>
              <w:pStyle w:val="Compact"/>
            </w:pPr>
            <w:r>
              <w:t xml:space="preserve">Deliverable</w:t>
            </w:r>
          </w:p>
        </w:tc>
        <w:tc>
          <w:tcPr/>
          <w:p>
            <w:pPr>
              <w:pStyle w:val="Compact"/>
            </w:pPr>
            <w:r>
              <w:t xml:space="preserve">Detail</w:t>
            </w:r>
          </w:p>
        </w:tc>
        <w:tc>
          <w:tcPr/>
          <w:p>
            <w:pPr>
              <w:pStyle w:val="Compact"/>
            </w:pPr>
            <w:r>
              <w:t xml:space="preserve">Target</w:t>
            </w:r>
          </w:p>
        </w:tc>
      </w:tr>
      <w:tr>
        <w:tc>
          <w:tcPr/>
          <w:p>
            <w:pPr>
              <w:pStyle w:val="Compact"/>
            </w:pPr>
            <w:r>
              <w:t xml:space="preserve">2.9</w:t>
            </w:r>
          </w:p>
        </w:tc>
        <w:tc>
          <w:tcPr/>
          <w:p>
            <w:pPr>
              <w:pStyle w:val="Compact"/>
            </w:pPr>
            <w:r>
              <w:rPr>
                <w:b/>
                <w:bCs/>
              </w:rPr>
              <w:t xml:space="preserve">Lease execution — Flagship 1</w:t>
            </w:r>
          </w:p>
        </w:tc>
        <w:tc>
          <w:tcPr/>
          <w:p>
            <w:pPr>
              <w:pStyle w:val="Compact"/>
            </w:pPr>
            <w:r>
              <w:t xml:space="preserve">Sign binding lease. Begin tenant improvement negotiations.</w:t>
            </w:r>
          </w:p>
        </w:tc>
        <w:tc>
          <w:tcPr/>
          <w:p>
            <w:pPr>
              <w:pStyle w:val="Compact"/>
            </w:pPr>
            <w:r>
              <w:t xml:space="preserve">M13</w:t>
            </w:r>
          </w:p>
        </w:tc>
      </w:tr>
      <w:tr>
        <w:tc>
          <w:tcPr/>
          <w:p>
            <w:pPr>
              <w:pStyle w:val="Compact"/>
            </w:pPr>
            <w:r>
              <w:t xml:space="preserve">2.10</w:t>
            </w:r>
          </w:p>
        </w:tc>
        <w:tc>
          <w:tcPr/>
          <w:p>
            <w:pPr>
              <w:pStyle w:val="Compact"/>
            </w:pPr>
            <w:r>
              <w:rPr>
                <w:b/>
                <w:bCs/>
              </w:rPr>
              <w:t xml:space="preserve">Construction design finalization</w:t>
            </w:r>
          </w:p>
        </w:tc>
        <w:tc>
          <w:tcPr/>
          <w:p>
            <w:pPr>
              <w:pStyle w:val="Compact"/>
            </w:pPr>
            <w:r>
              <w:t xml:space="preserve">Complete architectural and MEP (mechanical/electrical/plumbing) design. Acoustic treatment specs. HVAC sizing for GPU heat load. Electrical capacity for WFS array + server rack.</w:t>
            </w:r>
          </w:p>
        </w:tc>
        <w:tc>
          <w:tcPr/>
          <w:p>
            <w:pPr>
              <w:pStyle w:val="Compact"/>
            </w:pPr>
            <w:r>
              <w:t xml:space="preserve">M15</w:t>
            </w:r>
          </w:p>
        </w:tc>
      </w:tr>
      <w:tr>
        <w:tc>
          <w:tcPr/>
          <w:p>
            <w:pPr>
              <w:pStyle w:val="Compact"/>
            </w:pPr>
            <w:r>
              <w:t xml:space="preserve">2.11</w:t>
            </w:r>
          </w:p>
        </w:tc>
        <w:tc>
          <w:tcPr/>
          <w:p>
            <w:pPr>
              <w:pStyle w:val="Compact"/>
            </w:pPr>
            <w:r>
              <w:rPr>
                <w:b/>
                <w:bCs/>
              </w:rPr>
              <w:t xml:space="preserve">Construction begins</w:t>
            </w:r>
          </w:p>
        </w:tc>
        <w:tc>
          <w:tcPr/>
          <w:p>
            <w:pPr>
              <w:pStyle w:val="Compact"/>
            </w:pPr>
            <w:r>
              <w:t xml:space="preserve">Demolition/shell prep, acoustic treatment, electrical rough-in, server room build-out.</w:t>
            </w:r>
          </w:p>
        </w:tc>
        <w:tc>
          <w:tcPr/>
          <w:p>
            <w:pPr>
              <w:pStyle w:val="Compact"/>
            </w:pPr>
            <w:r>
              <w:t xml:space="preserve">M17</w:t>
            </w:r>
          </w:p>
        </w:tc>
      </w:tr>
      <w:tr>
        <w:tc>
          <w:tcPr/>
          <w:p>
            <w:pPr>
              <w:pStyle w:val="Compact"/>
            </w:pPr>
            <w:r>
              <w:t xml:space="preserve">2.12</w:t>
            </w:r>
          </w:p>
        </w:tc>
        <w:tc>
          <w:tcPr/>
          <w:p>
            <w:pPr>
              <w:pStyle w:val="Compact"/>
            </w:pPr>
            <w:r>
              <w:rPr>
                <w:b/>
                <w:bCs/>
              </w:rPr>
              <w:t xml:space="preserve">Flagship 2 — site selection begins</w:t>
            </w:r>
          </w:p>
        </w:tc>
        <w:tc>
          <w:tcPr/>
          <w:p>
            <w:pPr>
              <w:pStyle w:val="Compact"/>
            </w:pPr>
            <w:r>
              <w:t xml:space="preserve">Start scouting for the second location (the city not chosen for Flagship 1).</w:t>
            </w:r>
          </w:p>
        </w:tc>
        <w:tc>
          <w:tcPr/>
          <w:p>
            <w:pPr>
              <w:pStyle w:val="Compact"/>
            </w:pPr>
            <w:r>
              <w:t xml:space="preserve">M20</w:t>
            </w:r>
          </w:p>
        </w:tc>
      </w:tr>
    </w:tbl>
    <w:bookmarkEnd w:id="21"/>
    <w:bookmarkStart w:id="22" w:name="decision-gate-m20"/>
    <w:p>
      <w:pPr>
        <w:pStyle w:val="Heading3"/>
      </w:pPr>
      <w:r>
        <w:t xml:space="preserve">Decision Gate (M20)</w:t>
      </w:r>
    </w:p>
    <w:p>
      <w:pPr>
        <w:pStyle w:val="FirstParagraph"/>
      </w:pPr>
      <w:r>
        <w:rPr>
          <w:b/>
          <w:bCs/>
        </w:rPr>
        <w:t xml:space="preserve">Gate 2: Production readiness</w:t>
      </w:r>
      <w:r>
        <w:t xml:space="preserve"> </w:t>
      </w:r>
      <w:r>
        <w:t xml:space="preserve">- Is the 12-viewer rendering engine stable?</w:t>
      </w:r>
      <w:r>
        <w:t xml:space="preserve"> </w:t>
      </w:r>
      <w:r>
        <w:t xml:space="preserve">- Is the full show’s 4DGS material processed and viewable?</w:t>
      </w:r>
      <w:r>
        <w:t xml:space="preserve"> </w:t>
      </w:r>
      <w:r>
        <w:t xml:space="preserve">- Is the WFS array ordered and delivery scheduled?</w:t>
      </w:r>
      <w:r>
        <w:t xml:space="preserve"> </w:t>
      </w:r>
      <w:r>
        <w:t xml:space="preserve">- Is construction on schedule (structural complete, MEP in progress)?</w:t>
      </w:r>
    </w:p>
    <w:p>
      <w:pPr>
        <w:pStyle w:val="BodyText"/>
      </w:pPr>
      <w:r>
        <w:t xml:space="preserve">If yes: proceed to integration.</w:t>
      </w:r>
      <w:r>
        <w:t xml:space="preserve"> </w:t>
      </w:r>
      <w:r>
        <w:t xml:space="preserve">If content is delayed: push launch by equivalent duration (venue can wait; content cannot be rushed without quality loss).</w:t>
      </w:r>
      <w:r>
        <w:t xml:space="preserve"> </w:t>
      </w:r>
      <w:r>
        <w:t xml:space="preserve">If construction is delayed: evaluate temporary/pop-up venue for soft launch while permanent space completes.</w:t>
      </w:r>
    </w:p>
    <w:p>
      <w:r>
        <w:pict>
          <v:rect style="width:0;height:1.5pt" o:hralign="center" o:hrstd="t" o:hr="t"/>
        </w:pict>
      </w:r>
    </w:p>
    <w:bookmarkEnd w:id="22"/>
    <w:bookmarkEnd w:id="23"/>
    <w:bookmarkStart w:id="26" w:name="phase-3-integration-m21-m26"/>
    <w:p>
      <w:pPr>
        <w:pStyle w:val="Heading2"/>
      </w:pPr>
      <w:r>
        <w:t xml:space="preserve">Phase 3: Integration (M21 – M26)</w:t>
      </w:r>
    </w:p>
    <w:p>
      <w:pPr>
        <w:pStyle w:val="FirstParagraph"/>
      </w:pPr>
      <w:r>
        <w:rPr>
          <w:b/>
          <w:bCs/>
        </w:rPr>
        <w:t xml:space="preserve">Duration:</w:t>
      </w:r>
      <w:r>
        <w:t xml:space="preserve"> </w:t>
      </w:r>
      <w:r>
        <w:t xml:space="preserve">6 months</w:t>
      </w:r>
      <w:r>
        <w:t xml:space="preserve"> </w:t>
      </w:r>
      <w:r>
        <w:rPr>
          <w:b/>
          <w:bCs/>
        </w:rPr>
        <w:t xml:space="preserve">Capital deployed:</w:t>
      </w:r>
      <w:r>
        <w:t xml:space="preserve"> </w:t>
      </w:r>
      <w:r>
        <w:t xml:space="preserve">$36M cumulative</w:t>
      </w:r>
      <w:r>
        <w:t xml:space="preserve"> </w:t>
      </w:r>
      <w:r>
        <w:rPr>
          <w:b/>
          <w:bCs/>
        </w:rPr>
        <w:t xml:space="preserve">Team size:</w:t>
      </w:r>
      <w:r>
        <w:t xml:space="preserve"> </w:t>
      </w:r>
      <w:r>
        <w:t xml:space="preserve">30–40 (including construction and installation crews)</w:t>
      </w:r>
    </w:p>
    <w:p>
      <w:pPr>
        <w:pStyle w:val="BodyText"/>
      </w:pPr>
      <w:r>
        <w:t xml:space="preserve">This is where the three workstreams converge. The content must run on the technology in the venue.</w:t>
      </w:r>
    </w:p>
    <w:bookmarkStart w:id="24" w:name="deliverables-1"/>
    <w:p>
      <w:pPr>
        <w:pStyle w:val="Heading3"/>
      </w:pPr>
      <w:r>
        <w:t xml:space="preserve">Deliverables</w:t>
      </w:r>
    </w:p>
    <w:tbl>
      <w:tblPr>
        <w:tblStyle w:val="Table"/>
        <w:tblW w:type="pct" w:w="5000"/>
        <w:tblLayout w:type="fixed"/>
        <w:tblLook w:firstRow="1" w:lastRow="0" w:firstColumn="0" w:lastColumn="0" w:noHBand="0" w:noVBand="0" w:val="0020"/>
      </w:tblPr>
      <w:tblGrid>
        <w:gridCol w:w="766"/>
        <w:gridCol w:w="3065"/>
        <w:gridCol w:w="2043"/>
        <w:gridCol w:w="2043"/>
      </w:tblGrid>
      <w:tr>
        <w:trPr>
          <w:tblHeader w:val="on"/>
        </w:trPr>
        <w:tc>
          <w:tcPr/>
          <w:p>
            <w:pPr>
              <w:pStyle w:val="Compact"/>
            </w:pPr>
            <w:r>
              <w:t xml:space="preserve">#</w:t>
            </w:r>
          </w:p>
        </w:tc>
        <w:tc>
          <w:tcPr/>
          <w:p>
            <w:pPr>
              <w:pStyle w:val="Compact"/>
            </w:pPr>
            <w:r>
              <w:t xml:space="preserve">Deliverable</w:t>
            </w:r>
          </w:p>
        </w:tc>
        <w:tc>
          <w:tcPr/>
          <w:p>
            <w:pPr>
              <w:pStyle w:val="Compact"/>
            </w:pPr>
            <w:r>
              <w:t xml:space="preserve">Detail</w:t>
            </w:r>
          </w:p>
        </w:tc>
        <w:tc>
          <w:tcPr/>
          <w:p>
            <w:pPr>
              <w:pStyle w:val="Compact"/>
            </w:pPr>
            <w:r>
              <w:t xml:space="preserve">Target</w:t>
            </w:r>
          </w:p>
        </w:tc>
      </w:tr>
      <w:tr>
        <w:tc>
          <w:tcPr/>
          <w:p>
            <w:pPr>
              <w:pStyle w:val="Compact"/>
            </w:pPr>
            <w:r>
              <w:t xml:space="preserve">3.1</w:t>
            </w:r>
          </w:p>
        </w:tc>
        <w:tc>
          <w:tcPr/>
          <w:p>
            <w:pPr>
              <w:pStyle w:val="Compact"/>
            </w:pPr>
            <w:r>
              <w:rPr>
                <w:b/>
                <w:bCs/>
              </w:rPr>
              <w:t xml:space="preserve">Server rack installation</w:t>
            </w:r>
          </w:p>
        </w:tc>
        <w:tc>
          <w:tcPr/>
          <w:p>
            <w:pPr>
              <w:pStyle w:val="Compact"/>
            </w:pPr>
            <w:r>
              <w:t xml:space="preserve">Install 8–12 GPU nodes, NVLink fabric, cooling loop, 100GbE networking in the venue’s server room.</w:t>
            </w:r>
          </w:p>
        </w:tc>
        <w:tc>
          <w:tcPr/>
          <w:p>
            <w:pPr>
              <w:pStyle w:val="Compact"/>
            </w:pPr>
            <w:r>
              <w:t xml:space="preserve">M21</w:t>
            </w:r>
          </w:p>
        </w:tc>
      </w:tr>
      <w:tr>
        <w:tc>
          <w:tcPr/>
          <w:p>
            <w:pPr>
              <w:pStyle w:val="Compact"/>
            </w:pPr>
            <w:r>
              <w:t xml:space="preserve">3.2</w:t>
            </w:r>
          </w:p>
        </w:tc>
        <w:tc>
          <w:tcPr/>
          <w:p>
            <w:pPr>
              <w:pStyle w:val="Compact"/>
            </w:pPr>
            <w:r>
              <w:rPr>
                <w:b/>
                <w:bCs/>
              </w:rPr>
              <w:t xml:space="preserve">WFS array installation</w:t>
            </w:r>
          </w:p>
        </w:tc>
        <w:tc>
          <w:tcPr/>
          <w:p>
            <w:pPr>
              <w:pStyle w:val="Compact"/>
            </w:pPr>
            <w:r>
              <w:t xml:space="preserve">Install 1,200+ Holoplot drivers in the performance room walls and ceiling. Wire to spatial audio processors. Acoustic calibration.</w:t>
            </w:r>
          </w:p>
        </w:tc>
        <w:tc>
          <w:tcPr/>
          <w:p>
            <w:pPr>
              <w:pStyle w:val="Compact"/>
            </w:pPr>
            <w:r>
              <w:t xml:space="preserve">M22</w:t>
            </w:r>
          </w:p>
        </w:tc>
      </w:tr>
      <w:tr>
        <w:tc>
          <w:tcPr/>
          <w:p>
            <w:pPr>
              <w:pStyle w:val="Compact"/>
            </w:pPr>
            <w:r>
              <w:t xml:space="preserve">3.3</w:t>
            </w:r>
          </w:p>
        </w:tc>
        <w:tc>
          <w:tcPr/>
          <w:p>
            <w:pPr>
              <w:pStyle w:val="Compact"/>
            </w:pPr>
            <w:r>
              <w:rPr>
                <w:b/>
                <w:bCs/>
              </w:rPr>
              <w:t xml:space="preserve">Haptic floor installation</w:t>
            </w:r>
          </w:p>
        </w:tc>
        <w:tc>
          <w:tcPr/>
          <w:p>
            <w:pPr>
              <w:pStyle w:val="Compact"/>
            </w:pPr>
            <w:r>
              <w:t xml:space="preserve">Install 96–128 transducers in 300 m² modular floor grid. Amplification and control wiring.</w:t>
            </w:r>
          </w:p>
        </w:tc>
        <w:tc>
          <w:tcPr/>
          <w:p>
            <w:pPr>
              <w:pStyle w:val="Compact"/>
            </w:pPr>
            <w:r>
              <w:t xml:space="preserve">M23</w:t>
            </w:r>
          </w:p>
        </w:tc>
      </w:tr>
      <w:tr>
        <w:tc>
          <w:tcPr/>
          <w:p>
            <w:pPr>
              <w:pStyle w:val="Compact"/>
            </w:pPr>
            <w:r>
              <w:t xml:space="preserve">3.4</w:t>
            </w:r>
          </w:p>
        </w:tc>
        <w:tc>
          <w:tcPr/>
          <w:p>
            <w:pPr>
              <w:pStyle w:val="Compact"/>
            </w:pPr>
            <w:r>
              <w:rPr>
                <w:b/>
                <w:bCs/>
              </w:rPr>
              <w:t xml:space="preserve">Wi-Fi 7 AP deployment</w:t>
            </w:r>
          </w:p>
        </w:tc>
        <w:tc>
          <w:tcPr/>
          <w:p>
            <w:pPr>
              <w:pStyle w:val="Compact"/>
            </w:pPr>
            <w:r>
              <w:t xml:space="preserve">Install and optimize 4x enterprise Wi-Fi 7 access points. RF survey and interference testing with WFS array active.</w:t>
            </w:r>
          </w:p>
        </w:tc>
        <w:tc>
          <w:tcPr/>
          <w:p>
            <w:pPr>
              <w:pStyle w:val="Compact"/>
            </w:pPr>
            <w:r>
              <w:t xml:space="preserve">M23</w:t>
            </w:r>
          </w:p>
        </w:tc>
      </w:tr>
      <w:tr>
        <w:tc>
          <w:tcPr/>
          <w:p>
            <w:pPr>
              <w:pStyle w:val="Compact"/>
            </w:pPr>
            <w:r>
              <w:t xml:space="preserve">3.5</w:t>
            </w:r>
          </w:p>
        </w:tc>
        <w:tc>
          <w:tcPr/>
          <w:p>
            <w:pPr>
              <w:pStyle w:val="Compact"/>
            </w:pPr>
            <w:r>
              <w:rPr>
                <w:b/>
                <w:bCs/>
              </w:rPr>
              <w:t xml:space="preserve">Full system integration — Show 1</w:t>
            </w:r>
          </w:p>
        </w:tc>
        <w:tc>
          <w:tcPr/>
          <w:p>
            <w:pPr>
              <w:pStyle w:val="Compact"/>
            </w:pPr>
            <w:r>
              <w:t xml:space="preserve">Load the complete show (4DGS + interactive + spatial audio + haptics) onto the venue hardware. End-to-end playback testing.</w:t>
            </w:r>
          </w:p>
        </w:tc>
        <w:tc>
          <w:tcPr/>
          <w:p>
            <w:pPr>
              <w:pStyle w:val="Compact"/>
            </w:pPr>
            <w:r>
              <w:t xml:space="preserve">M24</w:t>
            </w:r>
          </w:p>
        </w:tc>
      </w:tr>
      <w:tr>
        <w:tc>
          <w:tcPr/>
          <w:p>
            <w:pPr>
              <w:pStyle w:val="Compact"/>
            </w:pPr>
            <w:r>
              <w:t xml:space="preserve">3.6</w:t>
            </w:r>
          </w:p>
        </w:tc>
        <w:tc>
          <w:tcPr/>
          <w:p>
            <w:pPr>
              <w:pStyle w:val="Compact"/>
            </w:pPr>
            <w:r>
              <w:rPr>
                <w:b/>
                <w:bCs/>
              </w:rPr>
              <w:t xml:space="preserve">12-viewer stress testing</w:t>
            </w:r>
          </w:p>
        </w:tc>
        <w:tc>
          <w:tcPr/>
          <w:p>
            <w:pPr>
              <w:pStyle w:val="Compact"/>
            </w:pPr>
            <w:r>
              <w:t xml:space="preserve">Run the full show with 12 simultaneous headsets for 8+ hours continuously. Measure latency, dropped frames, audio sync, thermal stability.</w:t>
            </w:r>
          </w:p>
        </w:tc>
        <w:tc>
          <w:tcPr/>
          <w:p>
            <w:pPr>
              <w:pStyle w:val="Compact"/>
            </w:pPr>
            <w:r>
              <w:t xml:space="preserve">M25</w:t>
            </w:r>
          </w:p>
        </w:tc>
      </w:tr>
      <w:tr>
        <w:tc>
          <w:tcPr/>
          <w:p>
            <w:pPr>
              <w:pStyle w:val="Compact"/>
            </w:pPr>
            <w:r>
              <w:t xml:space="preserve">3.7</w:t>
            </w:r>
          </w:p>
        </w:tc>
        <w:tc>
          <w:tcPr/>
          <w:p>
            <w:pPr>
              <w:pStyle w:val="Compact"/>
            </w:pPr>
            <w:r>
              <w:rPr>
                <w:b/>
                <w:bCs/>
              </w:rPr>
              <w:t xml:space="preserve">Content polish</w:t>
            </w:r>
          </w:p>
        </w:tc>
        <w:tc>
          <w:tcPr/>
          <w:p>
            <w:pPr>
              <w:pStyle w:val="Compact"/>
            </w:pPr>
            <w:r>
              <w:t xml:space="preserve">Iterate on show content based on in-venue testing. Timing adjustments, interactive tuning, audio level balancing, haptic intensity calibration.</w:t>
            </w:r>
          </w:p>
        </w:tc>
        <w:tc>
          <w:tcPr/>
          <w:p>
            <w:pPr>
              <w:pStyle w:val="Compact"/>
            </w:pPr>
            <w:r>
              <w:t xml:space="preserve">M25–M26</w:t>
            </w:r>
          </w:p>
        </w:tc>
      </w:tr>
      <w:tr>
        <w:tc>
          <w:tcPr/>
          <w:p>
            <w:pPr>
              <w:pStyle w:val="Compact"/>
            </w:pPr>
            <w:r>
              <w:t xml:space="preserve">3.8</w:t>
            </w:r>
          </w:p>
        </w:tc>
        <w:tc>
          <w:tcPr/>
          <w:p>
            <w:pPr>
              <w:pStyle w:val="Compact"/>
            </w:pPr>
            <w:r>
              <w:rPr>
                <w:b/>
                <w:bCs/>
              </w:rPr>
              <w:t xml:space="preserve">Steam Frame fleet procurement</w:t>
            </w:r>
          </w:p>
        </w:tc>
        <w:tc>
          <w:tcPr/>
          <w:p>
            <w:pPr>
              <w:pStyle w:val="Compact"/>
            </w:pPr>
            <w:r>
              <w:t xml:space="preserve">Order 40 Steam Frames (12 per room x 2 rooms + spares). Configure with vZero software lock, enterprise face gaskets, belt battery packs.</w:t>
            </w:r>
          </w:p>
        </w:tc>
        <w:tc>
          <w:tcPr/>
          <w:p>
            <w:pPr>
              <w:pStyle w:val="Compact"/>
            </w:pPr>
            <w:r>
              <w:t xml:space="preserve">M24</w:t>
            </w:r>
          </w:p>
        </w:tc>
      </w:tr>
      <w:tr>
        <w:tc>
          <w:tcPr/>
          <w:p>
            <w:pPr>
              <w:pStyle w:val="Compact"/>
            </w:pPr>
            <w:r>
              <w:t xml:space="preserve">3.9</w:t>
            </w:r>
          </w:p>
        </w:tc>
        <w:tc>
          <w:tcPr/>
          <w:p>
            <w:pPr>
              <w:pStyle w:val="Compact"/>
            </w:pPr>
            <w:r>
              <w:rPr>
                <w:b/>
                <w:bCs/>
              </w:rPr>
              <w:t xml:space="preserve">Show 2 — begin production</w:t>
            </w:r>
          </w:p>
        </w:tc>
        <w:tc>
          <w:tcPr/>
          <w:p>
            <w:pPr>
              <w:pStyle w:val="Compact"/>
            </w:pPr>
            <w:r>
              <w:t xml:space="preserve">If Show 1 is on track, begin artist contracting and capture planning for the second show.</w:t>
            </w:r>
          </w:p>
        </w:tc>
        <w:tc>
          <w:tcPr/>
          <w:p>
            <w:pPr>
              <w:pStyle w:val="Compact"/>
            </w:pPr>
            <w:r>
              <w:t xml:space="preserve">M24</w:t>
            </w:r>
          </w:p>
        </w:tc>
      </w:tr>
      <w:tr>
        <w:tc>
          <w:tcPr/>
          <w:p>
            <w:pPr>
              <w:pStyle w:val="Compact"/>
            </w:pPr>
            <w:r>
              <w:t xml:space="preserve">3.10</w:t>
            </w:r>
          </w:p>
        </w:tc>
        <w:tc>
          <w:tcPr/>
          <w:p>
            <w:pPr>
              <w:pStyle w:val="Compact"/>
            </w:pPr>
            <w:r>
              <w:rPr>
                <w:b/>
                <w:bCs/>
              </w:rPr>
              <w:t xml:space="preserve">Flagship 2 — lease execution</w:t>
            </w:r>
          </w:p>
        </w:tc>
        <w:tc>
          <w:tcPr/>
          <w:p>
            <w:pPr>
              <w:pStyle w:val="Compact"/>
            </w:pPr>
            <w:r>
              <w:t xml:space="preserve">Sign lease for second venue. Begin design.</w:t>
            </w:r>
          </w:p>
        </w:tc>
        <w:tc>
          <w:tcPr/>
          <w:p>
            <w:pPr>
              <w:pStyle w:val="Compact"/>
            </w:pPr>
            <w:r>
              <w:t xml:space="preserve">M24</w:t>
            </w:r>
          </w:p>
        </w:tc>
      </w:tr>
    </w:tbl>
    <w:bookmarkEnd w:id="24"/>
    <w:bookmarkStart w:id="25" w:name="decision-gate-m26"/>
    <w:p>
      <w:pPr>
        <w:pStyle w:val="Heading3"/>
      </w:pPr>
      <w:r>
        <w:t xml:space="preserve">Decision Gate (M26)</w:t>
      </w:r>
    </w:p>
    <w:p>
      <w:pPr>
        <w:pStyle w:val="FirstParagraph"/>
      </w:pPr>
      <w:r>
        <w:rPr>
          <w:b/>
          <w:bCs/>
        </w:rPr>
        <w:t xml:space="preserve">Gate 3: Launch readiness</w:t>
      </w:r>
      <w:r>
        <w:t xml:space="preserve"> </w:t>
      </w:r>
      <w:r>
        <w:t xml:space="preserve">- Can the system run 12 headsets for 8 hours without failure?</w:t>
      </w:r>
      <w:r>
        <w:t xml:space="preserve"> </w:t>
      </w:r>
      <w:r>
        <w:t xml:space="preserve">- Is motion-to-photon latency consistently &lt;25ms?</w:t>
      </w:r>
      <w:r>
        <w:t xml:space="preserve"> </w:t>
      </w:r>
      <w:r>
        <w:t xml:space="preserve">- Is audio-visual sync within 5ms?</w:t>
      </w:r>
      <w:r>
        <w:t xml:space="preserve"> </w:t>
      </w:r>
      <w:r>
        <w:t xml:space="preserve">- Is the show content final-locked (no further creative changes)?</w:t>
      </w:r>
      <w:r>
        <w:t xml:space="preserve"> </w:t>
      </w:r>
      <w:r>
        <w:t xml:space="preserve">- Is the venue construction complete and passed safety inspection?</w:t>
      </w:r>
    </w:p>
    <w:p>
      <w:pPr>
        <w:pStyle w:val="BodyText"/>
      </w:pPr>
      <w:r>
        <w:t xml:space="preserve">If yes: proceed to pre-launch.</w:t>
      </w:r>
      <w:r>
        <w:t xml:space="preserve"> </w:t>
      </w:r>
      <w:r>
        <w:t xml:space="preserve">If system stability issues: extend testing by 1–2 months.</w:t>
      </w:r>
      <w:r>
        <w:t xml:space="preserve"> </w:t>
      </w:r>
      <w:r>
        <w:t xml:space="preserve">If content not locked: hard-lock content at 90% quality and patch post-launch (the venue can open with v0.9 and update overnight).</w:t>
      </w:r>
    </w:p>
    <w:p>
      <w:r>
        <w:pict>
          <v:rect style="width:0;height:1.5pt" o:hralign="center" o:hrstd="t" o:hr="t"/>
        </w:pict>
      </w:r>
    </w:p>
    <w:bookmarkEnd w:id="25"/>
    <w:bookmarkEnd w:id="26"/>
    <w:bookmarkStart w:id="28" w:name="phase-4-pre-launch-m27-m29"/>
    <w:p>
      <w:pPr>
        <w:pStyle w:val="Heading2"/>
      </w:pPr>
      <w:r>
        <w:t xml:space="preserve">Phase 4: Pre-Launch (M27 – M29)</w:t>
      </w:r>
    </w:p>
    <w:p>
      <w:pPr>
        <w:pStyle w:val="FirstParagraph"/>
      </w:pPr>
      <w:r>
        <w:rPr>
          <w:b/>
          <w:bCs/>
        </w:rPr>
        <w:t xml:space="preserve">Duration:</w:t>
      </w:r>
      <w:r>
        <w:t xml:space="preserve"> </w:t>
      </w:r>
      <w:r>
        <w:t xml:space="preserve">3 months</w:t>
      </w:r>
      <w:r>
        <w:t xml:space="preserve"> </w:t>
      </w:r>
      <w:r>
        <w:rPr>
          <w:b/>
          <w:bCs/>
        </w:rPr>
        <w:t xml:space="preserve">Capital deployed:</w:t>
      </w:r>
      <w:r>
        <w:t xml:space="preserve"> </w:t>
      </w:r>
      <w:r>
        <w:t xml:space="preserve">$39M cumulative</w:t>
      </w:r>
      <w:r>
        <w:t xml:space="preserve"> </w:t>
      </w:r>
      <w:r>
        <w:rPr>
          <w:b/>
          <w:bCs/>
        </w:rPr>
        <w:t xml:space="preserve">Team size:</w:t>
      </w:r>
      <w:r>
        <w:t xml:space="preserve"> </w:t>
      </w:r>
      <w:r>
        <w:t xml:space="preserve">45–55 (adding operations and front-of-house staff)</w:t>
      </w:r>
    </w:p>
    <w:bookmarkStart w:id="27" w:name="deliverables-2"/>
    <w:p>
      <w:pPr>
        <w:pStyle w:val="Heading3"/>
      </w:pPr>
      <w:r>
        <w:t xml:space="preserve">Deliverables</w:t>
      </w:r>
    </w:p>
    <w:tbl>
      <w:tblPr>
        <w:tblStyle w:val="Table"/>
        <w:tblW w:type="pct" w:w="5000"/>
        <w:tblLayout w:type="fixed"/>
        <w:tblLook w:firstRow="1" w:lastRow="0" w:firstColumn="0" w:lastColumn="0" w:noHBand="0" w:noVBand="0" w:val="0020"/>
      </w:tblPr>
      <w:tblGrid>
        <w:gridCol w:w="766"/>
        <w:gridCol w:w="3065"/>
        <w:gridCol w:w="2043"/>
        <w:gridCol w:w="2043"/>
      </w:tblGrid>
      <w:tr>
        <w:trPr>
          <w:tblHeader w:val="on"/>
        </w:trPr>
        <w:tc>
          <w:tcPr/>
          <w:p>
            <w:pPr>
              <w:pStyle w:val="Compact"/>
            </w:pPr>
            <w:r>
              <w:t xml:space="preserve">#</w:t>
            </w:r>
          </w:p>
        </w:tc>
        <w:tc>
          <w:tcPr/>
          <w:p>
            <w:pPr>
              <w:pStyle w:val="Compact"/>
            </w:pPr>
            <w:r>
              <w:t xml:space="preserve">Deliverable</w:t>
            </w:r>
          </w:p>
        </w:tc>
        <w:tc>
          <w:tcPr/>
          <w:p>
            <w:pPr>
              <w:pStyle w:val="Compact"/>
            </w:pPr>
            <w:r>
              <w:t xml:space="preserve">Detail</w:t>
            </w:r>
          </w:p>
        </w:tc>
        <w:tc>
          <w:tcPr/>
          <w:p>
            <w:pPr>
              <w:pStyle w:val="Compact"/>
            </w:pPr>
            <w:r>
              <w:t xml:space="preserve">Target</w:t>
            </w:r>
          </w:p>
        </w:tc>
      </w:tr>
      <w:tr>
        <w:tc>
          <w:tcPr/>
          <w:p>
            <w:pPr>
              <w:pStyle w:val="Compact"/>
            </w:pPr>
            <w:r>
              <w:t xml:space="preserve">4.1</w:t>
            </w:r>
          </w:p>
        </w:tc>
        <w:tc>
          <w:tcPr/>
          <w:p>
            <w:pPr>
              <w:pStyle w:val="Compact"/>
            </w:pPr>
            <w:r>
              <w:rPr>
                <w:b/>
                <w:bCs/>
              </w:rPr>
              <w:t xml:space="preserve">Hire operations team</w:t>
            </w:r>
          </w:p>
        </w:tc>
        <w:tc>
          <w:tcPr/>
          <w:p>
            <w:pPr>
              <w:pStyle w:val="Compact"/>
            </w:pPr>
            <w:r>
              <w:t xml:space="preserve">Venue manager, 2x technicians, 4x front-of-house/onboarding staff, security, cleaning.</w:t>
            </w:r>
          </w:p>
        </w:tc>
        <w:tc>
          <w:tcPr/>
          <w:p>
            <w:pPr>
              <w:pStyle w:val="Compact"/>
            </w:pPr>
            <w:r>
              <w:t xml:space="preserve">M27</w:t>
            </w:r>
          </w:p>
        </w:tc>
      </w:tr>
      <w:tr>
        <w:tc>
          <w:tcPr/>
          <w:p>
            <w:pPr>
              <w:pStyle w:val="Compact"/>
            </w:pPr>
            <w:r>
              <w:t xml:space="preserve">4.2</w:t>
            </w:r>
          </w:p>
        </w:tc>
        <w:tc>
          <w:tcPr/>
          <w:p>
            <w:pPr>
              <w:pStyle w:val="Compact"/>
            </w:pPr>
            <w:r>
              <w:rPr>
                <w:b/>
                <w:bCs/>
              </w:rPr>
              <w:t xml:space="preserve">Staff training</w:t>
            </w:r>
          </w:p>
        </w:tc>
        <w:tc>
          <w:tcPr/>
          <w:p>
            <w:pPr>
              <w:pStyle w:val="Compact"/>
            </w:pPr>
            <w:r>
              <w:t xml:space="preserve">4 weeks of training on headset fitting, hygiene protocols, emergency procedures, show operations.</w:t>
            </w:r>
          </w:p>
        </w:tc>
        <w:tc>
          <w:tcPr/>
          <w:p>
            <w:pPr>
              <w:pStyle w:val="Compact"/>
            </w:pPr>
            <w:r>
              <w:t xml:space="preserve">M28</w:t>
            </w:r>
          </w:p>
        </w:tc>
      </w:tr>
      <w:tr>
        <w:tc>
          <w:tcPr/>
          <w:p>
            <w:pPr>
              <w:pStyle w:val="Compact"/>
            </w:pPr>
            <w:r>
              <w:t xml:space="preserve">4.3</w:t>
            </w:r>
          </w:p>
        </w:tc>
        <w:tc>
          <w:tcPr/>
          <w:p>
            <w:pPr>
              <w:pStyle w:val="Compact"/>
            </w:pPr>
            <w:r>
              <w:rPr>
                <w:b/>
                <w:bCs/>
              </w:rPr>
              <w:t xml:space="preserve">Soft launch — invite only</w:t>
            </w:r>
          </w:p>
        </w:tc>
        <w:tc>
          <w:tcPr/>
          <w:p>
            <w:pPr>
              <w:pStyle w:val="Compact"/>
            </w:pPr>
            <w:r>
              <w:t xml:space="preserve">4 weeks of invite-only sessions (press, industry, VIPs, friends-and-family). 2–4 sessions per day. Collect feedback, identify issues.</w:t>
            </w:r>
          </w:p>
        </w:tc>
        <w:tc>
          <w:tcPr/>
          <w:p>
            <w:pPr>
              <w:pStyle w:val="Compact"/>
            </w:pPr>
            <w:r>
              <w:t xml:space="preserve">M28–M29</w:t>
            </w:r>
          </w:p>
        </w:tc>
      </w:tr>
      <w:tr>
        <w:tc>
          <w:tcPr/>
          <w:p>
            <w:pPr>
              <w:pStyle w:val="Compact"/>
            </w:pPr>
            <w:r>
              <w:t xml:space="preserve">4.4</w:t>
            </w:r>
          </w:p>
        </w:tc>
        <w:tc>
          <w:tcPr/>
          <w:p>
            <w:pPr>
              <w:pStyle w:val="Compact"/>
            </w:pPr>
            <w:r>
              <w:rPr>
                <w:b/>
                <w:bCs/>
              </w:rPr>
              <w:t xml:space="preserve">Press and media campaign</w:t>
            </w:r>
          </w:p>
        </w:tc>
        <w:tc>
          <w:tcPr/>
          <w:p>
            <w:pPr>
              <w:pStyle w:val="Compact"/>
            </w:pPr>
            <w:r>
              <w:t xml:space="preserve">Coordinated reveal with exclusive previews for key outlets (Wired, The Verge, Billboard, Variety). Artist-driven social media campaign.</w:t>
            </w:r>
          </w:p>
        </w:tc>
        <w:tc>
          <w:tcPr/>
          <w:p>
            <w:pPr>
              <w:pStyle w:val="Compact"/>
            </w:pPr>
            <w:r>
              <w:t xml:space="preserve">M29</w:t>
            </w:r>
          </w:p>
        </w:tc>
      </w:tr>
      <w:tr>
        <w:tc>
          <w:tcPr/>
          <w:p>
            <w:pPr>
              <w:pStyle w:val="Compact"/>
            </w:pPr>
            <w:r>
              <w:t xml:space="preserve">4.5</w:t>
            </w:r>
          </w:p>
        </w:tc>
        <w:tc>
          <w:tcPr/>
          <w:p>
            <w:pPr>
              <w:pStyle w:val="Compact"/>
            </w:pPr>
            <w:r>
              <w:rPr>
                <w:b/>
                <w:bCs/>
              </w:rPr>
              <w:t xml:space="preserve">Ticketing infrastructure</w:t>
            </w:r>
          </w:p>
        </w:tc>
        <w:tc>
          <w:tcPr/>
          <w:p>
            <w:pPr>
              <w:pStyle w:val="Compact"/>
            </w:pPr>
            <w:r>
              <w:t xml:space="preserve">Launch vZero website with online booking. Integration with venue ticketing systems.</w:t>
            </w:r>
          </w:p>
        </w:tc>
        <w:tc>
          <w:tcPr/>
          <w:p>
            <w:pPr>
              <w:pStyle w:val="Compact"/>
            </w:pPr>
            <w:r>
              <w:t xml:space="preserve">M28</w:t>
            </w:r>
          </w:p>
        </w:tc>
      </w:tr>
      <w:tr>
        <w:tc>
          <w:tcPr/>
          <w:p>
            <w:pPr>
              <w:pStyle w:val="Compact"/>
            </w:pPr>
            <w:r>
              <w:t xml:space="preserve">4.6</w:t>
            </w:r>
          </w:p>
        </w:tc>
        <w:tc>
          <w:tcPr/>
          <w:p>
            <w:pPr>
              <w:pStyle w:val="Compact"/>
            </w:pPr>
            <w:r>
              <w:rPr>
                <w:b/>
                <w:bCs/>
              </w:rPr>
              <w:t xml:space="preserve">B2B licensing framework</w:t>
            </w:r>
          </w:p>
        </w:tc>
        <w:tc>
          <w:tcPr/>
          <w:p>
            <w:pPr>
              <w:pStyle w:val="Compact"/>
            </w:pPr>
            <w:r>
              <w:t xml:space="preserve">Finalize the</w:t>
            </w:r>
            <w:r>
              <w:t xml:space="preserve"> </w:t>
            </w:r>
            <w:r>
              <w:t xml:space="preserve">“vZero Play”</w:t>
            </w:r>
            <w:r>
              <w:t xml:space="preserve"> </w:t>
            </w:r>
            <w:r>
              <w:t xml:space="preserve">software package and licensing terms for third-party LBE operators. Begin outreach to Sandbox VR, Zero Latency, Hologate, and independent operators.</w:t>
            </w:r>
          </w:p>
        </w:tc>
        <w:tc>
          <w:tcPr/>
          <w:p>
            <w:pPr>
              <w:pStyle w:val="Compact"/>
            </w:pPr>
            <w:r>
              <w:t xml:space="preserve">M29</w:t>
            </w:r>
          </w:p>
        </w:tc>
      </w:tr>
      <w:tr>
        <w:tc>
          <w:tcPr/>
          <w:p>
            <w:pPr>
              <w:pStyle w:val="Compact"/>
            </w:pPr>
            <w:r>
              <w:t xml:space="preserve">4.7</w:t>
            </w:r>
          </w:p>
        </w:tc>
        <w:tc>
          <w:tcPr/>
          <w:p>
            <w:pPr>
              <w:pStyle w:val="Compact"/>
            </w:pPr>
            <w:r>
              <w:rPr>
                <w:b/>
                <w:bCs/>
              </w:rPr>
              <w:t xml:space="preserve">Home version — Steam Store submission</w:t>
            </w:r>
          </w:p>
        </w:tc>
        <w:tc>
          <w:tcPr/>
          <w:p>
            <w:pPr>
              <w:pStyle w:val="Compact"/>
            </w:pPr>
            <w:r>
              <w:t xml:space="preserve">Submit Show 1 home version for Steam Store approval and listing. Target launch date aligned with Flagship opening for cross-promotion.</w:t>
            </w:r>
          </w:p>
        </w:tc>
        <w:tc>
          <w:tcPr/>
          <w:p>
            <w:pPr>
              <w:pStyle w:val="Compact"/>
            </w:pPr>
            <w:r>
              <w:t xml:space="preserve">M29</w:t>
            </w:r>
          </w:p>
        </w:tc>
      </w:tr>
    </w:tbl>
    <w:p>
      <w:r>
        <w:pict>
          <v:rect style="width:0;height:1.5pt" o:hralign="center" o:hrstd="t" o:hr="t"/>
        </w:pict>
      </w:r>
    </w:p>
    <w:bookmarkEnd w:id="27"/>
    <w:bookmarkEnd w:id="28"/>
    <w:bookmarkStart w:id="31" w:name="phase-5-launch-steady-state-m30"/>
    <w:p>
      <w:pPr>
        <w:pStyle w:val="Heading2"/>
      </w:pPr>
      <w:r>
        <w:t xml:space="preserve">Phase 5: Launch &amp; Steady State (M30+)</w:t>
      </w:r>
    </w:p>
    <w:p>
      <w:pPr>
        <w:pStyle w:val="FirstParagraph"/>
      </w:pPr>
      <w:r>
        <w:rPr>
          <w:b/>
          <w:bCs/>
        </w:rPr>
        <w:t xml:space="preserve">Capital deployed:</w:t>
      </w:r>
      <w:r>
        <w:t xml:space="preserve"> </w:t>
      </w:r>
      <w:r>
        <w:t xml:space="preserve">$40M (Series A fully deployed)</w:t>
      </w:r>
    </w:p>
    <w:bookmarkStart w:id="29" w:name="launch-sequence"/>
    <w:p>
      <w:pPr>
        <w:pStyle w:val="Heading3"/>
      </w:pPr>
      <w:r>
        <w:t xml:space="preserve">Launch Sequence</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Milestone</w:t>
            </w:r>
          </w:p>
        </w:tc>
        <w:tc>
          <w:tcPr/>
          <w:p>
            <w:pPr>
              <w:pStyle w:val="Compact"/>
            </w:pPr>
            <w:r>
              <w:t xml:space="preserve">Timing</w:t>
            </w:r>
          </w:p>
        </w:tc>
      </w:tr>
      <w:tr>
        <w:tc>
          <w:tcPr/>
          <w:p>
            <w:pPr>
              <w:pStyle w:val="Compact"/>
            </w:pPr>
            <w:r>
              <w:rPr>
                <w:b/>
                <w:bCs/>
              </w:rPr>
              <w:t xml:space="preserve">Flagship 1 opens to public</w:t>
            </w:r>
          </w:p>
        </w:tc>
        <w:tc>
          <w:tcPr/>
          <w:p>
            <w:pPr>
              <w:pStyle w:val="Compact"/>
            </w:pPr>
            <w:r>
              <w:t xml:space="preserve">M30. 8 sessions/day initially, ramping to 16/day over 4 weeks.</w:t>
            </w:r>
          </w:p>
        </w:tc>
      </w:tr>
      <w:tr>
        <w:tc>
          <w:tcPr/>
          <w:p>
            <w:pPr>
              <w:pStyle w:val="Compact"/>
            </w:pPr>
            <w:r>
              <w:rPr>
                <w:b/>
                <w:bCs/>
              </w:rPr>
              <w:t xml:space="preserve">Show 1 home version on Steam Store</w:t>
            </w:r>
          </w:p>
        </w:tc>
        <w:tc>
          <w:tcPr/>
          <w:p>
            <w:pPr>
              <w:pStyle w:val="Compact"/>
            </w:pPr>
            <w:r>
              <w:t xml:space="preserve">M30. $29.99 individual purchase.</w:t>
            </w:r>
          </w:p>
        </w:tc>
      </w:tr>
      <w:tr>
        <w:tc>
          <w:tcPr/>
          <w:p>
            <w:pPr>
              <w:pStyle w:val="Compact"/>
            </w:pPr>
            <w:r>
              <w:rPr>
                <w:b/>
                <w:bCs/>
              </w:rPr>
              <w:t xml:space="preserve">First operational assessment</w:t>
            </w:r>
          </w:p>
        </w:tc>
        <w:tc>
          <w:tcPr/>
          <w:p>
            <w:pPr>
              <w:pStyle w:val="Compact"/>
            </w:pPr>
            <w:r>
              <w:t xml:space="preserve">M32. Occupancy rates, customer satisfaction, technical reliability.</w:t>
            </w:r>
          </w:p>
        </w:tc>
      </w:tr>
      <w:tr>
        <w:tc>
          <w:tcPr/>
          <w:p>
            <w:pPr>
              <w:pStyle w:val="Compact"/>
            </w:pPr>
            <w:r>
              <w:rPr>
                <w:b/>
                <w:bCs/>
              </w:rPr>
              <w:t xml:space="preserve">Flagship 2 opens</w:t>
            </w:r>
          </w:p>
        </w:tc>
        <w:tc>
          <w:tcPr/>
          <w:p>
            <w:pPr>
              <w:pStyle w:val="Compact"/>
            </w:pPr>
            <w:r>
              <w:t xml:space="preserve">M36–M38. Second city, 4–6 months after Flagship 1.</w:t>
            </w:r>
          </w:p>
        </w:tc>
      </w:tr>
      <w:tr>
        <w:tc>
          <w:tcPr/>
          <w:p>
            <w:pPr>
              <w:pStyle w:val="Compact"/>
            </w:pPr>
            <w:r>
              <w:rPr>
                <w:b/>
                <w:bCs/>
              </w:rPr>
              <w:t xml:space="preserve">Show 2 delivered</w:t>
            </w:r>
          </w:p>
        </w:tc>
        <w:tc>
          <w:tcPr/>
          <w:p>
            <w:pPr>
              <w:pStyle w:val="Compact"/>
            </w:pPr>
            <w:r>
              <w:t xml:space="preserve">M36. Second AAA spectacle enters rotation at Flagship 1.</w:t>
            </w:r>
          </w:p>
        </w:tc>
      </w:tr>
      <w:tr>
        <w:tc>
          <w:tcPr/>
          <w:p>
            <w:pPr>
              <w:pStyle w:val="Compact"/>
            </w:pPr>
            <w:r>
              <w:rPr>
                <w:b/>
                <w:bCs/>
              </w:rPr>
              <w:t xml:space="preserve">Series B raise</w:t>
            </w:r>
          </w:p>
        </w:tc>
        <w:tc>
          <w:tcPr/>
          <w:p>
            <w:pPr>
              <w:pStyle w:val="Compact"/>
            </w:pPr>
            <w:r>
              <w:t xml:space="preserve">M30–M36. Fund Flagships 3–4, Shows 3–4, Neural Pass pilot.</w:t>
            </w:r>
          </w:p>
        </w:tc>
      </w:tr>
    </w:tbl>
    <w:bookmarkEnd w:id="29"/>
    <w:bookmarkStart w:id="30" w:name="ongoing-cadence-post-launch"/>
    <w:p>
      <w:pPr>
        <w:pStyle w:val="Heading3"/>
      </w:pPr>
      <w:r>
        <w:t xml:space="preserve">Ongoing Cadence (Post-Launch)</w:t>
      </w:r>
    </w:p>
    <w:p>
      <w:pPr>
        <w:pStyle w:val="FirstParagraph"/>
      </w:pPr>
      <w:r>
        <w:t xml:space="preserve">From launch onward, the business operates on a steady rhythm:</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Cadence</w:t>
            </w:r>
          </w:p>
        </w:tc>
        <w:tc>
          <w:tcPr/>
          <w:p>
            <w:pPr>
              <w:pStyle w:val="Compact"/>
            </w:pPr>
            <w:r>
              <w:t xml:space="preserve">Activity</w:t>
            </w:r>
          </w:p>
        </w:tc>
      </w:tr>
      <w:tr>
        <w:tc>
          <w:tcPr/>
          <w:p>
            <w:pPr>
              <w:pStyle w:val="Compact"/>
            </w:pPr>
            <w:r>
              <w:rPr>
                <w:b/>
                <w:bCs/>
              </w:rPr>
              <w:t xml:space="preserve">Every 6 months</w:t>
            </w:r>
          </w:p>
        </w:tc>
        <w:tc>
          <w:tcPr/>
          <w:p>
            <w:pPr>
              <w:pStyle w:val="Compact"/>
            </w:pPr>
            <w:r>
              <w:t xml:space="preserve">New AAA show delivered (2 per year)</w:t>
            </w:r>
          </w:p>
        </w:tc>
      </w:tr>
      <w:tr>
        <w:tc>
          <w:tcPr/>
          <w:p>
            <w:pPr>
              <w:pStyle w:val="Compact"/>
            </w:pPr>
            <w:r>
              <w:rPr>
                <w:b/>
                <w:bCs/>
              </w:rPr>
              <w:t xml:space="preserve">Every 6 months</w:t>
            </w:r>
          </w:p>
        </w:tc>
        <w:tc>
          <w:tcPr/>
          <w:p>
            <w:pPr>
              <w:pStyle w:val="Compact"/>
            </w:pPr>
            <w:r>
              <w:t xml:space="preserve">New Flagship opens (2 per year, reaching 12 by Year 6)</w:t>
            </w:r>
          </w:p>
        </w:tc>
      </w:tr>
      <w:tr>
        <w:tc>
          <w:tcPr/>
          <w:p>
            <w:pPr>
              <w:pStyle w:val="Compact"/>
            </w:pPr>
            <w:r>
              <w:rPr>
                <w:b/>
                <w:bCs/>
              </w:rPr>
              <w:t xml:space="preserve">Continuous</w:t>
            </w:r>
          </w:p>
        </w:tc>
        <w:tc>
          <w:tcPr/>
          <w:p>
            <w:pPr>
              <w:pStyle w:val="Compact"/>
            </w:pPr>
            <w:r>
              <w:t xml:space="preserve">B2B licensing expansion</w:t>
            </w:r>
          </w:p>
        </w:tc>
      </w:tr>
      <w:tr>
        <w:tc>
          <w:tcPr/>
          <w:p>
            <w:pPr>
              <w:pStyle w:val="Compact"/>
            </w:pPr>
            <w:r>
              <w:rPr>
                <w:b/>
                <w:bCs/>
              </w:rPr>
              <w:t xml:space="preserve">From ~M42</w:t>
            </w:r>
          </w:p>
        </w:tc>
        <w:tc>
          <w:tcPr/>
          <w:p>
            <w:pPr>
              <w:pStyle w:val="Compact"/>
            </w:pPr>
            <w:r>
              <w:t xml:space="preserve">Neural Pass subscription launches (after 12 months of Flagship operational data)</w:t>
            </w:r>
          </w:p>
        </w:tc>
      </w:tr>
    </w:tbl>
    <w:p>
      <w:r>
        <w:pict>
          <v:rect style="width:0;height:1.5pt" o:hralign="center" o:hrstd="t" o:hr="t"/>
        </w:pict>
      </w:r>
    </w:p>
    <w:bookmarkEnd w:id="30"/>
    <w:bookmarkEnd w:id="31"/>
    <w:bookmarkStart w:id="32" w:name="capital-deployment-timeline"/>
    <w:p>
      <w:pPr>
        <w:pStyle w:val="Heading2"/>
      </w:pPr>
      <w:r>
        <w:t xml:space="preserve">Capital Deployment Timeline</w:t>
      </w:r>
    </w:p>
    <w:tbl>
      <w:tblPr>
        <w:tblStyle w:val="Table"/>
        <w:tblW w:type="pct" w:w="5000"/>
        <w:tblLayout w:type="fixed"/>
        <w:tblLook w:firstRow="1" w:lastRow="0" w:firstColumn="0" w:lastColumn="0" w:noHBand="0" w:noVBand="0" w:val="0020"/>
      </w:tblPr>
      <w:tblGrid>
        <w:gridCol w:w="1232"/>
        <w:gridCol w:w="1408"/>
        <w:gridCol w:w="2992"/>
        <w:gridCol w:w="2288"/>
      </w:tblGrid>
      <w:tr>
        <w:trPr>
          <w:tblHeader w:val="on"/>
        </w:trPr>
        <w:tc>
          <w:tcPr/>
          <w:p>
            <w:pPr>
              <w:pStyle w:val="Compact"/>
            </w:pPr>
            <w:r>
              <w:t xml:space="preserve">Phase</w:t>
            </w:r>
          </w:p>
        </w:tc>
        <w:tc>
          <w:tcPr/>
          <w:p>
            <w:pPr>
              <w:pStyle w:val="Compact"/>
            </w:pPr>
            <w:r>
              <w:t xml:space="preserve">Period</w:t>
            </w:r>
          </w:p>
        </w:tc>
        <w:tc>
          <w:tcPr/>
          <w:p>
            <w:pPr>
              <w:pStyle w:val="Compact"/>
            </w:pPr>
            <w:r>
              <w:t xml:space="preserve">Cumulative Spend</w:t>
            </w:r>
          </w:p>
        </w:tc>
        <w:tc>
          <w:tcPr/>
          <w:p>
            <w:pPr>
              <w:pStyle w:val="Compact"/>
            </w:pPr>
            <w:r>
              <w:t xml:space="preserve">Primary Uses</w:t>
            </w:r>
          </w:p>
        </w:tc>
      </w:tr>
      <w:tr>
        <w:tc>
          <w:tcPr/>
          <w:p>
            <w:pPr>
              <w:pStyle w:val="Compact"/>
            </w:pPr>
            <w:r>
              <w:t xml:space="preserve">0</w:t>
            </w:r>
          </w:p>
        </w:tc>
        <w:tc>
          <w:tcPr/>
          <w:p>
            <w:pPr>
              <w:pStyle w:val="Compact"/>
            </w:pPr>
            <w:r>
              <w:t xml:space="preserve">M0–M4</w:t>
            </w:r>
          </w:p>
        </w:tc>
        <w:tc>
          <w:tcPr/>
          <w:p>
            <w:pPr>
              <w:pStyle w:val="Compact"/>
            </w:pPr>
            <w:r>
              <w:t xml:space="preserve">$2M</w:t>
            </w:r>
          </w:p>
        </w:tc>
        <w:tc>
          <w:tcPr/>
          <w:p>
            <w:pPr>
              <w:pStyle w:val="Compact"/>
            </w:pPr>
            <w:r>
              <w:t xml:space="preserve">Legal, hiring, scouting, dev kits</w:t>
            </w:r>
          </w:p>
        </w:tc>
      </w:tr>
      <w:tr>
        <w:tc>
          <w:tcPr/>
          <w:p>
            <w:pPr>
              <w:pStyle w:val="Compact"/>
            </w:pPr>
            <w:r>
              <w:t xml:space="preserve">1</w:t>
            </w:r>
          </w:p>
        </w:tc>
        <w:tc>
          <w:tcPr/>
          <w:p>
            <w:pPr>
              <w:pStyle w:val="Compact"/>
            </w:pPr>
            <w:r>
              <w:t xml:space="preserve">M5–M11</w:t>
            </w:r>
          </w:p>
        </w:tc>
        <w:tc>
          <w:tcPr/>
          <w:p>
            <w:pPr>
              <w:pStyle w:val="Compact"/>
            </w:pPr>
            <w:r>
              <w:t xml:space="preserve">$8M</w:t>
            </w:r>
          </w:p>
        </w:tc>
        <w:tc>
          <w:tcPr/>
          <w:p>
            <w:pPr>
              <w:pStyle w:val="Compact"/>
            </w:pPr>
            <w:r>
              <w:t xml:space="preserve">Engineering team, capture studio, prototyping</w:t>
            </w:r>
          </w:p>
        </w:tc>
      </w:tr>
      <w:tr>
        <w:tc>
          <w:tcPr/>
          <w:p>
            <w:pPr>
              <w:pStyle w:val="Compact"/>
            </w:pPr>
            <w:r>
              <w:t xml:space="preserve">2</w:t>
            </w:r>
          </w:p>
        </w:tc>
        <w:tc>
          <w:tcPr/>
          <w:p>
            <w:pPr>
              <w:pStyle w:val="Compact"/>
            </w:pPr>
            <w:r>
              <w:t xml:space="preserve">M12–M20</w:t>
            </w:r>
          </w:p>
        </w:tc>
        <w:tc>
          <w:tcPr/>
          <w:p>
            <w:pPr>
              <w:pStyle w:val="Compact"/>
            </w:pPr>
            <w:r>
              <w:t xml:space="preserve">$25M</w:t>
            </w:r>
          </w:p>
        </w:tc>
        <w:tc>
          <w:tcPr/>
          <w:p>
            <w:pPr>
              <w:pStyle w:val="Compact"/>
            </w:pPr>
            <w:r>
              <w:t xml:space="preserve">Full capture, 4DGS processing, construction start, WFS order</w:t>
            </w:r>
          </w:p>
        </w:tc>
      </w:tr>
      <w:tr>
        <w:tc>
          <w:tcPr/>
          <w:p>
            <w:pPr>
              <w:pStyle w:val="Compact"/>
            </w:pPr>
            <w:r>
              <w:t xml:space="preserve">3</w:t>
            </w:r>
          </w:p>
        </w:tc>
        <w:tc>
          <w:tcPr/>
          <w:p>
            <w:pPr>
              <w:pStyle w:val="Compact"/>
            </w:pPr>
            <w:r>
              <w:t xml:space="preserve">M21–M26</w:t>
            </w:r>
          </w:p>
        </w:tc>
        <w:tc>
          <w:tcPr/>
          <w:p>
            <w:pPr>
              <w:pStyle w:val="Compact"/>
            </w:pPr>
            <w:r>
              <w:t xml:space="preserve">$36M</w:t>
            </w:r>
          </w:p>
        </w:tc>
        <w:tc>
          <w:tcPr/>
          <w:p>
            <w:pPr>
              <w:pStyle w:val="Compact"/>
            </w:pPr>
            <w:r>
              <w:t xml:space="preserve">Hardware installation, integration, system testing</w:t>
            </w:r>
          </w:p>
        </w:tc>
      </w:tr>
      <w:tr>
        <w:tc>
          <w:tcPr/>
          <w:p>
            <w:pPr>
              <w:pStyle w:val="Compact"/>
            </w:pPr>
            <w:r>
              <w:t xml:space="preserve">4</w:t>
            </w:r>
          </w:p>
        </w:tc>
        <w:tc>
          <w:tcPr/>
          <w:p>
            <w:pPr>
              <w:pStyle w:val="Compact"/>
            </w:pPr>
            <w:r>
              <w:t xml:space="preserve">M27–M29</w:t>
            </w:r>
          </w:p>
        </w:tc>
        <w:tc>
          <w:tcPr/>
          <w:p>
            <w:pPr>
              <w:pStyle w:val="Compact"/>
            </w:pPr>
            <w:r>
              <w:t xml:space="preserve">$39M</w:t>
            </w:r>
          </w:p>
        </w:tc>
        <w:tc>
          <w:tcPr/>
          <w:p>
            <w:pPr>
              <w:pStyle w:val="Compact"/>
            </w:pPr>
            <w:r>
              <w:t xml:space="preserve">Operations hiring, soft launch, marketing</w:t>
            </w:r>
          </w:p>
        </w:tc>
      </w:tr>
      <w:tr>
        <w:tc>
          <w:tcPr/>
          <w:p>
            <w:pPr>
              <w:pStyle w:val="Compact"/>
            </w:pPr>
            <w:r>
              <w:t xml:space="preserve">5</w:t>
            </w:r>
          </w:p>
        </w:tc>
        <w:tc>
          <w:tcPr/>
          <w:p>
            <w:pPr>
              <w:pStyle w:val="Compact"/>
            </w:pPr>
            <w:r>
              <w:t xml:space="preserve">M30+</w:t>
            </w:r>
          </w:p>
        </w:tc>
        <w:tc>
          <w:tcPr/>
          <w:p>
            <w:pPr>
              <w:pStyle w:val="Compact"/>
            </w:pPr>
            <w:r>
              <w:t xml:space="preserve">$40M</w:t>
            </w:r>
          </w:p>
        </w:tc>
        <w:tc>
          <w:tcPr/>
          <w:p>
            <w:pPr>
              <w:pStyle w:val="Compact"/>
            </w:pPr>
            <w:r>
              <w:t xml:space="preserve">Launch operations, working capital</w:t>
            </w:r>
          </w:p>
        </w:tc>
      </w:tr>
    </w:tbl>
    <w:p>
      <w:r>
        <w:pict>
          <v:rect style="width:0;height:1.5pt" o:hralign="center" o:hrstd="t" o:hr="t"/>
        </w:pict>
      </w:r>
    </w:p>
    <w:bookmarkEnd w:id="32"/>
    <w:bookmarkStart w:id="33" w:name="team-growth"/>
    <w:p>
      <w:pPr>
        <w:pStyle w:val="Heading2"/>
      </w:pPr>
      <w:r>
        <w:t xml:space="preserve">Team Growth</w:t>
      </w:r>
    </w:p>
    <w:tbl>
      <w:tblPr>
        <w:tblStyle w:val="Table"/>
        <w:tblW w:type="pct" w:w="5000"/>
        <w:tblLayout w:type="fixed"/>
        <w:tblLook w:firstRow="1" w:lastRow="0" w:firstColumn="0" w:lastColumn="0" w:noHBand="0" w:noVBand="0" w:val="0020"/>
      </w:tblPr>
      <w:tblGrid>
        <w:gridCol w:w="729"/>
        <w:gridCol w:w="833"/>
        <w:gridCol w:w="1250"/>
        <w:gridCol w:w="1980"/>
        <w:gridCol w:w="1250"/>
        <w:gridCol w:w="1146"/>
        <w:gridCol w:w="729"/>
      </w:tblGrid>
      <w:tr>
        <w:trPr>
          <w:tblHeader w:val="on"/>
        </w:trPr>
        <w:tc>
          <w:tcPr/>
          <w:p>
            <w:pPr>
              <w:pStyle w:val="Compact"/>
            </w:pPr>
            <w:r>
              <w:t xml:space="preserve">Phase</w:t>
            </w:r>
          </w:p>
        </w:tc>
        <w:tc>
          <w:tcPr/>
          <w:p>
            <w:pPr>
              <w:pStyle w:val="Compact"/>
            </w:pPr>
            <w:r>
              <w:t xml:space="preserve">Period</w:t>
            </w:r>
          </w:p>
        </w:tc>
        <w:tc>
          <w:tcPr/>
          <w:p>
            <w:pPr>
              <w:pStyle w:val="Compact"/>
            </w:pPr>
            <w:r>
              <w:t xml:space="preserve">Engineering</w:t>
            </w:r>
          </w:p>
        </w:tc>
        <w:tc>
          <w:tcPr/>
          <w:p>
            <w:pPr>
              <w:pStyle w:val="Compact"/>
            </w:pPr>
            <w:r>
              <w:t xml:space="preserve">Content/Production</w:t>
            </w:r>
          </w:p>
        </w:tc>
        <w:tc>
          <w:tcPr/>
          <w:p>
            <w:pPr>
              <w:pStyle w:val="Compact"/>
            </w:pPr>
            <w:r>
              <w:t xml:space="preserve">Operations</w:t>
            </w:r>
          </w:p>
        </w:tc>
        <w:tc>
          <w:tcPr/>
          <w:p>
            <w:pPr>
              <w:pStyle w:val="Compact"/>
            </w:pPr>
            <w:r>
              <w:t xml:space="preserve">Corporate</w:t>
            </w:r>
          </w:p>
        </w:tc>
        <w:tc>
          <w:tcPr/>
          <w:p>
            <w:pPr>
              <w:pStyle w:val="Compact"/>
            </w:pPr>
            <w:r>
              <w:t xml:space="preserve">Total</w:t>
            </w:r>
          </w:p>
        </w:tc>
      </w:tr>
      <w:tr>
        <w:tc>
          <w:tcPr/>
          <w:p>
            <w:pPr>
              <w:pStyle w:val="Compact"/>
            </w:pPr>
            <w:r>
              <w:t xml:space="preserve">0</w:t>
            </w:r>
          </w:p>
        </w:tc>
        <w:tc>
          <w:tcPr/>
          <w:p>
            <w:pPr>
              <w:pStyle w:val="Compact"/>
            </w:pPr>
            <w:r>
              <w:t xml:space="preserve">M0–M4</w:t>
            </w:r>
          </w:p>
        </w:tc>
        <w:tc>
          <w:tcPr/>
          <w:p>
            <w:pPr>
              <w:pStyle w:val="Compact"/>
            </w:pPr>
            <w:r>
              <w:t xml:space="preserve">3</w:t>
            </w:r>
          </w:p>
        </w:tc>
        <w:tc>
          <w:tcPr/>
          <w:p>
            <w:pPr>
              <w:pStyle w:val="Compact"/>
            </w:pPr>
            <w:r>
              <w:t xml:space="preserve">0</w:t>
            </w:r>
          </w:p>
        </w:tc>
        <w:tc>
          <w:tcPr/>
          <w:p>
            <w:pPr>
              <w:pStyle w:val="Compact"/>
            </w:pPr>
            <w:r>
              <w:t xml:space="preserve">0</w:t>
            </w:r>
          </w:p>
        </w:tc>
        <w:tc>
          <w:tcPr/>
          <w:p>
            <w:pPr>
              <w:pStyle w:val="Compact"/>
            </w:pPr>
            <w:r>
              <w:t xml:space="preserve">5</w:t>
            </w:r>
          </w:p>
        </w:tc>
        <w:tc>
          <w:tcPr/>
          <w:p>
            <w:pPr>
              <w:pStyle w:val="Compact"/>
            </w:pPr>
            <w:r>
              <w:t xml:space="preserve">8</w:t>
            </w:r>
          </w:p>
        </w:tc>
      </w:tr>
      <w:tr>
        <w:tc>
          <w:tcPr/>
          <w:p>
            <w:pPr>
              <w:pStyle w:val="Compact"/>
            </w:pPr>
            <w:r>
              <w:t xml:space="preserve">1</w:t>
            </w:r>
          </w:p>
        </w:tc>
        <w:tc>
          <w:tcPr/>
          <w:p>
            <w:pPr>
              <w:pStyle w:val="Compact"/>
            </w:pPr>
            <w:r>
              <w:t xml:space="preserve">M5–M11</w:t>
            </w:r>
          </w:p>
        </w:tc>
        <w:tc>
          <w:tcPr/>
          <w:p>
            <w:pPr>
              <w:pStyle w:val="Compact"/>
            </w:pPr>
            <w:r>
              <w:t xml:space="preserve">15</w:t>
            </w:r>
          </w:p>
        </w:tc>
        <w:tc>
          <w:tcPr/>
          <w:p>
            <w:pPr>
              <w:pStyle w:val="Compact"/>
            </w:pPr>
            <w:r>
              <w:t xml:space="preserve">3</w:t>
            </w:r>
          </w:p>
        </w:tc>
        <w:tc>
          <w:tcPr/>
          <w:p>
            <w:pPr>
              <w:pStyle w:val="Compact"/>
            </w:pPr>
            <w:r>
              <w:t xml:space="preserve">0</w:t>
            </w:r>
          </w:p>
        </w:tc>
        <w:tc>
          <w:tcPr/>
          <w:p>
            <w:pPr>
              <w:pStyle w:val="Compact"/>
            </w:pPr>
            <w:r>
              <w:t xml:space="preserve">3</w:t>
            </w:r>
          </w:p>
        </w:tc>
        <w:tc>
          <w:tcPr/>
          <w:p>
            <w:pPr>
              <w:pStyle w:val="Compact"/>
            </w:pPr>
            <w:r>
              <w:t xml:space="preserve">21</w:t>
            </w:r>
          </w:p>
        </w:tc>
      </w:tr>
      <w:tr>
        <w:tc>
          <w:tcPr/>
          <w:p>
            <w:pPr>
              <w:pStyle w:val="Compact"/>
            </w:pPr>
            <w:r>
              <w:t xml:space="preserve">2</w:t>
            </w:r>
          </w:p>
        </w:tc>
        <w:tc>
          <w:tcPr/>
          <w:p>
            <w:pPr>
              <w:pStyle w:val="Compact"/>
            </w:pPr>
            <w:r>
              <w:t xml:space="preserve">M12–M20</w:t>
            </w:r>
          </w:p>
        </w:tc>
        <w:tc>
          <w:tcPr/>
          <w:p>
            <w:pPr>
              <w:pStyle w:val="Compact"/>
            </w:pPr>
            <w:r>
              <w:t xml:space="preserve">18</w:t>
            </w:r>
          </w:p>
        </w:tc>
        <w:tc>
          <w:tcPr/>
          <w:p>
            <w:pPr>
              <w:pStyle w:val="Compact"/>
            </w:pPr>
            <w:r>
              <w:t xml:space="preserve">10</w:t>
            </w:r>
          </w:p>
        </w:tc>
        <w:tc>
          <w:tcPr/>
          <w:p>
            <w:pPr>
              <w:pStyle w:val="Compact"/>
            </w:pPr>
            <w:r>
              <w:t xml:space="preserve">0</w:t>
            </w:r>
          </w:p>
        </w:tc>
        <w:tc>
          <w:tcPr/>
          <w:p>
            <w:pPr>
              <w:pStyle w:val="Compact"/>
            </w:pPr>
            <w:r>
              <w:t xml:space="preserve">4</w:t>
            </w:r>
          </w:p>
        </w:tc>
        <w:tc>
          <w:tcPr/>
          <w:p>
            <w:pPr>
              <w:pStyle w:val="Compact"/>
            </w:pPr>
            <w:r>
              <w:t xml:space="preserve">32</w:t>
            </w:r>
          </w:p>
        </w:tc>
      </w:tr>
      <w:tr>
        <w:tc>
          <w:tcPr/>
          <w:p>
            <w:pPr>
              <w:pStyle w:val="Compact"/>
            </w:pPr>
            <w:r>
              <w:t xml:space="preserve">3</w:t>
            </w:r>
          </w:p>
        </w:tc>
        <w:tc>
          <w:tcPr/>
          <w:p>
            <w:pPr>
              <w:pStyle w:val="Compact"/>
            </w:pPr>
            <w:r>
              <w:t xml:space="preserve">M21–M26</w:t>
            </w:r>
          </w:p>
        </w:tc>
        <w:tc>
          <w:tcPr/>
          <w:p>
            <w:pPr>
              <w:pStyle w:val="Compact"/>
            </w:pPr>
            <w:r>
              <w:t xml:space="preserve">18</w:t>
            </w:r>
          </w:p>
        </w:tc>
        <w:tc>
          <w:tcPr/>
          <w:p>
            <w:pPr>
              <w:pStyle w:val="Compact"/>
            </w:pPr>
            <w:r>
              <w:t xml:space="preserve">8</w:t>
            </w:r>
          </w:p>
        </w:tc>
        <w:tc>
          <w:tcPr/>
          <w:p>
            <w:pPr>
              <w:pStyle w:val="Compact"/>
            </w:pPr>
            <w:r>
              <w:t xml:space="preserve">5</w:t>
            </w:r>
          </w:p>
        </w:tc>
        <w:tc>
          <w:tcPr/>
          <w:p>
            <w:pPr>
              <w:pStyle w:val="Compact"/>
            </w:pPr>
            <w:r>
              <w:t xml:space="preserve">4</w:t>
            </w:r>
          </w:p>
        </w:tc>
        <w:tc>
          <w:tcPr/>
          <w:p>
            <w:pPr>
              <w:pStyle w:val="Compact"/>
            </w:pPr>
            <w:r>
              <w:t xml:space="preserve">35</w:t>
            </w:r>
          </w:p>
        </w:tc>
      </w:tr>
      <w:tr>
        <w:tc>
          <w:tcPr/>
          <w:p>
            <w:pPr>
              <w:pStyle w:val="Compact"/>
            </w:pPr>
            <w:r>
              <w:t xml:space="preserve">4</w:t>
            </w:r>
          </w:p>
        </w:tc>
        <w:tc>
          <w:tcPr/>
          <w:p>
            <w:pPr>
              <w:pStyle w:val="Compact"/>
            </w:pPr>
            <w:r>
              <w:t xml:space="preserve">M27–M29</w:t>
            </w:r>
          </w:p>
        </w:tc>
        <w:tc>
          <w:tcPr/>
          <w:p>
            <w:pPr>
              <w:pStyle w:val="Compact"/>
            </w:pPr>
            <w:r>
              <w:t xml:space="preserve">15</w:t>
            </w:r>
          </w:p>
        </w:tc>
        <w:tc>
          <w:tcPr/>
          <w:p>
            <w:pPr>
              <w:pStyle w:val="Compact"/>
            </w:pPr>
            <w:r>
              <w:t xml:space="preserve">5</w:t>
            </w:r>
          </w:p>
        </w:tc>
        <w:tc>
          <w:tcPr/>
          <w:p>
            <w:pPr>
              <w:pStyle w:val="Compact"/>
            </w:pPr>
            <w:r>
              <w:t xml:space="preserve">15</w:t>
            </w:r>
          </w:p>
        </w:tc>
        <w:tc>
          <w:tcPr/>
          <w:p>
            <w:pPr>
              <w:pStyle w:val="Compact"/>
            </w:pPr>
            <w:r>
              <w:t xml:space="preserve">5</w:t>
            </w:r>
          </w:p>
        </w:tc>
        <w:tc>
          <w:tcPr/>
          <w:p>
            <w:pPr>
              <w:pStyle w:val="Compact"/>
            </w:pPr>
            <w:r>
              <w:t xml:space="preserve">40</w:t>
            </w:r>
          </w:p>
        </w:tc>
      </w:tr>
      <w:tr>
        <w:tc>
          <w:tcPr/>
          <w:p>
            <w:pPr>
              <w:pStyle w:val="Compact"/>
            </w:pPr>
            <w:r>
              <w:t xml:space="preserve">5</w:t>
            </w:r>
          </w:p>
        </w:tc>
        <w:tc>
          <w:tcPr/>
          <w:p>
            <w:pPr>
              <w:pStyle w:val="Compact"/>
            </w:pPr>
            <w:r>
              <w:t xml:space="preserve">M30+</w:t>
            </w:r>
          </w:p>
        </w:tc>
        <w:tc>
          <w:tcPr/>
          <w:p>
            <w:pPr>
              <w:pStyle w:val="Compact"/>
            </w:pPr>
            <w:r>
              <w:t xml:space="preserve">15</w:t>
            </w:r>
          </w:p>
        </w:tc>
        <w:tc>
          <w:tcPr/>
          <w:p>
            <w:pPr>
              <w:pStyle w:val="Compact"/>
            </w:pPr>
            <w:r>
              <w:t xml:space="preserve">5</w:t>
            </w:r>
          </w:p>
        </w:tc>
        <w:tc>
          <w:tcPr/>
          <w:p>
            <w:pPr>
              <w:pStyle w:val="Compact"/>
            </w:pPr>
            <w:r>
              <w:t xml:space="preserve">20</w:t>
            </w:r>
          </w:p>
        </w:tc>
        <w:tc>
          <w:tcPr/>
          <w:p>
            <w:pPr>
              <w:pStyle w:val="Compact"/>
            </w:pPr>
            <w:r>
              <w:t xml:space="preserve">5</w:t>
            </w:r>
          </w:p>
        </w:tc>
        <w:tc>
          <w:tcPr/>
          <w:p>
            <w:pPr>
              <w:pStyle w:val="Compact"/>
            </w:pPr>
            <w:r>
              <w:t xml:space="preserve">45</w:t>
            </w:r>
          </w:p>
        </w:tc>
      </w:tr>
    </w:tbl>
    <w:p>
      <w:r>
        <w:pict>
          <v:rect style="width:0;height:1.5pt" o:hralign="center" o:hrstd="t" o:hr="t"/>
        </w:pict>
      </w:r>
    </w:p>
    <w:bookmarkEnd w:id="33"/>
    <w:bookmarkStart w:id="34" w:name="key-risks-mitigations"/>
    <w:p>
      <w:pPr>
        <w:pStyle w:val="Heading2"/>
      </w:pPr>
      <w:r>
        <w:t xml:space="preserve">Key Risks &amp; Mitigations</w:t>
      </w:r>
    </w:p>
    <w:tbl>
      <w:tblPr>
        <w:tblStyle w:val="Table"/>
        <w:tblW w:type="pct" w:w="5000"/>
        <w:tblLayout w:type="fixed"/>
        <w:tblLook w:firstRow="1" w:lastRow="0" w:firstColumn="0" w:lastColumn="0" w:noHBand="0" w:noVBand="0" w:val="0020"/>
      </w:tblPr>
      <w:tblGrid>
        <w:gridCol w:w="1284"/>
        <w:gridCol w:w="2568"/>
        <w:gridCol w:w="1712"/>
        <w:gridCol w:w="2354"/>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rPr>
                <w:b/>
                <w:bCs/>
              </w:rPr>
              <w:t xml:space="preserve">Wi-Fi 7 latency exceeds 25ms in venue</w:t>
            </w:r>
          </w:p>
        </w:tc>
        <w:tc>
          <w:tcPr/>
          <w:p>
            <w:pPr>
              <w:pStyle w:val="Compact"/>
            </w:pPr>
            <w:r>
              <w:t xml:space="preserve">Medium</w:t>
            </w:r>
          </w:p>
        </w:tc>
        <w:tc>
          <w:tcPr/>
          <w:p>
            <w:pPr>
              <w:pStyle w:val="Compact"/>
            </w:pPr>
            <w:r>
              <w:t xml:space="preserve">High</w:t>
            </w:r>
          </w:p>
        </w:tc>
        <w:tc>
          <w:tcPr/>
          <w:p>
            <w:pPr>
              <w:pStyle w:val="Compact"/>
            </w:pPr>
            <w:r>
              <w:t xml:space="preserve">Fallback to USB-C tethered mode (cables on ceiling-mounted retractors). Reduces mobility but preserves experience.</w:t>
            </w:r>
          </w:p>
        </w:tc>
      </w:tr>
      <w:tr>
        <w:tc>
          <w:tcPr/>
          <w:p>
            <w:pPr>
              <w:pStyle w:val="Compact"/>
            </w:pPr>
            <w:r>
              <w:rPr>
                <w:b/>
                <w:bCs/>
              </w:rPr>
              <w:t xml:space="preserve">Artist schedule conflict delays capture</w:t>
            </w:r>
          </w:p>
        </w:tc>
        <w:tc>
          <w:tcPr/>
          <w:p>
            <w:pPr>
              <w:pStyle w:val="Compact"/>
            </w:pPr>
            <w:r>
              <w:t xml:space="preserve">Medium</w:t>
            </w:r>
          </w:p>
        </w:tc>
        <w:tc>
          <w:tcPr/>
          <w:p>
            <w:pPr>
              <w:pStyle w:val="Compact"/>
            </w:pPr>
            <w:r>
              <w:t xml:space="preserve">High</w:t>
            </w:r>
          </w:p>
        </w:tc>
        <w:tc>
          <w:tcPr/>
          <w:p>
            <w:pPr>
              <w:pStyle w:val="Compact"/>
            </w:pPr>
            <w:r>
              <w:t xml:space="preserve">Book capture studio for 6-month window, not just the 3–4 months needed. Buffer absorbs artist rescheduling.</w:t>
            </w:r>
          </w:p>
        </w:tc>
      </w:tr>
      <w:tr>
        <w:tc>
          <w:tcPr/>
          <w:p>
            <w:pPr>
              <w:pStyle w:val="Compact"/>
            </w:pPr>
            <w:r>
              <w:rPr>
                <w:b/>
                <w:bCs/>
              </w:rPr>
              <w:t xml:space="preserve">WFS array delivery delay</w:t>
            </w:r>
          </w:p>
        </w:tc>
        <w:tc>
          <w:tcPr/>
          <w:p>
            <w:pPr>
              <w:pStyle w:val="Compact"/>
            </w:pPr>
            <w:r>
              <w:t xml:space="preserve">Low</w:t>
            </w:r>
          </w:p>
        </w:tc>
        <w:tc>
          <w:tcPr/>
          <w:p>
            <w:pPr>
              <w:pStyle w:val="Compact"/>
            </w:pPr>
            <w:r>
              <w:t xml:space="preserve">Critical</w:t>
            </w:r>
          </w:p>
        </w:tc>
        <w:tc>
          <w:tcPr/>
          <w:p>
            <w:pPr>
              <w:pStyle w:val="Compact"/>
            </w:pPr>
            <w:r>
              <w:t xml:space="preserve">Order 6 months ahead of installation date. Holoplot lead times are 4–6 months for custom installations.</w:t>
            </w:r>
          </w:p>
        </w:tc>
      </w:tr>
      <w:tr>
        <w:tc>
          <w:tcPr/>
          <w:p>
            <w:pPr>
              <w:pStyle w:val="Compact"/>
            </w:pPr>
            <w:r>
              <w:rPr>
                <w:b/>
                <w:bCs/>
              </w:rPr>
              <w:t xml:space="preserve">First show exceeds $10M budget</w:t>
            </w:r>
          </w:p>
        </w:tc>
        <w:tc>
          <w:tcPr/>
          <w:p>
            <w:pPr>
              <w:pStyle w:val="Compact"/>
            </w:pPr>
            <w:r>
              <w:t xml:space="preserve">High</w:t>
            </w:r>
          </w:p>
        </w:tc>
        <w:tc>
          <w:tcPr/>
          <w:p>
            <w:pPr>
              <w:pStyle w:val="Compact"/>
            </w:pPr>
            <w:r>
              <w:t xml:space="preserve">Medium</w:t>
            </w:r>
          </w:p>
        </w:tc>
        <w:tc>
          <w:tcPr/>
          <w:p>
            <w:pPr>
              <w:pStyle w:val="Compact"/>
            </w:pPr>
            <w:r>
              <w:t xml:space="preserve">10% contingency built in. If exceeded, reduce interactive complexity (still delivers the core 4DGS + WFS experience).</w:t>
            </w:r>
          </w:p>
        </w:tc>
      </w:tr>
      <w:tr>
        <w:tc>
          <w:tcPr/>
          <w:p>
            <w:pPr>
              <w:pStyle w:val="Compact"/>
            </w:pPr>
            <w:r>
              <w:rPr>
                <w:b/>
                <w:bCs/>
              </w:rPr>
              <w:t xml:space="preserve">Venue construction delay</w:t>
            </w:r>
          </w:p>
        </w:tc>
        <w:tc>
          <w:tcPr/>
          <w:p>
            <w:pPr>
              <w:pStyle w:val="Compact"/>
            </w:pPr>
            <w:r>
              <w:t xml:space="preserve">Medium</w:t>
            </w:r>
          </w:p>
        </w:tc>
        <w:tc>
          <w:tcPr/>
          <w:p>
            <w:pPr>
              <w:pStyle w:val="Compact"/>
            </w:pPr>
            <w:r>
              <w:t xml:space="preserve">High</w:t>
            </w:r>
          </w:p>
        </w:tc>
        <w:tc>
          <w:tcPr/>
          <w:p>
            <w:pPr>
              <w:pStyle w:val="Compact"/>
            </w:pPr>
            <w:r>
              <w:t xml:space="preserve">Sign lease with aggressive early-access TI schedule. Engage construction manager in Phase 1, not Phase 2.</w:t>
            </w:r>
          </w:p>
        </w:tc>
      </w:tr>
      <w:tr>
        <w:tc>
          <w:tcPr/>
          <w:p>
            <w:pPr>
              <w:pStyle w:val="Compact"/>
            </w:pPr>
            <w:r>
              <w:rPr>
                <w:b/>
                <w:bCs/>
              </w:rPr>
              <w:t xml:space="preserve">Steam Frame supply constraints</w:t>
            </w:r>
          </w:p>
        </w:tc>
        <w:tc>
          <w:tcPr/>
          <w:p>
            <w:pPr>
              <w:pStyle w:val="Compact"/>
            </w:pPr>
            <w:r>
              <w:t xml:space="preserve">Low</w:t>
            </w:r>
          </w:p>
        </w:tc>
        <w:tc>
          <w:tcPr/>
          <w:p>
            <w:pPr>
              <w:pStyle w:val="Compact"/>
            </w:pPr>
            <w:r>
              <w:t xml:space="preserve">Medium</w:t>
            </w:r>
          </w:p>
        </w:tc>
        <w:tc>
          <w:tcPr/>
          <w:p>
            <w:pPr>
              <w:pStyle w:val="Compact"/>
            </w:pPr>
            <w:r>
              <w:t xml:space="preserve">Founding partner relationship provides priority allocation. Order enterprise quantities 6+ months ahead.</w:t>
            </w:r>
          </w:p>
        </w:tc>
      </w:tr>
      <w:tr>
        <w:tc>
          <w:tcPr/>
          <w:p>
            <w:pPr>
              <w:pStyle w:val="Compact"/>
            </w:pPr>
            <w:r>
              <w:rPr>
                <w:b/>
                <w:bCs/>
              </w:rPr>
              <w:t xml:space="preserve">4DGS quality below expectations</w:t>
            </w:r>
          </w:p>
        </w:tc>
        <w:tc>
          <w:tcPr/>
          <w:p>
            <w:pPr>
              <w:pStyle w:val="Compact"/>
            </w:pPr>
            <w:r>
              <w:t xml:space="preserve">Low</w:t>
            </w:r>
          </w:p>
        </w:tc>
        <w:tc>
          <w:tcPr/>
          <w:p>
            <w:pPr>
              <w:pStyle w:val="Compact"/>
            </w:pPr>
            <w:r>
              <w:t xml:space="preserve">High</w:t>
            </w:r>
          </w:p>
        </w:tc>
        <w:tc>
          <w:tcPr/>
          <w:p>
            <w:pPr>
              <w:pStyle w:val="Compact"/>
            </w:pPr>
            <w:r>
              <w:t xml:space="preserve">Gate 1 (M11) is specifically designed to catch this. $8M sunk cost is the price of knowing.</w:t>
            </w:r>
          </w:p>
        </w:tc>
      </w:tr>
    </w:tbl>
    <w:p>
      <w:r>
        <w:pict>
          <v:rect style="width:0;height:1.5pt" o:hralign="center" o:hrstd="t" o:hr="t"/>
        </w:pict>
      </w:r>
    </w:p>
    <w:bookmarkEnd w:id="34"/>
    <w:bookmarkStart w:id="35" w:name="first-actions-after-green-light"/>
    <w:p>
      <w:pPr>
        <w:pStyle w:val="Heading2"/>
      </w:pPr>
      <w:r>
        <w:t xml:space="preserve">First Actions After Green Light</w:t>
      </w:r>
    </w:p>
    <w:p>
      <w:pPr>
        <w:pStyle w:val="FirstParagraph"/>
      </w:pPr>
      <w:r>
        <w:t xml:space="preserve">The immediate actions at M0:</w:t>
      </w:r>
    </w:p>
    <w:p>
      <w:pPr>
        <w:pStyle w:val="Compact"/>
        <w:numPr>
          <w:ilvl w:val="0"/>
          <w:numId w:val="1001"/>
        </w:numPr>
      </w:pPr>
      <w:r>
        <w:rPr>
          <w:b/>
          <w:bCs/>
        </w:rPr>
        <w:t xml:space="preserve">Engage legal counsel</w:t>
      </w:r>
      <w:r>
        <w:t xml:space="preserve"> </w:t>
      </w:r>
      <w:r>
        <w:t xml:space="preserve">— begin entity formation (Holdings, Publisher, Retail)</w:t>
      </w:r>
    </w:p>
    <w:p>
      <w:pPr>
        <w:pStyle w:val="Compact"/>
        <w:numPr>
          <w:ilvl w:val="0"/>
          <w:numId w:val="1001"/>
        </w:numPr>
      </w:pPr>
      <w:r>
        <w:rPr>
          <w:b/>
          <w:bCs/>
        </w:rPr>
        <w:t xml:space="preserve">Draft artist LOI</w:t>
      </w:r>
      <w:r>
        <w:t xml:space="preserve"> </w:t>
      </w:r>
      <w:r>
        <w:t xml:space="preserve">— define terms for volumetric performance rights</w:t>
      </w:r>
    </w:p>
    <w:p>
      <w:pPr>
        <w:pStyle w:val="Compact"/>
        <w:numPr>
          <w:ilvl w:val="0"/>
          <w:numId w:val="1001"/>
        </w:numPr>
      </w:pPr>
      <w:r>
        <w:rPr>
          <w:b/>
          <w:bCs/>
        </w:rPr>
        <w:t xml:space="preserve">Request Steam Frame dev kits</w:t>
      </w:r>
      <w:r>
        <w:t xml:space="preserve"> </w:t>
      </w:r>
      <w:r>
        <w:t xml:space="preserve">— through the founding partner’s channel</w:t>
      </w:r>
    </w:p>
    <w:p>
      <w:pPr>
        <w:pStyle w:val="Compact"/>
        <w:numPr>
          <w:ilvl w:val="0"/>
          <w:numId w:val="1001"/>
        </w:numPr>
      </w:pPr>
      <w:r>
        <w:rPr>
          <w:b/>
          <w:bCs/>
        </w:rPr>
        <w:t xml:space="preserve">Post Technical Director role</w:t>
      </w:r>
      <w:r>
        <w:t xml:space="preserve"> </w:t>
      </w:r>
      <w:r>
        <w:t xml:space="preserve">— target hires from the founding partner’s platform team, NVIDIA, or major VFX studios (ILM, Weta, Framestore)</w:t>
      </w:r>
    </w:p>
    <w:p>
      <w:pPr>
        <w:pStyle w:val="Compact"/>
        <w:numPr>
          <w:ilvl w:val="0"/>
          <w:numId w:val="1001"/>
        </w:numPr>
      </w:pPr>
      <w:r>
        <w:rPr>
          <w:b/>
          <w:bCs/>
        </w:rPr>
        <w:t xml:space="preserve">Engage commercial real estate broker</w:t>
      </w:r>
      <w:r>
        <w:t xml:space="preserve"> </w:t>
      </w:r>
      <w:r>
        <w:t xml:space="preserve">— begin site search in target cities</w:t>
      </w:r>
    </w:p>
    <w:p>
      <w:pPr>
        <w:pStyle w:val="FirstParagraph"/>
      </w:pPr>
      <w:r>
        <w:t xml:space="preserve">Total cost of these actions: &lt;$200K. No Series A required — funded from pre-seed or the founding partner’s commitment.</w:t>
      </w:r>
    </w:p>
    <w:p>
      <w:r>
        <w:pict>
          <v:rect style="width:0;height:1.5pt" o:hralign="center" o:hrstd="t" o:hr="t"/>
        </w:pict>
      </w:r>
    </w:p>
    <w:p>
      <w:pPr>
        <w:pStyle w:val="FirstParagraph"/>
      </w:pPr>
      <w:r>
        <w:rPr>
          <w:i/>
          <w:iCs/>
        </w:rPr>
        <w:t xml:space="preserve">This document is part of the vZero Strategic Document Suite. See also: Strategic Vision &amp; Market Opportunity, Technical Architecture, and Business Model &amp; Financial Architecture.</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2026-02-16T11:52:43Z</dcterms:created>
  <dcterms:modified xsi:type="dcterms:W3CDTF">2026-02-16T11:52:43Z</dcterms:modified>
</cp:coreProperties>
</file>

<file path=docProps/custom.xml><?xml version="1.0" encoding="utf-8"?>
<Properties xmlns="http://schemas.openxmlformats.org/officeDocument/2006/custom-properties" xmlns:vt="http://schemas.openxmlformats.org/officeDocument/2006/docPropsVTypes"/>
</file>