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vzero-visual-assets-brief"/>
    <w:p>
      <w:pPr>
        <w:pStyle w:val="Heading1"/>
      </w:pPr>
      <w:r>
        <w:t xml:space="preserve">vZero: Visual Assets Brief</w:t>
      </w:r>
    </w:p>
    <w:p>
      <w:pPr>
        <w:pStyle w:val="FirstParagraph"/>
      </w:pPr>
      <w:r>
        <w:rPr>
          <w:b/>
          <w:bCs/>
        </w:rPr>
        <w:t xml:space="preserve">Classification:</w:t>
      </w:r>
      <w:r>
        <w:t xml:space="preserve"> </w:t>
      </w:r>
      <w:r>
        <w:t xml:space="preserve">Creative Brief — Confidential</w:t>
      </w:r>
      <w:r>
        <w:t xml:space="preserve"> </w:t>
      </w:r>
      <w:r>
        <w:rPr>
          <w:b/>
          <w:bCs/>
        </w:rPr>
        <w:t xml:space="preserve">Date:</w:t>
      </w:r>
      <w:r>
        <w:t xml:space="preserve"> </w:t>
      </w:r>
      <w:r>
        <w:t xml:space="preserve">February 2026</w:t>
      </w:r>
      <w:r>
        <w:t xml:space="preserve"> </w:t>
      </w:r>
      <w:r>
        <w:rPr>
          <w:b/>
          <w:bCs/>
        </w:rPr>
        <w:t xml:space="preserve">Version:</w:t>
      </w:r>
      <w:r>
        <w:t xml:space="preserve"> </w:t>
      </w:r>
      <w:r>
        <w:t xml:space="preserve">1.0</w:t>
      </w:r>
    </w:p>
    <w:p>
      <w:r>
        <w:pict>
          <v:rect style="width:0;height:1.5pt" o:hralign="center" o:hrstd="t" o:hr="t"/>
        </w:pict>
      </w:r>
    </w:p>
    <w:bookmarkStart w:id="9" w:name="overview"/>
    <w:p>
      <w:pPr>
        <w:pStyle w:val="Heading2"/>
      </w:pPr>
      <w:r>
        <w:t xml:space="preserve">Overview</w:t>
      </w:r>
    </w:p>
    <w:p>
      <w:pPr>
        <w:pStyle w:val="FirstParagraph"/>
      </w:pPr>
      <w:r>
        <w:t xml:space="preserve">This document defines the visual assets required to support the vZero investor pitch. The assets include a series of images and one sizzle reel video (60–90 seconds) that together tell the story of vZero: the experience, the venue, the technology, and the scale.</w:t>
      </w:r>
    </w:p>
    <w:p>
      <w:pPr>
        <w:pStyle w:val="BodyText"/>
      </w:pPr>
      <w:r>
        <w:t xml:space="preserve">The visuals must accomplish four things:</w:t>
      </w:r>
      <w:r>
        <w:t xml:space="preserve"> </w:t>
      </w:r>
      <w:r>
        <w:t xml:space="preserve">1.</w:t>
      </w:r>
      <w:r>
        <w:t xml:space="preserve"> </w:t>
      </w:r>
      <w:r>
        <w:rPr>
          <w:b/>
          <w:bCs/>
        </w:rPr>
        <w:t xml:space="preserve">Make them feel it</w:t>
      </w:r>
      <w:r>
        <w:t xml:space="preserve"> </w:t>
      </w:r>
      <w:r>
        <w:t xml:space="preserve">before they understand it</w:t>
      </w:r>
      <w:r>
        <w:t xml:space="preserve"> </w:t>
      </w:r>
      <w:r>
        <w:t xml:space="preserve">2.</w:t>
      </w:r>
      <w:r>
        <w:t xml:space="preserve"> </w:t>
      </w:r>
      <w:r>
        <w:rPr>
          <w:b/>
          <w:bCs/>
        </w:rPr>
        <w:t xml:space="preserve">Show it’s real</w:t>
      </w:r>
      <w:r>
        <w:t xml:space="preserve"> </w:t>
      </w:r>
      <w:r>
        <w:t xml:space="preserve">— buildable, premium, credible</w:t>
      </w:r>
      <w:r>
        <w:t xml:space="preserve"> </w:t>
      </w:r>
      <w:r>
        <w:t xml:space="preserve">3.</w:t>
      </w:r>
      <w:r>
        <w:t xml:space="preserve"> </w:t>
      </w:r>
      <w:r>
        <w:rPr>
          <w:b/>
          <w:bCs/>
        </w:rPr>
        <w:t xml:space="preserve">Explain the technology</w:t>
      </w:r>
      <w:r>
        <w:t xml:space="preserve"> </w:t>
      </w:r>
      <w:r>
        <w:t xml:space="preserve">without overwhelming</w:t>
      </w:r>
      <w:r>
        <w:t xml:space="preserve"> </w:t>
      </w:r>
      <w:r>
        <w:t xml:space="preserve">4.</w:t>
      </w:r>
      <w:r>
        <w:t xml:space="preserve"> </w:t>
      </w:r>
      <w:r>
        <w:rPr>
          <w:b/>
          <w:bCs/>
        </w:rPr>
        <w:t xml:space="preserve">Convey the scale</w:t>
      </w:r>
      <w:r>
        <w:t xml:space="preserve"> </w:t>
      </w:r>
      <w:r>
        <w:t xml:space="preserve">— from one room to a global platform</w:t>
      </w:r>
    </w:p>
    <w:p>
      <w:r>
        <w:pict>
          <v:rect style="width:0;height:1.5pt" o:hralign="center" o:hrstd="t" o:hr="t"/>
        </w:pict>
      </w:r>
    </w:p>
    <w:bookmarkEnd w:id="9"/>
    <w:bookmarkStart w:id="15" w:name="shot-list"/>
    <w:p>
      <w:pPr>
        <w:pStyle w:val="Heading2"/>
      </w:pPr>
      <w:r>
        <w:t xml:space="preserve">Shot List</w:t>
      </w:r>
    </w:p>
    <w:bookmarkStart w:id="10" w:name="act-1-the-experience-the-hook"/>
    <w:p>
      <w:pPr>
        <w:pStyle w:val="Heading3"/>
      </w:pPr>
      <w:r>
        <w:t xml:space="preserve">Act 1: The Experience (The Hook)</w:t>
      </w:r>
    </w:p>
    <w:p>
      <w:pPr>
        <w:pStyle w:val="FirstParagraph"/>
      </w:pPr>
      <w:r>
        <w:rPr>
          <w:i/>
          <w:iCs/>
        </w:rPr>
        <w:t xml:space="preserve">Goal: Make them feel it before they understand it</w:t>
      </w:r>
    </w:p>
    <w:tbl>
      <w:tblPr>
        <w:tblStyle w:val="Table"/>
        <w:tblW w:type="pct" w:w="5000"/>
        <w:tblLayout w:type="fixed"/>
        <w:tblLook w:firstRow="1" w:lastRow="0" w:firstColumn="0" w:lastColumn="0" w:noHBand="0" w:noVBand="0" w:val="0020"/>
      </w:tblPr>
      <w:tblGrid>
        <w:gridCol w:w="766"/>
        <w:gridCol w:w="2299"/>
        <w:gridCol w:w="3321"/>
        <w:gridCol w:w="1532"/>
      </w:tblGrid>
      <w:tr>
        <w:trPr>
          <w:tblHeader w:val="on"/>
        </w:trPr>
        <w:tc>
          <w:tcPr/>
          <w:p>
            <w:pPr>
              <w:pStyle w:val="Compact"/>
            </w:pPr>
            <w:r>
              <w:t xml:space="preserve">#</w:t>
            </w:r>
          </w:p>
        </w:tc>
        <w:tc>
          <w:tcPr/>
          <w:p>
            <w:pPr>
              <w:pStyle w:val="Compact"/>
            </w:pPr>
            <w:r>
              <w:t xml:space="preserve">Subject</w:t>
            </w:r>
          </w:p>
        </w:tc>
        <w:tc>
          <w:tcPr/>
          <w:p>
            <w:pPr>
              <w:pStyle w:val="Compact"/>
            </w:pPr>
            <w:r>
              <w:t xml:space="preserve">Description</w:t>
            </w:r>
          </w:p>
        </w:tc>
        <w:tc>
          <w:tcPr/>
          <w:p>
            <w:pPr>
              <w:pStyle w:val="Compact"/>
            </w:pPr>
            <w:r>
              <w:t xml:space="preserve">Type</w:t>
            </w:r>
          </w:p>
        </w:tc>
      </w:tr>
      <w:tr>
        <w:tc>
          <w:tcPr/>
          <w:p>
            <w:pPr>
              <w:pStyle w:val="Compact"/>
            </w:pPr>
            <w:r>
              <w:t xml:space="preserve">1</w:t>
            </w:r>
          </w:p>
        </w:tc>
        <w:tc>
          <w:tcPr/>
          <w:p>
            <w:pPr>
              <w:pStyle w:val="Compact"/>
            </w:pPr>
            <w:r>
              <w:rPr>
                <w:b/>
                <w:bCs/>
              </w:rPr>
              <w:t xml:space="preserve">The Moment</w:t>
            </w:r>
          </w:p>
        </w:tc>
        <w:tc>
          <w:tcPr/>
          <w:p>
            <w:pPr>
              <w:pStyle w:val="Compact"/>
            </w:pPr>
            <w:r>
              <w:t xml:space="preserve">POV shot: You’re standing 3 feet from a performer (silhouette or abstract artist). They’re singing directly to you. The room is dark except for volumetric light emanating from them. Other audience members visible as faint silhouettes in the periphery. Intimate. Electric.</w:t>
            </w:r>
          </w:p>
        </w:tc>
        <w:tc>
          <w:tcPr/>
          <w:p>
            <w:pPr>
              <w:pStyle w:val="Compact"/>
            </w:pPr>
            <w:r>
              <w:t xml:space="preserve">Hero image</w:t>
            </w:r>
          </w:p>
        </w:tc>
      </w:tr>
      <w:tr>
        <w:tc>
          <w:tcPr/>
          <w:p>
            <w:pPr>
              <w:pStyle w:val="Compact"/>
            </w:pPr>
            <w:r>
              <w:t xml:space="preserve">2</w:t>
            </w:r>
          </w:p>
        </w:tc>
        <w:tc>
          <w:tcPr/>
          <w:p>
            <w:pPr>
              <w:pStyle w:val="Compact"/>
            </w:pPr>
            <w:r>
              <w:rPr>
                <w:b/>
                <w:bCs/>
              </w:rPr>
              <w:t xml:space="preserve">Walking Around</w:t>
            </w:r>
          </w:p>
        </w:tc>
        <w:tc>
          <w:tcPr/>
          <w:p>
            <w:pPr>
              <w:pStyle w:val="Compact"/>
            </w:pPr>
            <w:r>
              <w:t xml:space="preserve">Same performer from a different angle — demonstrating 6DOF. The viewer has moved; the performer is now in profile. The spatial reality is undeniable.</w:t>
            </w:r>
          </w:p>
        </w:tc>
        <w:tc>
          <w:tcPr/>
          <w:p>
            <w:pPr>
              <w:pStyle w:val="Compact"/>
            </w:pPr>
            <w:r>
              <w:t xml:space="preserve">Image</w:t>
            </w:r>
          </w:p>
        </w:tc>
      </w:tr>
      <w:tr>
        <w:tc>
          <w:tcPr/>
          <w:p>
            <w:pPr>
              <w:pStyle w:val="Compact"/>
            </w:pPr>
            <w:r>
              <w:t xml:space="preserve">3</w:t>
            </w:r>
          </w:p>
        </w:tc>
        <w:tc>
          <w:tcPr/>
          <w:p>
            <w:pPr>
              <w:pStyle w:val="Compact"/>
            </w:pPr>
            <w:r>
              <w:rPr>
                <w:b/>
                <w:bCs/>
              </w:rPr>
              <w:t xml:space="preserve">The Audience</w:t>
            </w:r>
          </w:p>
        </w:tc>
        <w:tc>
          <w:tcPr/>
          <w:p>
            <w:pPr>
              <w:pStyle w:val="Compact"/>
            </w:pPr>
            <w:r>
              <w:t xml:space="preserve">Wide shot: 12 people in a dark room, each wearing Steam Frames, each in their own stance — some close to the performer, some standing back, one person walking. They’re all sharing the same space but experiencing it individually.</w:t>
            </w:r>
          </w:p>
        </w:tc>
        <w:tc>
          <w:tcPr/>
          <w:p>
            <w:pPr>
              <w:pStyle w:val="Compact"/>
            </w:pPr>
            <w:r>
              <w:t xml:space="preserve">Image</w:t>
            </w:r>
          </w:p>
        </w:tc>
      </w:tr>
    </w:tbl>
    <w:bookmarkEnd w:id="10"/>
    <w:bookmarkStart w:id="11" w:name="act-2-the-venue-the-place"/>
    <w:p>
      <w:pPr>
        <w:pStyle w:val="Heading3"/>
      </w:pPr>
      <w:r>
        <w:t xml:space="preserve">Act 2: The Venue (The Place)</w:t>
      </w:r>
    </w:p>
    <w:p>
      <w:pPr>
        <w:pStyle w:val="FirstParagraph"/>
      </w:pPr>
      <w:r>
        <w:rPr>
          <w:i/>
          <w:iCs/>
        </w:rPr>
        <w:t xml:space="preserve">Goal: Show this is real, buildable, premium</w:t>
      </w:r>
    </w:p>
    <w:tbl>
      <w:tblPr>
        <w:tblStyle w:val="Table"/>
        <w:tblW w:type="pct" w:w="5000"/>
        <w:tblLayout w:type="fixed"/>
        <w:tblLook w:firstRow="1" w:lastRow="0" w:firstColumn="0" w:lastColumn="0" w:noHBand="0" w:noVBand="0" w:val="0020"/>
      </w:tblPr>
      <w:tblGrid>
        <w:gridCol w:w="766"/>
        <w:gridCol w:w="2299"/>
        <w:gridCol w:w="3321"/>
        <w:gridCol w:w="1532"/>
      </w:tblGrid>
      <w:tr>
        <w:trPr>
          <w:tblHeader w:val="on"/>
        </w:trPr>
        <w:tc>
          <w:tcPr/>
          <w:p>
            <w:pPr>
              <w:pStyle w:val="Compact"/>
            </w:pPr>
            <w:r>
              <w:t xml:space="preserve">#</w:t>
            </w:r>
          </w:p>
        </w:tc>
        <w:tc>
          <w:tcPr/>
          <w:p>
            <w:pPr>
              <w:pStyle w:val="Compact"/>
            </w:pPr>
            <w:r>
              <w:t xml:space="preserve">Subject</w:t>
            </w:r>
          </w:p>
        </w:tc>
        <w:tc>
          <w:tcPr/>
          <w:p>
            <w:pPr>
              <w:pStyle w:val="Compact"/>
            </w:pPr>
            <w:r>
              <w:t xml:space="preserve">Description</w:t>
            </w:r>
          </w:p>
        </w:tc>
        <w:tc>
          <w:tcPr/>
          <w:p>
            <w:pPr>
              <w:pStyle w:val="Compact"/>
            </w:pPr>
            <w:r>
              <w:t xml:space="preserve">Type</w:t>
            </w:r>
          </w:p>
        </w:tc>
      </w:tr>
      <w:tr>
        <w:tc>
          <w:tcPr/>
          <w:p>
            <w:pPr>
              <w:pStyle w:val="Compact"/>
            </w:pPr>
            <w:r>
              <w:t xml:space="preserve">4</w:t>
            </w:r>
          </w:p>
        </w:tc>
        <w:tc>
          <w:tcPr/>
          <w:p>
            <w:pPr>
              <w:pStyle w:val="Compact"/>
            </w:pPr>
            <w:r>
              <w:rPr>
                <w:b/>
                <w:bCs/>
              </w:rPr>
              <w:t xml:space="preserve">Flagship Exterior</w:t>
            </w:r>
          </w:p>
        </w:tc>
        <w:tc>
          <w:tcPr/>
          <w:p>
            <w:pPr>
              <w:pStyle w:val="Compact"/>
            </w:pPr>
            <w:r>
              <w:t xml:space="preserve">Architectural render: A vZero flagship in Las Vegas at night. Subtle, premium, maybe in Area15 or a standalone building. Not flashy — confident. The logo glows.</w:t>
            </w:r>
          </w:p>
        </w:tc>
        <w:tc>
          <w:tcPr/>
          <w:p>
            <w:pPr>
              <w:pStyle w:val="Compact"/>
            </w:pPr>
            <w:r>
              <w:t xml:space="preserve">Image</w:t>
            </w:r>
          </w:p>
        </w:tc>
      </w:tr>
      <w:tr>
        <w:tc>
          <w:tcPr/>
          <w:p>
            <w:pPr>
              <w:pStyle w:val="Compact"/>
            </w:pPr>
            <w:r>
              <w:t xml:space="preserve">5</w:t>
            </w:r>
          </w:p>
        </w:tc>
        <w:tc>
          <w:tcPr/>
          <w:p>
            <w:pPr>
              <w:pStyle w:val="Compact"/>
            </w:pPr>
            <w:r>
              <w:rPr>
                <w:b/>
                <w:bCs/>
              </w:rPr>
              <w:t xml:space="preserve">The Arrival</w:t>
            </w:r>
          </w:p>
        </w:tc>
        <w:tc>
          <w:tcPr/>
          <w:p>
            <w:pPr>
              <w:pStyle w:val="Compact"/>
            </w:pPr>
            <w:r>
              <w:t xml:space="preserve">Interior: The decompression corridor. A guest walks from the bright lobby into a darker, acoustically dampened transition space. Anticipation builds.</w:t>
            </w:r>
          </w:p>
        </w:tc>
        <w:tc>
          <w:tcPr/>
          <w:p>
            <w:pPr>
              <w:pStyle w:val="Compact"/>
            </w:pPr>
            <w:r>
              <w:t xml:space="preserve">Image</w:t>
            </w:r>
          </w:p>
        </w:tc>
      </w:tr>
      <w:tr>
        <w:tc>
          <w:tcPr/>
          <w:p>
            <w:pPr>
              <w:pStyle w:val="Compact"/>
            </w:pPr>
            <w:r>
              <w:t xml:space="preserve">6</w:t>
            </w:r>
          </w:p>
        </w:tc>
        <w:tc>
          <w:tcPr/>
          <w:p>
            <w:pPr>
              <w:pStyle w:val="Compact"/>
            </w:pPr>
            <w:r>
              <w:rPr>
                <w:b/>
                <w:bCs/>
              </w:rPr>
              <w:t xml:space="preserve">The Performance Room (Empty)</w:t>
            </w:r>
          </w:p>
        </w:tc>
        <w:tc>
          <w:tcPr/>
          <w:p>
            <w:pPr>
              <w:pStyle w:val="Compact"/>
            </w:pPr>
            <w:r>
              <w:t xml:space="preserve">The 300 m² room before guests arrive. Black walls lined with the WFS speaker array (visible but elegant). The haptic floor grid. Dramatic lighting. The stage is empty — but feels charged with potential.</w:t>
            </w:r>
          </w:p>
        </w:tc>
        <w:tc>
          <w:tcPr/>
          <w:p>
            <w:pPr>
              <w:pStyle w:val="Compact"/>
            </w:pPr>
            <w:r>
              <w:t xml:space="preserve">Image</w:t>
            </w:r>
          </w:p>
        </w:tc>
      </w:tr>
      <w:tr>
        <w:tc>
          <w:tcPr/>
          <w:p>
            <w:pPr>
              <w:pStyle w:val="Compact"/>
            </w:pPr>
            <w:r>
              <w:t xml:space="preserve">7</w:t>
            </w:r>
          </w:p>
        </w:tc>
        <w:tc>
          <w:tcPr/>
          <w:p>
            <w:pPr>
              <w:pStyle w:val="Compact"/>
            </w:pPr>
            <w:r>
              <w:rPr>
                <w:b/>
                <w:bCs/>
              </w:rPr>
              <w:t xml:space="preserve">The Server Room</w:t>
            </w:r>
          </w:p>
        </w:tc>
        <w:tc>
          <w:tcPr/>
          <w:p>
            <w:pPr>
              <w:pStyle w:val="Compact"/>
            </w:pPr>
            <w:r>
              <w:t xml:space="preserve">Through a glass window or open door: racks of NVIDIA GPUs, cooling infrastructure, the hum of computational power. The</w:t>
            </w:r>
            <w:r>
              <w:t xml:space="preserve"> </w:t>
            </w:r>
            <w:r>
              <w:t xml:space="preserve">“engine room”</w:t>
            </w:r>
            <w:r>
              <w:t xml:space="preserve"> </w:t>
            </w:r>
            <w:r>
              <w:t xml:space="preserve">— this is what makes it possible.</w:t>
            </w:r>
          </w:p>
        </w:tc>
        <w:tc>
          <w:tcPr/>
          <w:p>
            <w:pPr>
              <w:pStyle w:val="Compact"/>
            </w:pPr>
            <w:r>
              <w:t xml:space="preserve">Image</w:t>
            </w:r>
          </w:p>
        </w:tc>
      </w:tr>
    </w:tbl>
    <w:bookmarkEnd w:id="11"/>
    <w:bookmarkStart w:id="12" w:name="act-3-the-technology-the-how"/>
    <w:p>
      <w:pPr>
        <w:pStyle w:val="Heading3"/>
      </w:pPr>
      <w:r>
        <w:t xml:space="preserve">Act 3: The Technology (The How)</w:t>
      </w:r>
    </w:p>
    <w:p>
      <w:pPr>
        <w:pStyle w:val="FirstParagraph"/>
      </w:pPr>
      <w:r>
        <w:rPr>
          <w:i/>
          <w:iCs/>
        </w:rPr>
        <w:t xml:space="preserve">Goal: Show the capture-to-delivery pipeline</w:t>
      </w:r>
    </w:p>
    <w:tbl>
      <w:tblPr>
        <w:tblStyle w:val="Table"/>
        <w:tblW w:type="pct" w:w="5000"/>
        <w:tblLayout w:type="fixed"/>
        <w:tblLook w:firstRow="1" w:lastRow="0" w:firstColumn="0" w:lastColumn="0" w:noHBand="0" w:noVBand="0" w:val="0020"/>
      </w:tblPr>
      <w:tblGrid>
        <w:gridCol w:w="766"/>
        <w:gridCol w:w="2299"/>
        <w:gridCol w:w="3321"/>
        <w:gridCol w:w="1532"/>
      </w:tblGrid>
      <w:tr>
        <w:trPr>
          <w:tblHeader w:val="on"/>
        </w:trPr>
        <w:tc>
          <w:tcPr/>
          <w:p>
            <w:pPr>
              <w:pStyle w:val="Compact"/>
            </w:pPr>
            <w:r>
              <w:t xml:space="preserve">#</w:t>
            </w:r>
          </w:p>
        </w:tc>
        <w:tc>
          <w:tcPr/>
          <w:p>
            <w:pPr>
              <w:pStyle w:val="Compact"/>
            </w:pPr>
            <w:r>
              <w:t xml:space="preserve">Subject</w:t>
            </w:r>
          </w:p>
        </w:tc>
        <w:tc>
          <w:tcPr/>
          <w:p>
            <w:pPr>
              <w:pStyle w:val="Compact"/>
            </w:pPr>
            <w:r>
              <w:t xml:space="preserve">Description</w:t>
            </w:r>
          </w:p>
        </w:tc>
        <w:tc>
          <w:tcPr/>
          <w:p>
            <w:pPr>
              <w:pStyle w:val="Compact"/>
            </w:pPr>
            <w:r>
              <w:t xml:space="preserve">Type</w:t>
            </w:r>
          </w:p>
        </w:tc>
      </w:tr>
      <w:tr>
        <w:tc>
          <w:tcPr/>
          <w:p>
            <w:pPr>
              <w:pStyle w:val="Compact"/>
            </w:pPr>
            <w:r>
              <w:t xml:space="preserve">8</w:t>
            </w:r>
          </w:p>
        </w:tc>
        <w:tc>
          <w:tcPr/>
          <w:p>
            <w:pPr>
              <w:pStyle w:val="Compact"/>
            </w:pPr>
            <w:r>
              <w:rPr>
                <w:b/>
                <w:bCs/>
              </w:rPr>
              <w:t xml:space="preserve">The Capture Stage</w:t>
            </w:r>
          </w:p>
        </w:tc>
        <w:tc>
          <w:tcPr/>
          <w:p>
            <w:pPr>
              <w:pStyle w:val="Compact"/>
            </w:pPr>
            <w:r>
              <w:t xml:space="preserve">A volumetric capture studio: 64+ cameras arrayed in a sphere around a performer. Light Stage illumination. The artist mid-performance, surrounded by technology.</w:t>
            </w:r>
          </w:p>
        </w:tc>
        <w:tc>
          <w:tcPr/>
          <w:p>
            <w:pPr>
              <w:pStyle w:val="Compact"/>
            </w:pPr>
            <w:r>
              <w:t xml:space="preserve">Image</w:t>
            </w:r>
          </w:p>
        </w:tc>
      </w:tr>
      <w:tr>
        <w:tc>
          <w:tcPr/>
          <w:p>
            <w:pPr>
              <w:pStyle w:val="Compact"/>
            </w:pPr>
            <w:r>
              <w:t xml:space="preserve">9</w:t>
            </w:r>
          </w:p>
        </w:tc>
        <w:tc>
          <w:tcPr/>
          <w:p>
            <w:pPr>
              <w:pStyle w:val="Compact"/>
            </w:pPr>
            <w:r>
              <w:rPr>
                <w:b/>
                <w:bCs/>
              </w:rPr>
              <w:t xml:space="preserve">The Gaussian Cloud</w:t>
            </w:r>
          </w:p>
        </w:tc>
        <w:tc>
          <w:tcPr/>
          <w:p>
            <w:pPr>
              <w:pStyle w:val="Compact"/>
            </w:pPr>
            <w:r>
              <w:t xml:space="preserve">Abstract/technical: A 4DGS point cloud representation of a human figure — beautiful, slightly ethereal, clearly data but recognizably human. The raw material.</w:t>
            </w:r>
          </w:p>
        </w:tc>
        <w:tc>
          <w:tcPr/>
          <w:p>
            <w:pPr>
              <w:pStyle w:val="Compact"/>
            </w:pPr>
            <w:r>
              <w:t xml:space="preserve">Image</w:t>
            </w:r>
          </w:p>
        </w:tc>
      </w:tr>
      <w:tr>
        <w:tc>
          <w:tcPr/>
          <w:p>
            <w:pPr>
              <w:pStyle w:val="Compact"/>
            </w:pPr>
            <w:r>
              <w:t xml:space="preserve">10</w:t>
            </w:r>
          </w:p>
        </w:tc>
        <w:tc>
          <w:tcPr/>
          <w:p>
            <w:pPr>
              <w:pStyle w:val="Compact"/>
            </w:pPr>
            <w:r>
              <w:rPr>
                <w:b/>
                <w:bCs/>
              </w:rPr>
              <w:t xml:space="preserve">The Headset</w:t>
            </w:r>
          </w:p>
        </w:tc>
        <w:tc>
          <w:tcPr/>
          <w:p>
            <w:pPr>
              <w:pStyle w:val="Compact"/>
            </w:pPr>
            <w:r>
              <w:t xml:space="preserve">Close-up: A Steam Frame headset, sleek, wireless. Maybe held in someone’s hands, about to be put on. The gateway.</w:t>
            </w:r>
          </w:p>
        </w:tc>
        <w:tc>
          <w:tcPr/>
          <w:p>
            <w:pPr>
              <w:pStyle w:val="Compact"/>
            </w:pPr>
            <w:r>
              <w:t xml:space="preserve">Image</w:t>
            </w:r>
          </w:p>
        </w:tc>
      </w:tr>
    </w:tbl>
    <w:bookmarkEnd w:id="12"/>
    <w:bookmarkStart w:id="13" w:name="act-4-the-scale-the-network"/>
    <w:p>
      <w:pPr>
        <w:pStyle w:val="Heading3"/>
      </w:pPr>
      <w:r>
        <w:t xml:space="preserve">Act 4: The Scale (The Network)</w:t>
      </w:r>
    </w:p>
    <w:p>
      <w:pPr>
        <w:pStyle w:val="FirstParagraph"/>
      </w:pPr>
      <w:r>
        <w:rPr>
          <w:i/>
          <w:iCs/>
        </w:rPr>
        <w:t xml:space="preserve">Goal: Show this isn’t one room — it’s a platform</w:t>
      </w:r>
    </w:p>
    <w:tbl>
      <w:tblPr>
        <w:tblStyle w:val="Table"/>
        <w:tblW w:type="pct" w:w="5000"/>
        <w:tblLayout w:type="fixed"/>
        <w:tblLook w:firstRow="1" w:lastRow="0" w:firstColumn="0" w:lastColumn="0" w:noHBand="0" w:noVBand="0" w:val="0020"/>
      </w:tblPr>
      <w:tblGrid>
        <w:gridCol w:w="766"/>
        <w:gridCol w:w="2299"/>
        <w:gridCol w:w="3321"/>
        <w:gridCol w:w="1532"/>
      </w:tblGrid>
      <w:tr>
        <w:trPr>
          <w:tblHeader w:val="on"/>
        </w:trPr>
        <w:tc>
          <w:tcPr/>
          <w:p>
            <w:pPr>
              <w:pStyle w:val="Compact"/>
            </w:pPr>
            <w:r>
              <w:t xml:space="preserve">#</w:t>
            </w:r>
          </w:p>
        </w:tc>
        <w:tc>
          <w:tcPr/>
          <w:p>
            <w:pPr>
              <w:pStyle w:val="Compact"/>
            </w:pPr>
            <w:r>
              <w:t xml:space="preserve">Subject</w:t>
            </w:r>
          </w:p>
        </w:tc>
        <w:tc>
          <w:tcPr/>
          <w:p>
            <w:pPr>
              <w:pStyle w:val="Compact"/>
            </w:pPr>
            <w:r>
              <w:t xml:space="preserve">Description</w:t>
            </w:r>
          </w:p>
        </w:tc>
        <w:tc>
          <w:tcPr/>
          <w:p>
            <w:pPr>
              <w:pStyle w:val="Compact"/>
            </w:pPr>
            <w:r>
              <w:t xml:space="preserve">Type</w:t>
            </w:r>
          </w:p>
        </w:tc>
      </w:tr>
      <w:tr>
        <w:tc>
          <w:tcPr/>
          <w:p>
            <w:pPr>
              <w:pStyle w:val="Compact"/>
            </w:pPr>
            <w:r>
              <w:t xml:space="preserve">11</w:t>
            </w:r>
          </w:p>
        </w:tc>
        <w:tc>
          <w:tcPr/>
          <w:p>
            <w:pPr>
              <w:pStyle w:val="Compact"/>
            </w:pPr>
            <w:r>
              <w:rPr>
                <w:b/>
                <w:bCs/>
              </w:rPr>
              <w:t xml:space="preserve">The Global Map</w:t>
            </w:r>
          </w:p>
        </w:tc>
        <w:tc>
          <w:tcPr/>
          <w:p>
            <w:pPr>
              <w:pStyle w:val="Compact"/>
            </w:pPr>
            <w:r>
              <w:t xml:space="preserve">World map with 12 glowing dots: Las Vegas, London, New York, Tokyo, Dubai, Paris, Seoul, Singapore, Los Angeles, Berlin, Macau, Sydney. The network.</w:t>
            </w:r>
          </w:p>
        </w:tc>
        <w:tc>
          <w:tcPr/>
          <w:p>
            <w:pPr>
              <w:pStyle w:val="Compact"/>
            </w:pPr>
            <w:r>
              <w:t xml:space="preserve">Image/Motion</w:t>
            </w:r>
          </w:p>
        </w:tc>
      </w:tr>
      <w:tr>
        <w:tc>
          <w:tcPr/>
          <w:p>
            <w:pPr>
              <w:pStyle w:val="Compact"/>
            </w:pPr>
            <w:r>
              <w:t xml:space="preserve">12</w:t>
            </w:r>
          </w:p>
        </w:tc>
        <w:tc>
          <w:tcPr/>
          <w:p>
            <w:pPr>
              <w:pStyle w:val="Compact"/>
            </w:pPr>
            <w:r>
              <w:rPr>
                <w:b/>
                <w:bCs/>
              </w:rPr>
              <w:t xml:space="preserve">At Home</w:t>
            </w:r>
          </w:p>
        </w:tc>
        <w:tc>
          <w:tcPr/>
          <w:p>
            <w:pPr>
              <w:pStyle w:val="Compact"/>
            </w:pPr>
            <w:r>
              <w:t xml:space="preserve">A living room. One person wearing a Steam Frame and haptic vest, standing in their space, clearly transported. The home experience — same content, different context.</w:t>
            </w:r>
          </w:p>
        </w:tc>
        <w:tc>
          <w:tcPr/>
          <w:p>
            <w:pPr>
              <w:pStyle w:val="Compact"/>
            </w:pPr>
            <w:r>
              <w:t xml:space="preserve">Image</w:t>
            </w:r>
          </w:p>
        </w:tc>
      </w:tr>
      <w:tr>
        <w:tc>
          <w:tcPr/>
          <w:p>
            <w:pPr>
              <w:pStyle w:val="Compact"/>
            </w:pPr>
            <w:r>
              <w:t xml:space="preserve">13</w:t>
            </w:r>
          </w:p>
        </w:tc>
        <w:tc>
          <w:tcPr/>
          <w:p>
            <w:pPr>
              <w:pStyle w:val="Compact"/>
            </w:pPr>
            <w:r>
              <w:rPr>
                <w:b/>
                <w:bCs/>
              </w:rPr>
              <w:t xml:space="preserve">Miraval Studio</w:t>
            </w:r>
          </w:p>
        </w:tc>
        <w:tc>
          <w:tcPr/>
          <w:p>
            <w:pPr>
              <w:pStyle w:val="Compact"/>
            </w:pPr>
            <w:r>
              <w:t xml:space="preserve">The legendary recording studio in southern France, reimagined with a 4DGS capture rig. Beautiful stone walls, natural light, artist performing. Where the Weekly Sessions happen.</w:t>
            </w:r>
          </w:p>
        </w:tc>
        <w:tc>
          <w:tcPr/>
          <w:p>
            <w:pPr>
              <w:pStyle w:val="Compact"/>
            </w:pPr>
            <w:r>
              <w:t xml:space="preserve">Image</w:t>
            </w:r>
          </w:p>
        </w:tc>
      </w:tr>
    </w:tbl>
    <w:bookmarkEnd w:id="13"/>
    <w:bookmarkStart w:id="14" w:name="act-5-the-vision-the-future"/>
    <w:p>
      <w:pPr>
        <w:pStyle w:val="Heading3"/>
      </w:pPr>
      <w:r>
        <w:t xml:space="preserve">Act 5: The Vision (The Future)</w:t>
      </w:r>
    </w:p>
    <w:p>
      <w:pPr>
        <w:pStyle w:val="FirstParagraph"/>
      </w:pPr>
      <w:r>
        <w:rPr>
          <w:i/>
          <w:iCs/>
        </w:rPr>
        <w:t xml:space="preserve">Goal: Leave them with scale and ambition</w:t>
      </w:r>
    </w:p>
    <w:tbl>
      <w:tblPr>
        <w:tblStyle w:val="Table"/>
        <w:tblW w:type="pct" w:w="5000"/>
        <w:tblLayout w:type="fixed"/>
        <w:tblLook w:firstRow="1" w:lastRow="0" w:firstColumn="0" w:lastColumn="0" w:noHBand="0" w:noVBand="0" w:val="0020"/>
      </w:tblPr>
      <w:tblGrid>
        <w:gridCol w:w="766"/>
        <w:gridCol w:w="2299"/>
        <w:gridCol w:w="3321"/>
        <w:gridCol w:w="1532"/>
      </w:tblGrid>
      <w:tr>
        <w:trPr>
          <w:tblHeader w:val="on"/>
        </w:trPr>
        <w:tc>
          <w:tcPr/>
          <w:p>
            <w:pPr>
              <w:pStyle w:val="Compact"/>
            </w:pPr>
            <w:r>
              <w:t xml:space="preserve">#</w:t>
            </w:r>
          </w:p>
        </w:tc>
        <w:tc>
          <w:tcPr/>
          <w:p>
            <w:pPr>
              <w:pStyle w:val="Compact"/>
            </w:pPr>
            <w:r>
              <w:t xml:space="preserve">Subject</w:t>
            </w:r>
          </w:p>
        </w:tc>
        <w:tc>
          <w:tcPr/>
          <w:p>
            <w:pPr>
              <w:pStyle w:val="Compact"/>
            </w:pPr>
            <w:r>
              <w:t xml:space="preserve">Description</w:t>
            </w:r>
          </w:p>
        </w:tc>
        <w:tc>
          <w:tcPr/>
          <w:p>
            <w:pPr>
              <w:pStyle w:val="Compact"/>
            </w:pPr>
            <w:r>
              <w:t xml:space="preserve">Type</w:t>
            </w:r>
          </w:p>
        </w:tc>
      </w:tr>
      <w:tr>
        <w:tc>
          <w:tcPr/>
          <w:p>
            <w:pPr>
              <w:pStyle w:val="Compact"/>
            </w:pPr>
            <w:r>
              <w:t xml:space="preserve">14</w:t>
            </w:r>
          </w:p>
        </w:tc>
        <w:tc>
          <w:tcPr/>
          <w:p>
            <w:pPr>
              <w:pStyle w:val="Compact"/>
            </w:pPr>
            <w:r>
              <w:rPr>
                <w:b/>
                <w:bCs/>
              </w:rPr>
              <w:t xml:space="preserve">Courtside</w:t>
            </w:r>
          </w:p>
        </w:tc>
        <w:tc>
          <w:tcPr/>
          <w:p>
            <w:pPr>
              <w:pStyle w:val="Compact"/>
            </w:pPr>
            <w:r>
              <w:t xml:space="preserve">A tennis match or boxing ring from courtside/ringside POV. The athlete mid-action, frozen in time or slow-motion. Sports is the mass-market unlock.</w:t>
            </w:r>
          </w:p>
        </w:tc>
        <w:tc>
          <w:tcPr/>
          <w:p>
            <w:pPr>
              <w:pStyle w:val="Compact"/>
            </w:pPr>
            <w:r>
              <w:t xml:space="preserve">Image</w:t>
            </w:r>
          </w:p>
        </w:tc>
      </w:tr>
      <w:tr>
        <w:tc>
          <w:tcPr/>
          <w:p>
            <w:pPr>
              <w:pStyle w:val="Compact"/>
            </w:pPr>
            <w:r>
              <w:t xml:space="preserve">15</w:t>
            </w:r>
          </w:p>
        </w:tc>
        <w:tc>
          <w:tcPr/>
          <w:p>
            <w:pPr>
              <w:pStyle w:val="Compact"/>
            </w:pPr>
            <w:r>
              <w:rPr>
                <w:b/>
                <w:bCs/>
              </w:rPr>
              <w:t xml:space="preserve">The Subscriber</w:t>
            </w:r>
          </w:p>
        </w:tc>
        <w:tc>
          <w:tcPr/>
          <w:p>
            <w:pPr>
              <w:pStyle w:val="Compact"/>
            </w:pPr>
            <w:r>
              <w:t xml:space="preserve">Split screen or montage: Flagship visitor → Home subscriber → The same content, different scales. One asset, millions of experiences.</w:t>
            </w:r>
          </w:p>
        </w:tc>
        <w:tc>
          <w:tcPr/>
          <w:p>
            <w:pPr>
              <w:pStyle w:val="Compact"/>
            </w:pPr>
            <w:r>
              <w:t xml:space="preserve">Image/Motion</w:t>
            </w:r>
          </w:p>
        </w:tc>
      </w:tr>
    </w:tbl>
    <w:p>
      <w:r>
        <w:pict>
          <v:rect style="width:0;height:1.5pt" o:hralign="center" o:hrstd="t" o:hr="t"/>
        </w:pict>
      </w:r>
    </w:p>
    <w:bookmarkEnd w:id="14"/>
    <w:bookmarkEnd w:id="15"/>
    <w:bookmarkStart w:id="17" w:name="video-structure"/>
    <w:p>
      <w:pPr>
        <w:pStyle w:val="Heading2"/>
      </w:pPr>
      <w:r>
        <w:t xml:space="preserve">Video Structure</w:t>
      </w:r>
    </w:p>
    <w:p>
      <w:pPr>
        <w:pStyle w:val="FirstParagraph"/>
      </w:pPr>
      <w:r>
        <w:rPr>
          <w:b/>
          <w:bCs/>
        </w:rPr>
        <w:t xml:space="preserve">Duration:</w:t>
      </w:r>
      <w:r>
        <w:t xml:space="preserve"> </w:t>
      </w:r>
      <w:r>
        <w:t xml:space="preserve">60–90 seconds</w:t>
      </w:r>
    </w:p>
    <w:p>
      <w:pPr>
        <w:pStyle w:val="BodyText"/>
      </w:pPr>
      <w:r>
        <w:rPr>
          <w:b/>
          <w:bCs/>
        </w:rPr>
        <w:t xml:space="preserve">Format:</w:t>
      </w:r>
      <w:r>
        <w:t xml:space="preserve"> </w:t>
      </w:r>
      <w:r>
        <w:t xml:space="preserve">Sizzle reel / concept trailer</w:t>
      </w:r>
    </w:p>
    <w:bookmarkStart w:id="16" w:name="sequence"/>
    <w:p>
      <w:pPr>
        <w:pStyle w:val="Heading3"/>
      </w:pPr>
      <w:r>
        <w:t xml:space="preserve">Sequence</w:t>
      </w:r>
    </w:p>
    <w:tbl>
      <w:tblPr>
        <w:tblStyle w:val="Table"/>
        <w:tblW w:type="pct" w:w="5000"/>
        <w:tblLayout w:type="fixed"/>
        <w:tblLook w:firstRow="1" w:lastRow="0" w:firstColumn="0" w:lastColumn="0" w:noHBand="0" w:noVBand="0" w:val="0020"/>
      </w:tblPr>
      <w:tblGrid>
        <w:gridCol w:w="3226"/>
        <w:gridCol w:w="2640"/>
        <w:gridCol w:w="2053"/>
      </w:tblGrid>
      <w:tr>
        <w:trPr>
          <w:tblHeader w:val="on"/>
        </w:trPr>
        <w:tc>
          <w:tcPr/>
          <w:p>
            <w:pPr>
              <w:pStyle w:val="Compact"/>
            </w:pPr>
            <w:r>
              <w:t xml:space="preserve">Timestamp</w:t>
            </w:r>
          </w:p>
        </w:tc>
        <w:tc>
          <w:tcPr/>
          <w:p>
            <w:pPr>
              <w:pStyle w:val="Compact"/>
            </w:pPr>
            <w:r>
              <w:t xml:space="preserve">Content</w:t>
            </w:r>
          </w:p>
        </w:tc>
        <w:tc>
          <w:tcPr/>
          <w:p>
            <w:pPr>
              <w:pStyle w:val="Compact"/>
            </w:pPr>
            <w:r>
              <w:t xml:space="preserve">Audio</w:t>
            </w:r>
          </w:p>
        </w:tc>
      </w:tr>
      <w:tr>
        <w:tc>
          <w:tcPr/>
          <w:p>
            <w:pPr>
              <w:pStyle w:val="Compact"/>
            </w:pPr>
            <w:r>
              <w:t xml:space="preserve">0:00–0:05</w:t>
            </w:r>
          </w:p>
        </w:tc>
        <w:tc>
          <w:tcPr/>
          <w:p>
            <w:pPr>
              <w:pStyle w:val="Compact"/>
            </w:pPr>
            <w:r>
              <w:t xml:space="preserve">Black screen. Fade up slowly on Shot #1 (The Moment — POV, 3 feet from performer).</w:t>
            </w:r>
          </w:p>
        </w:tc>
        <w:tc>
          <w:tcPr/>
          <w:p>
            <w:pPr>
              <w:pStyle w:val="Compact"/>
            </w:pPr>
            <w:r>
              <w:t xml:space="preserve">Silence → single note or breath</w:t>
            </w:r>
          </w:p>
        </w:tc>
      </w:tr>
      <w:tr>
        <w:tc>
          <w:tcPr/>
          <w:p>
            <w:pPr>
              <w:pStyle w:val="Compact"/>
            </w:pPr>
            <w:r>
              <w:t xml:space="preserve">0:05–0:15</w:t>
            </w:r>
          </w:p>
        </w:tc>
        <w:tc>
          <w:tcPr/>
          <w:p>
            <w:pPr>
              <w:pStyle w:val="Compact"/>
            </w:pPr>
            <w:r>
              <w:t xml:space="preserve">Quick cuts: Shot #2 (Walking Around), Shot #3 (The Audience). Establish the magic — people moving freely around a lifelike performer.</w:t>
            </w:r>
          </w:p>
        </w:tc>
        <w:tc>
          <w:tcPr/>
          <w:p>
            <w:pPr>
              <w:pStyle w:val="Compact"/>
            </w:pPr>
            <w:r>
              <w:t xml:space="preserve">Music builds — atmospheric, emotional</w:t>
            </w:r>
          </w:p>
        </w:tc>
      </w:tr>
      <w:tr>
        <w:tc>
          <w:tcPr/>
          <w:p>
            <w:pPr>
              <w:pStyle w:val="Compact"/>
            </w:pPr>
            <w:r>
              <w:t xml:space="preserve">0:15–0:25</w:t>
            </w:r>
          </w:p>
        </w:tc>
        <w:tc>
          <w:tcPr/>
          <w:p>
            <w:pPr>
              <w:pStyle w:val="Compact"/>
            </w:pPr>
            <w:r>
              <w:t xml:space="preserve">Pull back to the venue: Shot #4 (Flagship Exterior), Shot #5 (The Arrival), Shot #6 (Performance Room Empty). Show this is real, physical, premium.</w:t>
            </w:r>
          </w:p>
        </w:tc>
        <w:tc>
          <w:tcPr/>
          <w:p>
            <w:pPr>
              <w:pStyle w:val="Compact"/>
            </w:pPr>
            <w:r>
              <w:t xml:space="preserve">Music continues — add bass, presence</w:t>
            </w:r>
          </w:p>
        </w:tc>
      </w:tr>
      <w:tr>
        <w:tc>
          <w:tcPr/>
          <w:p>
            <w:pPr>
              <w:pStyle w:val="Compact"/>
            </w:pPr>
            <w:r>
              <w:t xml:space="preserve">0:25–0:35</w:t>
            </w:r>
          </w:p>
        </w:tc>
        <w:tc>
          <w:tcPr/>
          <w:p>
            <w:pPr>
              <w:pStyle w:val="Compact"/>
            </w:pPr>
            <w:r>
              <w:t xml:space="preserve">The engine: Shot #7 (Server Room), Shot #8 (Capture Stage), Shot #9 (Gaussian Cloud), Shot #10 (Headset). The technology that makes it possible.</w:t>
            </w:r>
          </w:p>
        </w:tc>
        <w:tc>
          <w:tcPr/>
          <w:p>
            <w:pPr>
              <w:pStyle w:val="Compact"/>
            </w:pPr>
            <w:r>
              <w:t xml:space="preserve">Music driving — momentum</w:t>
            </w:r>
          </w:p>
        </w:tc>
      </w:tr>
      <w:tr>
        <w:tc>
          <w:tcPr/>
          <w:p>
            <w:pPr>
              <w:pStyle w:val="Compact"/>
            </w:pPr>
            <w:r>
              <w:t xml:space="preserve">0:35–0:50</w:t>
            </w:r>
          </w:p>
        </w:tc>
        <w:tc>
          <w:tcPr/>
          <w:p>
            <w:pPr>
              <w:pStyle w:val="Compact"/>
            </w:pPr>
            <w:r>
              <w:t xml:space="preserve">Scale out: Shot #11 (Global Map — animated, dots lighting up), Shot #12 (At Home), Shot #13 (Miraval Studio). The network expands.</w:t>
            </w:r>
          </w:p>
        </w:tc>
        <w:tc>
          <w:tcPr/>
          <w:p>
            <w:pPr>
              <w:pStyle w:val="Compact"/>
            </w:pPr>
            <w:r>
              <w:t xml:space="preserve">Music expands — orchestral or electronic swell</w:t>
            </w:r>
          </w:p>
        </w:tc>
      </w:tr>
      <w:tr>
        <w:tc>
          <w:tcPr/>
          <w:p>
            <w:pPr>
              <w:pStyle w:val="Compact"/>
            </w:pPr>
            <w:r>
              <w:t xml:space="preserve">0:50–1:00</w:t>
            </w:r>
          </w:p>
        </w:tc>
        <w:tc>
          <w:tcPr/>
          <w:p>
            <w:pPr>
              <w:pStyle w:val="Compact"/>
            </w:pPr>
            <w:r>
              <w:t xml:space="preserve">The future: Shot #14 (Courtside — sports), Shot #15 (The Subscriber — split screen/montage).</w:t>
            </w:r>
          </w:p>
        </w:tc>
        <w:tc>
          <w:tcPr/>
          <w:p>
            <w:pPr>
              <w:pStyle w:val="Compact"/>
            </w:pPr>
            <w:r>
              <w:t xml:space="preserve">Music peaks</w:t>
            </w:r>
          </w:p>
        </w:tc>
      </w:tr>
      <w:tr>
        <w:tc>
          <w:tcPr/>
          <w:p>
            <w:pPr>
              <w:pStyle w:val="Compact"/>
            </w:pPr>
            <w:r>
              <w:t xml:space="preserve">1:00–1:10</w:t>
            </w:r>
          </w:p>
        </w:tc>
        <w:tc>
          <w:tcPr/>
          <w:p>
            <w:pPr>
              <w:pStyle w:val="Compact"/>
            </w:pPr>
            <w:r>
              <w:t xml:space="preserve">Fade to black. Logo fades in:</w:t>
            </w:r>
            <w:r>
              <w:t xml:space="preserve"> </w:t>
            </w:r>
            <w:r>
              <w:rPr>
                <w:b/>
                <w:bCs/>
              </w:rPr>
              <w:t xml:space="preserve">vZero</w:t>
            </w:r>
            <w:r>
              <w:t xml:space="preserve">. Tagline:</w:t>
            </w:r>
            <w:r>
              <w:t xml:space="preserve"> </w:t>
            </w:r>
            <w:r>
              <w:t xml:space="preserve">“Volumetric Presence at Scale.”</w:t>
            </w:r>
          </w:p>
        </w:tc>
        <w:tc>
          <w:tcPr/>
          <w:p>
            <w:pPr>
              <w:pStyle w:val="Compact"/>
            </w:pPr>
            <w:r>
              <w:t xml:space="preserve">Music resolves — single held note, silence</w:t>
            </w:r>
          </w:p>
        </w:tc>
      </w:tr>
    </w:tbl>
    <w:p>
      <w:r>
        <w:pict>
          <v:rect style="width:0;height:1.5pt" o:hralign="center" o:hrstd="t" o:hr="t"/>
        </w:pict>
      </w:r>
    </w:p>
    <w:bookmarkEnd w:id="16"/>
    <w:bookmarkEnd w:id="17"/>
    <w:bookmarkStart w:id="23" w:name="visual-style-guidelines"/>
    <w:p>
      <w:pPr>
        <w:pStyle w:val="Heading2"/>
      </w:pPr>
      <w:r>
        <w:t xml:space="preserve">Visual Style Guidelines</w:t>
      </w:r>
    </w:p>
    <w:bookmarkStart w:id="18" w:name="overall-tone"/>
    <w:p>
      <w:pPr>
        <w:pStyle w:val="Heading3"/>
      </w:pPr>
      <w:r>
        <w:t xml:space="preserve">Overall Tone</w:t>
      </w:r>
    </w:p>
    <w:p>
      <w:pPr>
        <w:pStyle w:val="Compact"/>
        <w:numPr>
          <w:ilvl w:val="0"/>
          <w:numId w:val="1001"/>
        </w:numPr>
      </w:pPr>
      <w:r>
        <w:rPr>
          <w:b/>
          <w:bCs/>
        </w:rPr>
        <w:t xml:space="preserve">Premium, not flashy.</w:t>
      </w:r>
      <w:r>
        <w:t xml:space="preserve"> </w:t>
      </w:r>
      <w:r>
        <w:t xml:space="preserve">Think Apple keynote, not CES booth.</w:t>
      </w:r>
    </w:p>
    <w:p>
      <w:pPr>
        <w:pStyle w:val="Compact"/>
        <w:numPr>
          <w:ilvl w:val="0"/>
          <w:numId w:val="1001"/>
        </w:numPr>
      </w:pPr>
      <w:r>
        <w:rPr>
          <w:b/>
          <w:bCs/>
        </w:rPr>
        <w:t xml:space="preserve">Confident restraint.</w:t>
      </w:r>
      <w:r>
        <w:t xml:space="preserve"> </w:t>
      </w:r>
      <w:r>
        <w:t xml:space="preserve">Let the concept speak; don’t oversell with visual noise.</w:t>
      </w:r>
    </w:p>
    <w:p>
      <w:pPr>
        <w:pStyle w:val="Compact"/>
        <w:numPr>
          <w:ilvl w:val="0"/>
          <w:numId w:val="1001"/>
        </w:numPr>
      </w:pPr>
      <w:r>
        <w:rPr>
          <w:b/>
          <w:bCs/>
        </w:rPr>
        <w:t xml:space="preserve">Warm technology.</w:t>
      </w:r>
      <w:r>
        <w:t xml:space="preserve"> </w:t>
      </w:r>
      <w:r>
        <w:t xml:space="preserve">The tech should feel human, not cold. People are always the focus.</w:t>
      </w:r>
    </w:p>
    <w:bookmarkEnd w:id="18"/>
    <w:bookmarkStart w:id="19" w:name="color-palette"/>
    <w:p>
      <w:pPr>
        <w:pStyle w:val="Heading3"/>
      </w:pPr>
      <w:r>
        <w:t xml:space="preserve">Color Palette</w:t>
      </w:r>
    </w:p>
    <w:p>
      <w:pPr>
        <w:pStyle w:val="Compact"/>
        <w:numPr>
          <w:ilvl w:val="0"/>
          <w:numId w:val="1002"/>
        </w:numPr>
      </w:pPr>
      <w:r>
        <w:rPr>
          <w:b/>
          <w:bCs/>
        </w:rPr>
        <w:t xml:space="preserve">Primary:</w:t>
      </w:r>
      <w:r>
        <w:t xml:space="preserve"> </w:t>
      </w:r>
      <w:r>
        <w:t xml:space="preserve">Deep blacks, warm whites, subtle golds</w:t>
      </w:r>
    </w:p>
    <w:p>
      <w:pPr>
        <w:pStyle w:val="Compact"/>
        <w:numPr>
          <w:ilvl w:val="0"/>
          <w:numId w:val="1002"/>
        </w:numPr>
      </w:pPr>
      <w:r>
        <w:rPr>
          <w:b/>
          <w:bCs/>
        </w:rPr>
        <w:t xml:space="preserve">Accent:</w:t>
      </w:r>
      <w:r>
        <w:t xml:space="preserve"> </w:t>
      </w:r>
      <w:r>
        <w:t xml:space="preserve">Volumetric light (soft blue/purple glow from the performer)</w:t>
      </w:r>
    </w:p>
    <w:p>
      <w:pPr>
        <w:pStyle w:val="Compact"/>
        <w:numPr>
          <w:ilvl w:val="0"/>
          <w:numId w:val="1002"/>
        </w:numPr>
      </w:pPr>
      <w:r>
        <w:rPr>
          <w:b/>
          <w:bCs/>
        </w:rPr>
        <w:t xml:space="preserve">Avoid:</w:t>
      </w:r>
      <w:r>
        <w:t xml:space="preserve"> </w:t>
      </w:r>
      <w:r>
        <w:t xml:space="preserve">Neon, overly saturated colors,</w:t>
      </w:r>
      <w:r>
        <w:t xml:space="preserve"> </w:t>
      </w:r>
      <w:r>
        <w:t xml:space="preserve">“gaming”</w:t>
      </w:r>
      <w:r>
        <w:t xml:space="preserve"> </w:t>
      </w:r>
      <w:r>
        <w:t xml:space="preserve">aesthetic</w:t>
      </w:r>
    </w:p>
    <w:bookmarkEnd w:id="19"/>
    <w:bookmarkStart w:id="20" w:name="lighting"/>
    <w:p>
      <w:pPr>
        <w:pStyle w:val="Heading3"/>
      </w:pPr>
      <w:r>
        <w:t xml:space="preserve">Lighting</w:t>
      </w:r>
    </w:p>
    <w:p>
      <w:pPr>
        <w:pStyle w:val="Compact"/>
        <w:numPr>
          <w:ilvl w:val="0"/>
          <w:numId w:val="1003"/>
        </w:numPr>
      </w:pPr>
      <w:r>
        <w:rPr>
          <w:b/>
          <w:bCs/>
        </w:rPr>
        <w:t xml:space="preserve">Dramatic chiaroscuro</w:t>
      </w:r>
      <w:r>
        <w:t xml:space="preserve"> </w:t>
      </w:r>
      <w:r>
        <w:t xml:space="preserve">in the experience shots — the performer is the light source</w:t>
      </w:r>
    </w:p>
    <w:p>
      <w:pPr>
        <w:pStyle w:val="Compact"/>
        <w:numPr>
          <w:ilvl w:val="0"/>
          <w:numId w:val="1003"/>
        </w:numPr>
      </w:pPr>
      <w:r>
        <w:rPr>
          <w:b/>
          <w:bCs/>
        </w:rPr>
        <w:t xml:space="preserve">Clean and modern</w:t>
      </w:r>
      <w:r>
        <w:t xml:space="preserve"> </w:t>
      </w:r>
      <w:r>
        <w:t xml:space="preserve">in the venue/architecture shots</w:t>
      </w:r>
    </w:p>
    <w:p>
      <w:pPr>
        <w:pStyle w:val="Compact"/>
        <w:numPr>
          <w:ilvl w:val="0"/>
          <w:numId w:val="1003"/>
        </w:numPr>
      </w:pPr>
      <w:r>
        <w:rPr>
          <w:b/>
          <w:bCs/>
        </w:rPr>
        <w:t xml:space="preserve">Warm and natural</w:t>
      </w:r>
      <w:r>
        <w:t xml:space="preserve"> </w:t>
      </w:r>
      <w:r>
        <w:t xml:space="preserve">in the Miraval/home shots</w:t>
      </w:r>
    </w:p>
    <w:bookmarkEnd w:id="20"/>
    <w:bookmarkStart w:id="21" w:name="people"/>
    <w:p>
      <w:pPr>
        <w:pStyle w:val="Heading3"/>
      </w:pPr>
      <w:r>
        <w:t xml:space="preserve">People</w:t>
      </w:r>
    </w:p>
    <w:p>
      <w:pPr>
        <w:pStyle w:val="Compact"/>
        <w:numPr>
          <w:ilvl w:val="0"/>
          <w:numId w:val="1004"/>
        </w:numPr>
      </w:pPr>
      <w:r>
        <w:rPr>
          <w:b/>
          <w:bCs/>
        </w:rPr>
        <w:t xml:space="preserve">Diverse, aspirational, but grounded.</w:t>
      </w:r>
      <w:r>
        <w:t xml:space="preserve"> </w:t>
      </w:r>
      <w:r>
        <w:t xml:space="preserve">Not models — real people having a genuine experience.</w:t>
      </w:r>
    </w:p>
    <w:p>
      <w:pPr>
        <w:pStyle w:val="Compact"/>
        <w:numPr>
          <w:ilvl w:val="0"/>
          <w:numId w:val="1004"/>
        </w:numPr>
      </w:pPr>
      <w:r>
        <w:rPr>
          <w:b/>
          <w:bCs/>
        </w:rPr>
        <w:t xml:space="preserve">The performer:</w:t>
      </w:r>
      <w:r>
        <w:t xml:space="preserve"> </w:t>
      </w:r>
      <w:r>
        <w:t xml:space="preserve">Abstract or silhouette initially (avoids IP issues, keeps focus on the medium). If a real artist likeness is needed, placeholder with a recognizable but generic</w:t>
      </w:r>
      <w:r>
        <w:t xml:space="preserve"> </w:t>
      </w:r>
      <w:r>
        <w:t xml:space="preserve">“star”</w:t>
      </w:r>
      <w:r>
        <w:t xml:space="preserve"> </w:t>
      </w:r>
      <w:r>
        <w:t xml:space="preserve">presence.</w:t>
      </w:r>
    </w:p>
    <w:bookmarkEnd w:id="21"/>
    <w:bookmarkStart w:id="22" w:name="technical-renders"/>
    <w:p>
      <w:pPr>
        <w:pStyle w:val="Heading3"/>
      </w:pPr>
      <w:r>
        <w:t xml:space="preserve">Technical Renders</w:t>
      </w:r>
    </w:p>
    <w:p>
      <w:pPr>
        <w:pStyle w:val="Compact"/>
        <w:numPr>
          <w:ilvl w:val="0"/>
          <w:numId w:val="1005"/>
        </w:numPr>
      </w:pPr>
      <w:r>
        <w:rPr>
          <w:b/>
          <w:bCs/>
        </w:rPr>
        <w:t xml:space="preserve">The Gaussian Cloud:</w:t>
      </w:r>
      <w:r>
        <w:t xml:space="preserve"> </w:t>
      </w:r>
      <w:r>
        <w:t xml:space="preserve">Should look beautiful, not clinical. Think data-as-art.</w:t>
      </w:r>
    </w:p>
    <w:p>
      <w:pPr>
        <w:pStyle w:val="Compact"/>
        <w:numPr>
          <w:ilvl w:val="0"/>
          <w:numId w:val="1005"/>
        </w:numPr>
      </w:pPr>
      <w:r>
        <w:rPr>
          <w:b/>
          <w:bCs/>
        </w:rPr>
        <w:t xml:space="preserve">The Server Room:</w:t>
      </w:r>
      <w:r>
        <w:t xml:space="preserve"> </w:t>
      </w:r>
      <w:r>
        <w:t xml:space="preserve">Clean, powerful, slightly awe-inspiring. Not messy or industrial.</w:t>
      </w:r>
    </w:p>
    <w:p>
      <w:r>
        <w:pict>
          <v:rect style="width:0;height:1.5pt" o:hralign="center" o:hrstd="t" o:hr="t"/>
        </w:pict>
      </w:r>
    </w:p>
    <w:bookmarkEnd w:id="22"/>
    <w:bookmarkEnd w:id="23"/>
    <w:bookmarkStart w:id="24" w:name="deliverables-summary"/>
    <w:p>
      <w:pPr>
        <w:pStyle w:val="Heading2"/>
      </w:pPr>
      <w:r>
        <w:t xml:space="preserve">Deliverables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Quantity</w:t>
            </w:r>
          </w:p>
        </w:tc>
        <w:tc>
          <w:tcPr/>
          <w:p>
            <w:pPr>
              <w:pStyle w:val="Compact"/>
            </w:pPr>
            <w:r>
              <w:t xml:space="preserve">Format</w:t>
            </w:r>
          </w:p>
        </w:tc>
      </w:tr>
      <w:tr>
        <w:tc>
          <w:tcPr/>
          <w:p>
            <w:pPr>
              <w:pStyle w:val="Compact"/>
            </w:pPr>
            <w:r>
              <w:t xml:space="preserve">Hero image (Shot #1)</w:t>
            </w:r>
          </w:p>
        </w:tc>
        <w:tc>
          <w:tcPr/>
          <w:p>
            <w:pPr>
              <w:pStyle w:val="Compact"/>
            </w:pPr>
            <w:r>
              <w:t xml:space="preserve">1</w:t>
            </w:r>
          </w:p>
        </w:tc>
        <w:tc>
          <w:tcPr/>
          <w:p>
            <w:pPr>
              <w:pStyle w:val="Compact"/>
            </w:pPr>
            <w:r>
              <w:t xml:space="preserve">High-res (4K+), 16:9</w:t>
            </w:r>
          </w:p>
        </w:tc>
      </w:tr>
      <w:tr>
        <w:tc>
          <w:tcPr/>
          <w:p>
            <w:pPr>
              <w:pStyle w:val="Compact"/>
            </w:pPr>
            <w:r>
              <w:t xml:space="preserve">Supporting images (#2–#15)</w:t>
            </w:r>
          </w:p>
        </w:tc>
        <w:tc>
          <w:tcPr/>
          <w:p>
            <w:pPr>
              <w:pStyle w:val="Compact"/>
            </w:pPr>
            <w:r>
              <w:t xml:space="preserve">14</w:t>
            </w:r>
          </w:p>
        </w:tc>
        <w:tc>
          <w:tcPr/>
          <w:p>
            <w:pPr>
              <w:pStyle w:val="Compact"/>
            </w:pPr>
            <w:r>
              <w:t xml:space="preserve">High-res (4K+), 16:9</w:t>
            </w:r>
          </w:p>
        </w:tc>
      </w:tr>
      <w:tr>
        <w:tc>
          <w:tcPr/>
          <w:p>
            <w:pPr>
              <w:pStyle w:val="Compact"/>
            </w:pPr>
            <w:r>
              <w:t xml:space="preserve">Sizzle reel video</w:t>
            </w:r>
          </w:p>
        </w:tc>
        <w:tc>
          <w:tcPr/>
          <w:p>
            <w:pPr>
              <w:pStyle w:val="Compact"/>
            </w:pPr>
            <w:r>
              <w:t xml:space="preserve">1</w:t>
            </w:r>
          </w:p>
        </w:tc>
        <w:tc>
          <w:tcPr/>
          <w:p>
            <w:pPr>
              <w:pStyle w:val="Compact"/>
            </w:pPr>
            <w:r>
              <w:t xml:space="preserve">60–90 sec, 4K, 24fps</w:t>
            </w:r>
          </w:p>
        </w:tc>
      </w:tr>
      <w:tr>
        <w:tc>
          <w:tcPr/>
          <w:p>
            <w:pPr>
              <w:pStyle w:val="Compact"/>
            </w:pPr>
            <w:r>
              <w:t xml:space="preserve">Logo lockup</w:t>
            </w:r>
          </w:p>
        </w:tc>
        <w:tc>
          <w:tcPr/>
          <w:p>
            <w:pPr>
              <w:pStyle w:val="Compact"/>
            </w:pPr>
            <w:r>
              <w:t xml:space="preserve">1</w:t>
            </w:r>
          </w:p>
        </w:tc>
        <w:tc>
          <w:tcPr/>
          <w:p>
            <w:pPr>
              <w:pStyle w:val="Compact"/>
            </w:pPr>
            <w:r>
              <w:t xml:space="preserve">Vector + PNG (transparent)</w:t>
            </w:r>
          </w:p>
        </w:tc>
      </w:tr>
    </w:tbl>
    <w:p>
      <w:r>
        <w:pict>
          <v:rect style="width:0;height:1.5pt" o:hralign="center" o:hrstd="t" o:hr="t"/>
        </w:pict>
      </w:r>
    </w:p>
    <w:bookmarkEnd w:id="24"/>
    <w:bookmarkStart w:id="25" w:name="open-questions"/>
    <w:p>
      <w:pPr>
        <w:pStyle w:val="Heading2"/>
      </w:pPr>
      <w:r>
        <w:t xml:space="preserve">Open Questions</w:t>
      </w:r>
    </w:p>
    <w:p>
      <w:pPr>
        <w:numPr>
          <w:ilvl w:val="0"/>
          <w:numId w:val="1006"/>
        </w:numPr>
      </w:pPr>
      <w:r>
        <w:rPr>
          <w:b/>
          <w:bCs/>
        </w:rPr>
        <w:t xml:space="preserve">Artist representation:</w:t>
      </w:r>
      <w:r>
        <w:t xml:space="preserve"> </w:t>
      </w:r>
      <w:r>
        <w:t xml:space="preserve">Do we use an abstract/silhouette performer, or attempt a realistic (but generic) artist likeness? Silhouette is safer for IP and keeps focus on the medium.</w:t>
      </w:r>
    </w:p>
    <w:p>
      <w:pPr>
        <w:numPr>
          <w:ilvl w:val="0"/>
          <w:numId w:val="1006"/>
        </w:numPr>
      </w:pPr>
      <w:r>
        <w:rPr>
          <w:b/>
          <w:bCs/>
        </w:rPr>
        <w:t xml:space="preserve">Steam Frame depiction:</w:t>
      </w:r>
      <w:r>
        <w:t xml:space="preserve"> </w:t>
      </w:r>
      <w:r>
        <w:t xml:space="preserve">Do we have access to official renders/photos of the Steam Frame, or do we create a plausible stand-in headset design?</w:t>
      </w:r>
    </w:p>
    <w:p>
      <w:pPr>
        <w:numPr>
          <w:ilvl w:val="0"/>
          <w:numId w:val="1006"/>
        </w:numPr>
      </w:pPr>
      <w:r>
        <w:rPr>
          <w:b/>
          <w:bCs/>
        </w:rPr>
        <w:t xml:space="preserve">Venue location:</w:t>
      </w:r>
      <w:r>
        <w:t xml:space="preserve"> </w:t>
      </w:r>
      <w:r>
        <w:t xml:space="preserve">For the flagship exterior, do we render a specific real-world location (Area15, a London site) or a generic</w:t>
      </w:r>
      <w:r>
        <w:t xml:space="preserve"> </w:t>
      </w:r>
      <w:r>
        <w:t xml:space="preserve">“premium entertainment district”</w:t>
      </w:r>
      <w:r>
        <w:t xml:space="preserve">?</w:t>
      </w:r>
    </w:p>
    <w:p>
      <w:pPr>
        <w:numPr>
          <w:ilvl w:val="0"/>
          <w:numId w:val="1006"/>
        </w:numPr>
      </w:pPr>
      <w:r>
        <w:rPr>
          <w:b/>
          <w:bCs/>
        </w:rPr>
        <w:t xml:space="preserve">Music:</w:t>
      </w:r>
      <w:r>
        <w:t xml:space="preserve"> </w:t>
      </w:r>
      <w:r>
        <w:t xml:space="preserve">Will the video have licensed music, original composition, or a placeholder track for the pitch version?</w:t>
      </w:r>
    </w:p>
    <w:p>
      <w:r>
        <w:pict>
          <v:rect style="width:0;height:1.5pt" o:hralign="center" o:hrstd="t" o:hr="t"/>
        </w:pict>
      </w:r>
    </w:p>
    <w:p>
      <w:pPr>
        <w:pStyle w:val="FirstParagraph"/>
      </w:pPr>
      <w:r>
        <w:rPr>
          <w:i/>
          <w:iCs/>
        </w:rPr>
        <w:t xml:space="preserve">This document is part of the vZero Strategic Document Suite. See also: Vision &amp; Market Opportunity, Technical Architecture, Business Model, Execution Roadmap.</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2026-02-17T05:05:59Z</dcterms:created>
  <dcterms:modified xsi:type="dcterms:W3CDTF">2026-02-17T05:05:59Z</dcterms:modified>
</cp:coreProperties>
</file>

<file path=docProps/custom.xml><?xml version="1.0" encoding="utf-8"?>
<Properties xmlns="http://schemas.openxmlformats.org/officeDocument/2006/custom-properties" xmlns:vt="http://schemas.openxmlformats.org/officeDocument/2006/docPropsVTypes"/>
</file>