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 (10)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RFID tags shall be compatible with the RFID scanner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RFID scanner shall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read RFID tags with a minimum separation distance of 10 centimeters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and not more than 20 meters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RFID tags shall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transmit a unique identification signal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TriageTag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shall come with at least 1 mobile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TriageTag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shall come with at least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RFID scanner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local copy of  the master database shall be loaded onto each TriageTag mobile device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master database shall synchronize information with local databases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mobile device shall run the client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server shall run the server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client application shall have user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The server application shall have user authentication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mobile device shall operate using an internal rechargeable battery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The mobile device shall be equipped with externally accessible recharging port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The mobile device shall display a user interface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The user interface shall allow the operator to access the local database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530" w:hanging="45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user interface shall allow the operator to initiate the synchronization process   between the local database and master database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530" w:hanging="45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mobile device shall be compatible with the RFID scanner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(5)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RFID tag will maintain full functionality in temperatures ranging from -20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ºF to 180ºF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RFID tag will have an Ingress Protection Rating (IP) of 55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RFID tag will be passive-energized by RFID scanner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RFID tag will be maximum of 5 centimeters long, 5 centimeters wide, and 2 centimeters thick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database will be able to manage more than 100 personnel records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and not more than 200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Non-Technical (5)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 aspects of the system will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conform to the Health Insurance Portability and Accountability Act (HIPAA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RFID tag and scanner will conform to all Federal Communications Commission (FCC) radio spectrum allocation regulations for RFID devices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client application will be deployable on an open source operating system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TriageTag system will employ commercial off the shelf components (COTS)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 medical records will be encrypted according to the AES 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TriageTag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system will conform to HIPAA Security Rule 45 C.F.R. §§ 160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TriageTag system will conform to HIPAA Security Rule 45 C.F.R. §§ 162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TriageTag system will conform to HIPAA Security Rule 45 C.F.R. §§ 164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TriageTag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system will conform to IEEE Standard 1451.7-2010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TriageTag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system will conform to IEEE Standard 11073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Advanced Encryption Standard (AES)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Transmission Control Protocol (TCP)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