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B988E" w14:textId="77777777" w:rsidR="006C66ED" w:rsidRPr="006C66ED" w:rsidRDefault="006C66ED" w:rsidP="006C66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2"/>
          <w:szCs w:val="32"/>
        </w:rPr>
      </w:pPr>
      <w:r w:rsidRPr="006C66ED">
        <w:rPr>
          <w:rFonts w:ascii="Times New Roman" w:hAnsi="Times New Roman" w:cs="Times New Roman"/>
          <w:b/>
          <w:bCs/>
          <w:color w:val="000000"/>
          <w:sz w:val="32"/>
          <w:szCs w:val="32"/>
        </w:rPr>
        <w:t xml:space="preserve">CEG 4981: Team Projects II </w:t>
      </w:r>
    </w:p>
    <w:p w14:paraId="46185E4C" w14:textId="77777777" w:rsidR="006C66ED" w:rsidRPr="006C66ED" w:rsidRDefault="006C66ED" w:rsidP="006C66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2"/>
          <w:szCs w:val="32"/>
        </w:rPr>
      </w:pPr>
      <w:r w:rsidRPr="006C66ED">
        <w:rPr>
          <w:rFonts w:ascii="Times New Roman" w:hAnsi="Times New Roman" w:cs="Times New Roman"/>
          <w:b/>
          <w:bCs/>
          <w:color w:val="000000"/>
          <w:sz w:val="32"/>
          <w:szCs w:val="32"/>
        </w:rPr>
        <w:t>EE 4920: Senior Design II</w:t>
      </w:r>
    </w:p>
    <w:p w14:paraId="33ADA09A" w14:textId="77777777" w:rsidR="00385313" w:rsidRDefault="00385313" w:rsidP="00E7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Guidelines for Critical Design Review</w:t>
      </w:r>
    </w:p>
    <w:p w14:paraId="75E4AC82" w14:textId="60BAF627" w:rsidR="00E75DB5" w:rsidRDefault="00E75DB5" w:rsidP="00E75D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2"/>
          <w:szCs w:val="32"/>
        </w:rPr>
      </w:pPr>
    </w:p>
    <w:p w14:paraId="26F6FB0E" w14:textId="77777777" w:rsidR="00385313" w:rsidRDefault="00385313" w:rsidP="00385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The CDR is a detailed technical review presented to the class to ensure that the system under review can proceed into system fabrication, demonstration, and test; and can meet the stated performance requirements The CDR presentations must accomplish the following:</w:t>
      </w:r>
    </w:p>
    <w:p w14:paraId="6C0A0A05" w14:textId="45B70ABD" w:rsidR="00385313" w:rsidRPr="00A20C2E" w:rsidRDefault="00385313" w:rsidP="00A20C2E">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A20C2E">
        <w:rPr>
          <w:rFonts w:ascii="Times New Roman" w:hAnsi="Times New Roman" w:cs="Times New Roman"/>
          <w:color w:val="000000"/>
        </w:rPr>
        <w:t>Provide a brief restatement of the problem to orient the audience</w:t>
      </w:r>
    </w:p>
    <w:p w14:paraId="582F5C06" w14:textId="07A5ED59" w:rsidR="00385313" w:rsidRDefault="00385313" w:rsidP="00A20C2E">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A20C2E">
        <w:rPr>
          <w:rFonts w:ascii="Times New Roman" w:hAnsi="Times New Roman" w:cs="Times New Roman"/>
          <w:color w:val="000000"/>
        </w:rPr>
        <w:t>Provid</w:t>
      </w:r>
      <w:r w:rsidR="00A20C2E">
        <w:rPr>
          <w:rFonts w:ascii="Times New Roman" w:hAnsi="Times New Roman" w:cs="Times New Roman"/>
          <w:color w:val="000000"/>
        </w:rPr>
        <w:t>e a description of work to date</w:t>
      </w:r>
    </w:p>
    <w:p w14:paraId="04929D37" w14:textId="1FC7A1A5" w:rsidR="00A20C2E" w:rsidRPr="00A20C2E" w:rsidRDefault="00A20C2E" w:rsidP="00A20C2E">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Explicit description of requirements, constraints, and design standards</w:t>
      </w:r>
    </w:p>
    <w:p w14:paraId="2BEA35E9" w14:textId="5AA09E76" w:rsidR="00385313" w:rsidRDefault="00385313" w:rsidP="00A20C2E">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A20C2E">
        <w:rPr>
          <w:rFonts w:ascii="Times New Roman" w:hAnsi="Times New Roman" w:cs="Times New Roman"/>
          <w:color w:val="000000"/>
        </w:rPr>
        <w:t>Provide detail design, alon</w:t>
      </w:r>
      <w:r w:rsidR="00A20C2E">
        <w:rPr>
          <w:rFonts w:ascii="Times New Roman" w:hAnsi="Times New Roman" w:cs="Times New Roman"/>
          <w:color w:val="000000"/>
        </w:rPr>
        <w:t>g with analysis and explanation</w:t>
      </w:r>
    </w:p>
    <w:p w14:paraId="7E2132A3" w14:textId="6924931E" w:rsidR="00A20C2E" w:rsidRPr="00A20C2E" w:rsidRDefault="00A20C2E" w:rsidP="00A20C2E">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Notional outline of a test plan so that each requirement is demonstrably verified </w:t>
      </w:r>
    </w:p>
    <w:p w14:paraId="5322FC6B" w14:textId="432B54A3" w:rsidR="00385313" w:rsidRPr="00A20C2E" w:rsidRDefault="00385313" w:rsidP="00A20C2E">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A20C2E">
        <w:rPr>
          <w:rFonts w:ascii="Times New Roman" w:hAnsi="Times New Roman" w:cs="Times New Roman"/>
          <w:color w:val="000000"/>
        </w:rPr>
        <w:t>Explicitly state – in detail – two milestones</w:t>
      </w:r>
      <w:r w:rsidR="00A20C2E">
        <w:rPr>
          <w:rFonts w:ascii="Times New Roman" w:hAnsi="Times New Roman" w:cs="Times New Roman"/>
          <w:color w:val="000000"/>
        </w:rPr>
        <w:t xml:space="preserve"> that will demonstrate progress</w:t>
      </w:r>
    </w:p>
    <w:p w14:paraId="58021EC8" w14:textId="77777777" w:rsidR="00E75DB5" w:rsidRDefault="00E75DB5" w:rsidP="00385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003A675F" w14:textId="256BABA6" w:rsidR="00385313" w:rsidRDefault="00A20C2E" w:rsidP="00385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Procedures</w:t>
      </w:r>
    </w:p>
    <w:p w14:paraId="5B9C5A76" w14:textId="402B4BC0" w:rsidR="00385313" w:rsidRPr="00F87EC6" w:rsidRDefault="00A20C2E" w:rsidP="00F87EC6">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 xml:space="preserve">Briefings </w:t>
      </w:r>
      <w:r w:rsidR="00385313" w:rsidRPr="00F87EC6">
        <w:rPr>
          <w:rFonts w:ascii="Times New Roman" w:hAnsi="Times New Roman" w:cs="Times New Roman"/>
          <w:color w:val="000000"/>
        </w:rPr>
        <w:t xml:space="preserve">are </w:t>
      </w:r>
      <w:r w:rsidR="006C66ED">
        <w:rPr>
          <w:rFonts w:ascii="Times New Roman" w:hAnsi="Times New Roman" w:cs="Times New Roman"/>
          <w:color w:val="000000"/>
        </w:rPr>
        <w:t>limited to 20 minutes (</w:t>
      </w:r>
      <w:r w:rsidR="00A764B8">
        <w:rPr>
          <w:rFonts w:ascii="Times New Roman" w:hAnsi="Times New Roman" w:cs="Times New Roman"/>
          <w:color w:val="000000"/>
        </w:rPr>
        <w:t>in absence of</w:t>
      </w:r>
      <w:r w:rsidRPr="00F87EC6">
        <w:rPr>
          <w:rFonts w:ascii="Times New Roman" w:hAnsi="Times New Roman" w:cs="Times New Roman"/>
          <w:color w:val="000000"/>
        </w:rPr>
        <w:t xml:space="preserve"> questions).</w:t>
      </w:r>
    </w:p>
    <w:p w14:paraId="6A31E082" w14:textId="77777777" w:rsidR="00A20C2E" w:rsidRPr="00F87EC6" w:rsidRDefault="00A20C2E" w:rsidP="00F87EC6">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Briefing materials are to be provided to instructors p</w:t>
      </w:r>
      <w:r w:rsidR="00385313" w:rsidRPr="00F87EC6">
        <w:rPr>
          <w:rFonts w:ascii="Times New Roman" w:hAnsi="Times New Roman" w:cs="Times New Roman"/>
          <w:color w:val="000000"/>
        </w:rPr>
        <w:t>rior to class</w:t>
      </w:r>
      <w:r w:rsidRPr="00F87EC6">
        <w:rPr>
          <w:rFonts w:ascii="Times New Roman" w:hAnsi="Times New Roman" w:cs="Times New Roman"/>
          <w:color w:val="000000"/>
        </w:rPr>
        <w:t>.</w:t>
      </w:r>
    </w:p>
    <w:p w14:paraId="0CE9604C" w14:textId="75C5C6AD" w:rsidR="00385313" w:rsidRPr="00F87EC6" w:rsidRDefault="00385313" w:rsidP="00F87EC6">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All members of the team are expected to take an</w:t>
      </w:r>
      <w:r w:rsidR="00A764B8">
        <w:rPr>
          <w:rFonts w:ascii="Times New Roman" w:hAnsi="Times New Roman" w:cs="Times New Roman"/>
          <w:color w:val="000000"/>
        </w:rPr>
        <w:t xml:space="preserve"> active role in the briefing</w:t>
      </w:r>
      <w:r w:rsidRPr="00F87EC6">
        <w:rPr>
          <w:rFonts w:ascii="Times New Roman" w:hAnsi="Times New Roman" w:cs="Times New Roman"/>
          <w:color w:val="000000"/>
        </w:rPr>
        <w:t>.</w:t>
      </w:r>
    </w:p>
    <w:p w14:paraId="7E6C874F" w14:textId="47142DD3" w:rsidR="00A20C2E" w:rsidRPr="00F87EC6" w:rsidRDefault="00A20C2E" w:rsidP="00F87EC6">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Questions concerning any particular aspect of the design may be directed to any member of the team, i.e., every member of the team must be able to answer any question about any aspect of the design.</w:t>
      </w:r>
    </w:p>
    <w:p w14:paraId="418767DE" w14:textId="77777777" w:rsidR="00F87EC6" w:rsidRDefault="00F87EC6" w:rsidP="00385313">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 xml:space="preserve">Briefings </w:t>
      </w:r>
      <w:r w:rsidR="00385313" w:rsidRPr="00F87EC6">
        <w:rPr>
          <w:rFonts w:ascii="Times New Roman" w:hAnsi="Times New Roman" w:cs="Times New Roman"/>
          <w:color w:val="000000"/>
        </w:rPr>
        <w:t>should be professionally presented and well</w:t>
      </w:r>
      <w:r w:rsidRPr="00F87EC6">
        <w:rPr>
          <w:rFonts w:ascii="Times New Roman" w:hAnsi="Times New Roman" w:cs="Times New Roman"/>
          <w:color w:val="000000"/>
        </w:rPr>
        <w:t>-</w:t>
      </w:r>
      <w:r w:rsidR="00385313" w:rsidRPr="00F87EC6">
        <w:rPr>
          <w:rFonts w:ascii="Times New Roman" w:hAnsi="Times New Roman" w:cs="Times New Roman"/>
          <w:color w:val="000000"/>
        </w:rPr>
        <w:t>rehearsed.</w:t>
      </w:r>
    </w:p>
    <w:p w14:paraId="15424282" w14:textId="47303341" w:rsidR="00F87EC6" w:rsidRDefault="00385313" w:rsidP="00385313">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 xml:space="preserve">The CDR will be peer </w:t>
      </w:r>
      <w:r w:rsidR="00F87EC6">
        <w:rPr>
          <w:rFonts w:ascii="Times New Roman" w:hAnsi="Times New Roman" w:cs="Times New Roman"/>
          <w:color w:val="000000"/>
        </w:rPr>
        <w:t xml:space="preserve">and instructor </w:t>
      </w:r>
      <w:r w:rsidRPr="00F87EC6">
        <w:rPr>
          <w:rFonts w:ascii="Times New Roman" w:hAnsi="Times New Roman" w:cs="Times New Roman"/>
          <w:color w:val="000000"/>
        </w:rPr>
        <w:t xml:space="preserve">reviewed. </w:t>
      </w:r>
    </w:p>
    <w:p w14:paraId="1A0CE04C" w14:textId="3D9B4E28" w:rsidR="00F87EC6" w:rsidRPr="00F87EC6" w:rsidRDefault="00F87EC6" w:rsidP="00F87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 xml:space="preserve"> </w:t>
      </w:r>
    </w:p>
    <w:p w14:paraId="135466CF" w14:textId="5597BAA8" w:rsidR="00385313" w:rsidRPr="00F87EC6" w:rsidRDefault="00385313" w:rsidP="00F87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b/>
          <w:bCs/>
          <w:color w:val="000000"/>
        </w:rPr>
        <w:t xml:space="preserve">CDR </w:t>
      </w:r>
      <w:r w:rsidR="00F87EC6">
        <w:rPr>
          <w:rFonts w:ascii="Times New Roman" w:hAnsi="Times New Roman" w:cs="Times New Roman"/>
          <w:b/>
          <w:bCs/>
          <w:color w:val="000000"/>
        </w:rPr>
        <w:t>Briefing Outline</w:t>
      </w:r>
    </w:p>
    <w:p w14:paraId="5D3E9351" w14:textId="77777777" w:rsidR="00F87EC6" w:rsidRDefault="00385313" w:rsidP="00F87EC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 xml:space="preserve">Brief review of project objectives and purpose </w:t>
      </w:r>
    </w:p>
    <w:p w14:paraId="27F8DD28" w14:textId="621F7F1A" w:rsidR="00385313" w:rsidRPr="00F87EC6" w:rsidRDefault="00385313" w:rsidP="00F87EC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Outline of the approach:</w:t>
      </w:r>
    </w:p>
    <w:p w14:paraId="114905BA" w14:textId="2EFF7626" w:rsidR="00385313" w:rsidRPr="00F87EC6" w:rsidRDefault="00F87EC6" w:rsidP="00F87EC6">
      <w:pPr>
        <w:pStyle w:val="ListParagraph"/>
        <w:widowControl w:val="0"/>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385313" w:rsidRPr="00F87EC6">
        <w:rPr>
          <w:rFonts w:ascii="Times New Roman" w:hAnsi="Times New Roman" w:cs="Times New Roman"/>
          <w:color w:val="000000"/>
        </w:rPr>
        <w:t>Provide a system block diagram with a functional description of parts and interfaces</w:t>
      </w:r>
    </w:p>
    <w:p w14:paraId="6D5BF3E4" w14:textId="37CC0370" w:rsidR="00F87EC6" w:rsidRDefault="00F87EC6" w:rsidP="00F87EC6">
      <w:pPr>
        <w:pStyle w:val="ListParagraph"/>
        <w:widowControl w:val="0"/>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385313" w:rsidRPr="00F87EC6">
        <w:rPr>
          <w:rFonts w:ascii="Times New Roman" w:hAnsi="Times New Roman" w:cs="Times New Roman"/>
          <w:color w:val="000000"/>
        </w:rPr>
        <w:t xml:space="preserve">Discuss key technologies that will be required to implement </w:t>
      </w:r>
      <w:r>
        <w:rPr>
          <w:rFonts w:ascii="Times New Roman" w:hAnsi="Times New Roman" w:cs="Times New Roman"/>
          <w:color w:val="000000"/>
        </w:rPr>
        <w:t>subsystems</w:t>
      </w:r>
      <w:r w:rsidR="00385313" w:rsidRPr="00F87EC6">
        <w:rPr>
          <w:rFonts w:ascii="Times New Roman" w:hAnsi="Times New Roman" w:cs="Times New Roman"/>
          <w:color w:val="000000"/>
        </w:rPr>
        <w:t xml:space="preserve">. </w:t>
      </w:r>
    </w:p>
    <w:p w14:paraId="396D5AE8" w14:textId="49C87ABC" w:rsidR="00385313" w:rsidRPr="00F87EC6" w:rsidRDefault="00385313" w:rsidP="00F87EC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Implementation of the System</w:t>
      </w:r>
    </w:p>
    <w:p w14:paraId="334541CF" w14:textId="1956E319" w:rsidR="00385313" w:rsidRPr="00F87EC6" w:rsidRDefault="00F87EC6" w:rsidP="00F87EC6">
      <w:pPr>
        <w:pStyle w:val="ListParagraph"/>
        <w:widowControl w:val="0"/>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385313" w:rsidRPr="00F87EC6">
        <w:rPr>
          <w:rFonts w:ascii="Times New Roman" w:hAnsi="Times New Roman" w:cs="Times New Roman"/>
          <w:color w:val="000000"/>
        </w:rPr>
        <w:t>Provide specifications and detailed design of each subassembly</w:t>
      </w:r>
    </w:p>
    <w:p w14:paraId="02FA7FA4" w14:textId="3552EB5B" w:rsidR="00385313" w:rsidRPr="00F87EC6" w:rsidRDefault="00F87EC6" w:rsidP="00F87EC6">
      <w:pPr>
        <w:pStyle w:val="ListParagraph"/>
        <w:widowControl w:val="0"/>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385313" w:rsidRPr="00F87EC6">
        <w:rPr>
          <w:rFonts w:ascii="Times New Roman" w:hAnsi="Times New Roman" w:cs="Times New Roman"/>
          <w:color w:val="000000"/>
        </w:rPr>
        <w:t>Description of software processes with their inputs and outputs</w:t>
      </w:r>
    </w:p>
    <w:p w14:paraId="766B7825" w14:textId="77777777" w:rsidR="00F87EC6" w:rsidRDefault="00F87EC6" w:rsidP="00F87EC6">
      <w:pPr>
        <w:pStyle w:val="ListParagraph"/>
        <w:widowControl w:val="0"/>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385313" w:rsidRPr="00F87EC6">
        <w:rPr>
          <w:rFonts w:ascii="Times New Roman" w:hAnsi="Times New Roman" w:cs="Times New Roman"/>
          <w:color w:val="000000"/>
        </w:rPr>
        <w:t xml:space="preserve">Describe any test results or simulations of the completed parts of the system </w:t>
      </w:r>
    </w:p>
    <w:p w14:paraId="5EFF5718" w14:textId="13ED0AEC" w:rsidR="00385313" w:rsidRPr="00F87EC6" w:rsidRDefault="00385313" w:rsidP="00F87EC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Schedule:</w:t>
      </w:r>
    </w:p>
    <w:p w14:paraId="70E29734" w14:textId="77777777" w:rsidR="00016A9D" w:rsidRDefault="00F87EC6" w:rsidP="00F87EC6">
      <w:pPr>
        <w:pStyle w:val="ListParagraph"/>
        <w:widowControl w:val="0"/>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385313" w:rsidRPr="00F87EC6">
        <w:rPr>
          <w:rFonts w:ascii="Times New Roman" w:hAnsi="Times New Roman" w:cs="Times New Roman"/>
          <w:color w:val="000000"/>
        </w:rPr>
        <w:t xml:space="preserve">Updated detailed schedule with planned deliverables for Milestone 1, Milestone 2, and the final demonstration. </w:t>
      </w:r>
    </w:p>
    <w:p w14:paraId="04BD2D7C" w14:textId="1BD05C4B" w:rsidR="00385313" w:rsidRPr="00F87EC6" w:rsidRDefault="00016A9D" w:rsidP="00F87EC6">
      <w:pPr>
        <w:pStyle w:val="ListParagraph"/>
        <w:widowControl w:val="0"/>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385313" w:rsidRPr="00F87EC6">
        <w:rPr>
          <w:rFonts w:ascii="Times New Roman" w:hAnsi="Times New Roman" w:cs="Times New Roman"/>
          <w:color w:val="000000"/>
        </w:rPr>
        <w:t>Be specific on what you will demonstrate for these milestones.</w:t>
      </w:r>
    </w:p>
    <w:p w14:paraId="68869887" w14:textId="23716EA2" w:rsidR="00385313" w:rsidRPr="00F87EC6" w:rsidRDefault="00016A9D" w:rsidP="00016A9D">
      <w:pPr>
        <w:pStyle w:val="ListParagraph"/>
        <w:widowControl w:val="0"/>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385313" w:rsidRPr="00F87EC6">
        <w:rPr>
          <w:rFonts w:ascii="Times New Roman" w:hAnsi="Times New Roman" w:cs="Times New Roman"/>
          <w:color w:val="000000"/>
        </w:rPr>
        <w:t>Describe or list the current status of items/subsystems</w:t>
      </w:r>
      <w:r w:rsidR="00F87EC6">
        <w:rPr>
          <w:rFonts w:ascii="Times New Roman" w:hAnsi="Times New Roman" w:cs="Times New Roman"/>
          <w:color w:val="000000"/>
        </w:rPr>
        <w:t xml:space="preserve">: </w:t>
      </w:r>
      <w:r w:rsidR="00385313" w:rsidRPr="00F87EC6">
        <w:rPr>
          <w:rFonts w:ascii="Times New Roman" w:hAnsi="Times New Roman" w:cs="Times New Roman"/>
          <w:color w:val="000000"/>
        </w:rPr>
        <w:t>Which items have been completed?</w:t>
      </w:r>
    </w:p>
    <w:p w14:paraId="0E9672E0" w14:textId="22C3DC79" w:rsidR="00385313" w:rsidRPr="00F87EC6" w:rsidRDefault="00385313" w:rsidP="00F87EC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Significant challenges of this project</w:t>
      </w:r>
    </w:p>
    <w:p w14:paraId="1A0ECB00" w14:textId="77777777" w:rsidR="00016A9D" w:rsidRDefault="00016A9D" w:rsidP="00016A9D">
      <w:pPr>
        <w:pStyle w:val="ListParagraph"/>
        <w:widowControl w:val="0"/>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385313" w:rsidRPr="00F87EC6">
        <w:rPr>
          <w:rFonts w:ascii="Times New Roman" w:hAnsi="Times New Roman" w:cs="Times New Roman"/>
          <w:color w:val="000000"/>
        </w:rPr>
        <w:t xml:space="preserve">Identify issues found to be particularly challenging. </w:t>
      </w:r>
    </w:p>
    <w:p w14:paraId="564298E0" w14:textId="27F881ED" w:rsidR="00F87EC6" w:rsidRDefault="00016A9D" w:rsidP="00016A9D">
      <w:pPr>
        <w:pStyle w:val="ListParagraph"/>
        <w:widowControl w:val="0"/>
        <w:numPr>
          <w:ilvl w:val="1"/>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385313" w:rsidRPr="00F87EC6">
        <w:rPr>
          <w:rFonts w:ascii="Times New Roman" w:hAnsi="Times New Roman" w:cs="Times New Roman"/>
          <w:color w:val="000000"/>
        </w:rPr>
        <w:t>Describe your solution to these issues.</w:t>
      </w:r>
    </w:p>
    <w:p w14:paraId="16DEACDE" w14:textId="5E351A40" w:rsidR="00F87EC6" w:rsidRDefault="00385313" w:rsidP="00F87EC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 xml:space="preserve">All required parts identified </w:t>
      </w:r>
      <w:r w:rsidR="00A764B8">
        <w:rPr>
          <w:rFonts w:ascii="Times New Roman" w:hAnsi="Times New Roman" w:cs="Times New Roman"/>
          <w:color w:val="000000"/>
        </w:rPr>
        <w:t xml:space="preserve">and costed </w:t>
      </w:r>
      <w:r w:rsidRPr="00F87EC6">
        <w:rPr>
          <w:rFonts w:ascii="Times New Roman" w:hAnsi="Times New Roman" w:cs="Times New Roman"/>
          <w:color w:val="000000"/>
        </w:rPr>
        <w:t>(</w:t>
      </w:r>
      <w:r w:rsidR="00F87EC6">
        <w:rPr>
          <w:rFonts w:ascii="Times New Roman" w:hAnsi="Times New Roman" w:cs="Times New Roman"/>
          <w:color w:val="000000"/>
        </w:rPr>
        <w:t xml:space="preserve">domestic </w:t>
      </w:r>
      <w:r w:rsidRPr="00F87EC6">
        <w:rPr>
          <w:rFonts w:ascii="Times New Roman" w:hAnsi="Times New Roman" w:cs="Times New Roman"/>
          <w:color w:val="000000"/>
        </w:rPr>
        <w:t xml:space="preserve">vendors identified with </w:t>
      </w:r>
      <w:r w:rsidR="00F87EC6">
        <w:rPr>
          <w:rFonts w:ascii="Times New Roman" w:hAnsi="Times New Roman" w:cs="Times New Roman"/>
          <w:color w:val="000000"/>
        </w:rPr>
        <w:t>current</w:t>
      </w:r>
      <w:r w:rsidRPr="00F87EC6">
        <w:rPr>
          <w:rFonts w:ascii="Times New Roman" w:hAnsi="Times New Roman" w:cs="Times New Roman"/>
          <w:color w:val="000000"/>
        </w:rPr>
        <w:t xml:space="preserve"> </w:t>
      </w:r>
      <w:bookmarkStart w:id="0" w:name="_GoBack"/>
      <w:bookmarkEnd w:id="0"/>
      <w:r w:rsidRPr="00F87EC6">
        <w:rPr>
          <w:rFonts w:ascii="Times New Roman" w:hAnsi="Times New Roman" w:cs="Times New Roman"/>
          <w:color w:val="000000"/>
        </w:rPr>
        <w:t>inventory)</w:t>
      </w:r>
    </w:p>
    <w:p w14:paraId="4A9DC16D" w14:textId="3DB7CB3A" w:rsidR="009B69B3" w:rsidRPr="00F87EC6" w:rsidRDefault="00385313" w:rsidP="00F87EC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F87EC6">
        <w:rPr>
          <w:rFonts w:ascii="Times New Roman" w:hAnsi="Times New Roman" w:cs="Times New Roman"/>
          <w:color w:val="000000"/>
        </w:rPr>
        <w:t xml:space="preserve">The test plan should be </w:t>
      </w:r>
      <w:r w:rsidR="00016A9D">
        <w:rPr>
          <w:rFonts w:ascii="Times New Roman" w:hAnsi="Times New Roman" w:cs="Times New Roman"/>
          <w:color w:val="000000"/>
        </w:rPr>
        <w:t>notionally-</w:t>
      </w:r>
      <w:r w:rsidRPr="00F87EC6">
        <w:rPr>
          <w:rFonts w:ascii="Times New Roman" w:hAnsi="Times New Roman" w:cs="Times New Roman"/>
          <w:color w:val="000000"/>
        </w:rPr>
        <w:t>complete (as much as possible)</w:t>
      </w:r>
      <w:r w:rsidR="00016A9D">
        <w:rPr>
          <w:rFonts w:ascii="Times New Roman" w:hAnsi="Times New Roman" w:cs="Times New Roman"/>
          <w:color w:val="000000"/>
        </w:rPr>
        <w:t xml:space="preserve"> and map to requirements</w:t>
      </w:r>
    </w:p>
    <w:p w14:paraId="55395FCD" w14:textId="6CE1AA0F" w:rsidR="00E75DB5" w:rsidRDefault="00E75DB5">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535F9CF9" w14:textId="1615E210" w:rsidR="006C66ED" w:rsidRPr="006C66ED" w:rsidRDefault="006C66ED" w:rsidP="00E25A9A">
      <w:pPr>
        <w:pStyle w:val="Heading3"/>
        <w:rPr>
          <w:rFonts w:eastAsia="Times New Roman"/>
          <w:i/>
        </w:rPr>
      </w:pPr>
      <w:r>
        <w:rPr>
          <w:rFonts w:eastAsia="Times New Roman"/>
          <w:i/>
        </w:rPr>
        <w:lastRenderedPageBreak/>
        <w:t>For your reference:</w:t>
      </w:r>
    </w:p>
    <w:p w14:paraId="4474EEE7" w14:textId="77777777" w:rsidR="00E25A9A" w:rsidRDefault="00E25A9A" w:rsidP="00E25A9A">
      <w:pPr>
        <w:pStyle w:val="Heading3"/>
        <w:rPr>
          <w:rFonts w:eastAsia="Times New Roman"/>
        </w:rPr>
      </w:pPr>
      <w:r>
        <w:rPr>
          <w:rFonts w:eastAsia="Times New Roman"/>
        </w:rPr>
        <w:t>DEFENSE ACQUISITION GUIDEBOOK</w:t>
      </w:r>
      <w:r>
        <w:rPr>
          <w:rFonts w:eastAsia="Times New Roman"/>
        </w:rPr>
        <w:br/>
        <w:t>Chapter 4 -- Systems Engineering</w:t>
      </w:r>
    </w:p>
    <w:p w14:paraId="681E251A" w14:textId="3D054D5C" w:rsidR="00E75DB5" w:rsidRPr="00E75DB5" w:rsidRDefault="00E75DB5" w:rsidP="00E75DB5">
      <w:pPr>
        <w:rPr>
          <w:rFonts w:ascii="Times New Roman" w:hAnsi="Times New Roman" w:cs="Times New Roman"/>
          <w:sz w:val="22"/>
          <w:szCs w:val="22"/>
        </w:rPr>
      </w:pPr>
      <w:r w:rsidRPr="00E75DB5">
        <w:rPr>
          <w:rFonts w:ascii="Times New Roman" w:hAnsi="Times New Roman" w:cs="Times New Roman"/>
          <w:b/>
          <w:bCs/>
          <w:color w:val="000000"/>
          <w:sz w:val="22"/>
          <w:szCs w:val="22"/>
        </w:rPr>
        <w:t xml:space="preserve">(from </w:t>
      </w:r>
      <w:hyperlink r:id="rId5" w:history="1">
        <w:r w:rsidRPr="00E75DB5">
          <w:rPr>
            <w:rStyle w:val="Hyperlink"/>
            <w:rFonts w:ascii="Times New Roman" w:hAnsi="Times New Roman" w:cs="Times New Roman"/>
            <w:sz w:val="22"/>
            <w:szCs w:val="22"/>
          </w:rPr>
          <w:t>https://acc.dau.mil/CommunityBrowser.aspx?id=638320</w:t>
        </w:r>
      </w:hyperlink>
      <w:r w:rsidRPr="00E75DB5">
        <w:rPr>
          <w:rStyle w:val="Hyperlink"/>
          <w:rFonts w:ascii="Times New Roman" w:hAnsi="Times New Roman" w:cs="Times New Roman"/>
          <w:sz w:val="22"/>
          <w:szCs w:val="22"/>
        </w:rPr>
        <w:t xml:space="preserve"> </w:t>
      </w:r>
      <w:r>
        <w:rPr>
          <w:rFonts w:ascii="Times New Roman" w:hAnsi="Times New Roman" w:cs="Times New Roman"/>
          <w:b/>
          <w:bCs/>
          <w:color w:val="000000"/>
          <w:sz w:val="22"/>
          <w:szCs w:val="22"/>
        </w:rPr>
        <w:t>edited)</w:t>
      </w:r>
      <w:r>
        <w:rPr>
          <w:rStyle w:val="Hyperlink"/>
          <w:rFonts w:ascii="Times New Roman" w:hAnsi="Times New Roman" w:cs="Times New Roman"/>
          <w:sz w:val="22"/>
          <w:szCs w:val="22"/>
        </w:rPr>
        <w:t xml:space="preserve"> </w:t>
      </w:r>
    </w:p>
    <w:p w14:paraId="54FDF027" w14:textId="77777777" w:rsidR="00E25A9A" w:rsidRDefault="00A764B8" w:rsidP="00E25A9A">
      <w:pPr>
        <w:pStyle w:val="NormalWeb"/>
      </w:pPr>
      <w:hyperlink r:id="rId6" w:anchor="4.2.13" w:tooltip="DAG Section 4.2.13." w:history="1">
        <w:r w:rsidR="00E25A9A">
          <w:rPr>
            <w:rStyle w:val="Hyperlink"/>
            <w:b/>
            <w:bCs/>
          </w:rPr>
          <w:t>4.2.13. Critical Design Review</w:t>
        </w:r>
      </w:hyperlink>
    </w:p>
    <w:p w14:paraId="0047B0B3" w14:textId="0EB5BBB6" w:rsidR="00E25A9A" w:rsidRDefault="00E25A9A" w:rsidP="00E25A9A">
      <w:pPr>
        <w:pStyle w:val="NormalWeb"/>
      </w:pPr>
      <w:bookmarkStart w:id="1" w:name="4.2.13"/>
      <w:bookmarkEnd w:id="1"/>
      <w:r>
        <w:t xml:space="preserve">The Critical Design Review (CDR) confirms the system design is stable and is expected to meet system performance requirements, confirms the system is on track to achieve affordability and should cost goals as evidenced by the detailed design documentation, and establishes the system’s initial product baseline. The system CDR occurs during </w:t>
      </w:r>
      <w:r w:rsidRPr="00E75DB5">
        <w:t xml:space="preserve">the </w:t>
      </w:r>
      <w:r w:rsidR="00E75DB5" w:rsidRPr="00E75DB5">
        <w:rPr>
          <w:bCs/>
        </w:rPr>
        <w:t>Engineering and Manu</w:t>
      </w:r>
      <w:r w:rsidR="00E75DB5">
        <w:rPr>
          <w:bCs/>
        </w:rPr>
        <w:t xml:space="preserve">facturing Development (EMD) </w:t>
      </w:r>
      <w:r>
        <w:t>phase and typically marks the end of the integrated system design efforts and readiness to continue with system capability and manufacturing process demonstration activities.</w:t>
      </w:r>
    </w:p>
    <w:p w14:paraId="595276E0" w14:textId="3D20FD15" w:rsidR="00E25A9A" w:rsidRDefault="00E25A9A" w:rsidP="00E25A9A">
      <w:pPr>
        <w:pStyle w:val="NormalWeb"/>
      </w:pPr>
      <w:r>
        <w:t>The CDR provides the acquisition community with evidence that the system, down to the lowest system element level, has a reasonable expectation of satisfying the requirements of the system performance specification within current cost and schedule constraints.</w:t>
      </w:r>
    </w:p>
    <w:p w14:paraId="4BA763E4" w14:textId="77777777" w:rsidR="00E25A9A" w:rsidRDefault="00E25A9A" w:rsidP="00E25A9A">
      <w:pPr>
        <w:pStyle w:val="NormalWeb"/>
      </w:pPr>
      <w:r>
        <w:t>The CDR establishes the initial product baseline for the system and its constituent system elements. It also establishes requirements and system interfaces for enabling system elements such as support equipment, training system, maintenance, and data systems. At this point the system has reached the necessary level of maturity to start fabricating, integrating, and testing pre-production articles with acceptable risk.</w:t>
      </w:r>
    </w:p>
    <w:p w14:paraId="6FAFF4FF" w14:textId="2ABCAD42" w:rsidR="00E25A9A" w:rsidRDefault="00E25A9A" w:rsidP="00E25A9A">
      <w:pPr>
        <w:pStyle w:val="NormalWeb"/>
      </w:pPr>
      <w:r>
        <w:t xml:space="preserve">The product baseline describes the detailed design for production, fielding/deployment, and operations and support. The product baseline prescribes all necessary physical (form, fit, and function) characteristics and selected functional characteristics designated for production acceptance testing and production test requirements. </w:t>
      </w:r>
    </w:p>
    <w:p w14:paraId="03BD70DF" w14:textId="77777777" w:rsidR="00E25A9A" w:rsidRDefault="00E25A9A" w:rsidP="00E25A9A">
      <w:pPr>
        <w:pStyle w:val="NormalWeb"/>
      </w:pPr>
      <w:r>
        <w:rPr>
          <w:rStyle w:val="Strong"/>
        </w:rPr>
        <w:t>Inputs and Review Criteria</w:t>
      </w:r>
    </w:p>
    <w:p w14:paraId="159FDB14" w14:textId="77777777" w:rsidR="00E25A9A" w:rsidRDefault="00E25A9A" w:rsidP="00E25A9A">
      <w:pPr>
        <w:pStyle w:val="NormalWeb"/>
      </w:pPr>
      <w:r>
        <w:t>Figure 4.2.</w:t>
      </w:r>
      <w:proofErr w:type="gramStart"/>
      <w:r>
        <w:t>13.F</w:t>
      </w:r>
      <w:proofErr w:type="gramEnd"/>
      <w:r>
        <w:t>1 provides the end-to-end perspective and the integration of SE technical reviews and audits across the acquisition life cycle.</w:t>
      </w:r>
    </w:p>
    <w:p w14:paraId="6A1F71DA" w14:textId="77777777" w:rsidR="006C66ED" w:rsidRDefault="006C66ED">
      <w:pPr>
        <w:rPr>
          <w:rStyle w:val="Strong"/>
          <w:rFonts w:ascii="Times New Roman" w:hAnsi="Times New Roman" w:cs="Times New Roman"/>
        </w:rPr>
      </w:pPr>
      <w:bookmarkStart w:id="2" w:name="4.2.13.F1"/>
      <w:bookmarkEnd w:id="2"/>
      <w:r>
        <w:rPr>
          <w:rStyle w:val="Strong"/>
        </w:rPr>
        <w:br w:type="page"/>
      </w:r>
    </w:p>
    <w:p w14:paraId="30A44D5B" w14:textId="54700FEA" w:rsidR="00E25A9A" w:rsidRDefault="00E25A9A" w:rsidP="00E25A9A">
      <w:pPr>
        <w:pStyle w:val="NormalWeb"/>
        <w:jc w:val="center"/>
      </w:pPr>
      <w:r>
        <w:rPr>
          <w:rStyle w:val="Strong"/>
        </w:rPr>
        <w:t>Figure 4.2.</w:t>
      </w:r>
      <w:proofErr w:type="gramStart"/>
      <w:r>
        <w:rPr>
          <w:rStyle w:val="Strong"/>
        </w:rPr>
        <w:t>13.F</w:t>
      </w:r>
      <w:proofErr w:type="gramEnd"/>
      <w:r>
        <w:rPr>
          <w:rStyle w:val="Strong"/>
        </w:rPr>
        <w:t>1. Weapon System Development Life Cycle</w:t>
      </w:r>
    </w:p>
    <w:p w14:paraId="2A3873A7" w14:textId="5B1F6432" w:rsidR="00E25A9A" w:rsidRDefault="00E25A9A" w:rsidP="00E25A9A">
      <w:pPr>
        <w:pStyle w:val="NormalWeb"/>
        <w:jc w:val="center"/>
      </w:pPr>
      <w:r>
        <w:rPr>
          <w:noProof/>
          <w:color w:val="0000FF"/>
        </w:rPr>
        <w:drawing>
          <wp:inline distT="0" distB="0" distL="0" distR="0" wp14:anchorId="0BF4ABF1" wp14:editId="1AB98B3D">
            <wp:extent cx="6092190" cy="2828290"/>
            <wp:effectExtent l="0" t="0" r="3810" b="0"/>
            <wp:docPr id="1" name="Picture 1" descr="igure 4.2.13.F1. Weapon System Development Life Cyc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E_6d9fe6b0-18f7-4039-8b41-454707b62642" descr="igure 4.2.13.F1. Weapon System Development Life Cycl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190" cy="2828290"/>
                    </a:xfrm>
                    <a:prstGeom prst="rect">
                      <a:avLst/>
                    </a:prstGeom>
                    <a:noFill/>
                    <a:ln>
                      <a:noFill/>
                    </a:ln>
                  </pic:spPr>
                </pic:pic>
              </a:graphicData>
            </a:graphic>
          </wp:inline>
        </w:drawing>
      </w:r>
    </w:p>
    <w:p w14:paraId="52B98E1B" w14:textId="77777777" w:rsidR="00E25A9A" w:rsidRDefault="00E25A9A" w:rsidP="00E25A9A">
      <w:pPr>
        <w:pStyle w:val="NormalWeb"/>
      </w:pPr>
      <w:r>
        <w:t xml:space="preserve">The </w:t>
      </w:r>
      <w:hyperlink r:id="rId9" w:tgtFrame="_blank" w:tooltip="March 2012 GAO Report" w:history="1">
        <w:r>
          <w:rPr>
            <w:rStyle w:val="Hyperlink"/>
          </w:rPr>
          <w:t>March 2012 Government Accountability Office (GAO) report, “Assessments of Selected Weapon Programs,”</w:t>
        </w:r>
      </w:hyperlink>
      <w:r>
        <w:t xml:space="preserve"> suggests a best practice is to achieve design stability at the system-level CDR. A general rule is that 75 to 90 percent of (manufacturing quality) product drawings, software design specification(s), and associated instructions (100 percent for all Critical Safety Items (CSIs) and Critical Application Items (CAIs)) should be complete in order to provide tangible evidence of a stable product design. A prototype demonstration shows that the design is capable of meeting performance requirements.</w:t>
      </w:r>
    </w:p>
    <w:p w14:paraId="338D83BE" w14:textId="77777777" w:rsidR="00E25A9A" w:rsidRDefault="00E25A9A" w:rsidP="00E25A9A">
      <w:pPr>
        <w:pStyle w:val="NormalWeb"/>
      </w:pPr>
      <w:r>
        <w:t>The CDR review criteria are developed to best support the program’s technical scope and risk and are documented in the program’s SEP no later than Milestone B. Table 4.2.</w:t>
      </w:r>
      <w:proofErr w:type="gramStart"/>
      <w:r>
        <w:t>13.T</w:t>
      </w:r>
      <w:proofErr w:type="gramEnd"/>
      <w:r>
        <w:t xml:space="preserve">1 defines the products and associated review criteria. The system-level CDR review should not begin until these criteria are considered met and any prior technical review is complete and its action items closed. A readiness assessment tool for CDR preparation is the </w:t>
      </w:r>
      <w:hyperlink r:id="rId10" w:tgtFrame="_blank" w:tooltip="DoD CDR Checklist" w:history="1">
        <w:r>
          <w:rPr>
            <w:rStyle w:val="Hyperlink"/>
          </w:rPr>
          <w:t>DoD CDR Checklist.</w:t>
        </w:r>
      </w:hyperlink>
      <w:r>
        <w:t xml:space="preserve"> The CDR is a mandatory technical review.</w:t>
      </w:r>
    </w:p>
    <w:p w14:paraId="5703D302" w14:textId="77777777" w:rsidR="00E25A9A" w:rsidRDefault="00E25A9A" w:rsidP="00E25A9A">
      <w:pPr>
        <w:pStyle w:val="NormalWeb"/>
        <w:jc w:val="center"/>
      </w:pPr>
      <w:r>
        <w:rPr>
          <w:rStyle w:val="Strong"/>
        </w:rPr>
        <w:t>Table 4.2.</w:t>
      </w:r>
      <w:proofErr w:type="gramStart"/>
      <w:r>
        <w:rPr>
          <w:rStyle w:val="Strong"/>
        </w:rPr>
        <w:t>13.T</w:t>
      </w:r>
      <w:proofErr w:type="gramEnd"/>
      <w:r>
        <w:rPr>
          <w:rStyle w:val="Strong"/>
        </w:rPr>
        <w:t>1. CDR Products and Criteria</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2"/>
        <w:gridCol w:w="6882"/>
      </w:tblGrid>
      <w:tr w:rsidR="00E25A9A" w14:paraId="4730E713" w14:textId="77777777" w:rsidTr="00E25A9A">
        <w:trPr>
          <w:tblCellSpacing w:w="0" w:type="dxa"/>
          <w:jc w:val="center"/>
        </w:trPr>
        <w:tc>
          <w:tcPr>
            <w:tcW w:w="2960" w:type="dxa"/>
            <w:tcBorders>
              <w:top w:val="outset" w:sz="6" w:space="0" w:color="auto"/>
              <w:left w:val="outset" w:sz="6" w:space="0" w:color="auto"/>
              <w:bottom w:val="outset" w:sz="6" w:space="0" w:color="auto"/>
              <w:right w:val="outset" w:sz="6" w:space="0" w:color="auto"/>
            </w:tcBorders>
            <w:shd w:val="clear" w:color="auto" w:fill="00CCFF"/>
            <w:vAlign w:val="center"/>
            <w:hideMark/>
          </w:tcPr>
          <w:p w14:paraId="48C2DC67" w14:textId="77777777" w:rsidR="00E25A9A" w:rsidRDefault="00E25A9A">
            <w:pPr>
              <w:pStyle w:val="NormalWeb"/>
              <w:jc w:val="center"/>
            </w:pPr>
            <w:r>
              <w:rPr>
                <w:rStyle w:val="Strong"/>
              </w:rPr>
              <w:t>Product</w:t>
            </w:r>
          </w:p>
        </w:tc>
        <w:tc>
          <w:tcPr>
            <w:tcW w:w="9800" w:type="dxa"/>
            <w:tcBorders>
              <w:top w:val="outset" w:sz="6" w:space="0" w:color="auto"/>
              <w:left w:val="outset" w:sz="6" w:space="0" w:color="auto"/>
              <w:bottom w:val="outset" w:sz="6" w:space="0" w:color="auto"/>
              <w:right w:val="outset" w:sz="6" w:space="0" w:color="auto"/>
            </w:tcBorders>
            <w:shd w:val="clear" w:color="auto" w:fill="00CCFF"/>
            <w:vAlign w:val="center"/>
            <w:hideMark/>
          </w:tcPr>
          <w:p w14:paraId="768E2BBD" w14:textId="77777777" w:rsidR="00E25A9A" w:rsidRDefault="00E25A9A">
            <w:pPr>
              <w:pStyle w:val="NormalWeb"/>
              <w:jc w:val="center"/>
            </w:pPr>
            <w:r>
              <w:rPr>
                <w:rStyle w:val="Strong"/>
              </w:rPr>
              <w:t>CDR Criteria</w:t>
            </w:r>
          </w:p>
        </w:tc>
      </w:tr>
      <w:tr w:rsidR="00E25A9A" w14:paraId="1B8CDA32" w14:textId="77777777" w:rsidTr="00E25A9A">
        <w:trPr>
          <w:tblCellSpacing w:w="0" w:type="dxa"/>
          <w:jc w:val="center"/>
        </w:trPr>
        <w:tc>
          <w:tcPr>
            <w:tcW w:w="2960"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3A1D8FA8" w14:textId="77777777" w:rsidR="00E25A9A" w:rsidRDefault="00E25A9A">
            <w:pPr>
              <w:pStyle w:val="NormalWeb"/>
            </w:pPr>
            <w:r>
              <w:rPr>
                <w:rStyle w:val="Strong"/>
              </w:rPr>
              <w:t>Cost Estimate</w:t>
            </w:r>
          </w:p>
        </w:tc>
        <w:tc>
          <w:tcPr>
            <w:tcW w:w="9800" w:type="dxa"/>
            <w:tcBorders>
              <w:top w:val="outset" w:sz="6" w:space="0" w:color="auto"/>
              <w:left w:val="outset" w:sz="6" w:space="0" w:color="auto"/>
              <w:bottom w:val="outset" w:sz="6" w:space="0" w:color="auto"/>
              <w:right w:val="outset" w:sz="6" w:space="0" w:color="auto"/>
            </w:tcBorders>
            <w:vAlign w:val="center"/>
            <w:hideMark/>
          </w:tcPr>
          <w:p w14:paraId="1B1CEC03" w14:textId="77777777" w:rsidR="00E25A9A" w:rsidRDefault="00E25A9A">
            <w:pPr>
              <w:numPr>
                <w:ilvl w:val="0"/>
                <w:numId w:val="3"/>
              </w:numPr>
              <w:spacing w:before="100" w:beforeAutospacing="1" w:after="100" w:afterAutospacing="1"/>
              <w:rPr>
                <w:rFonts w:eastAsia="Times New Roman"/>
              </w:rPr>
            </w:pPr>
            <w:r>
              <w:rPr>
                <w:rFonts w:eastAsia="Times New Roman"/>
              </w:rPr>
              <w:t xml:space="preserve">Updated Cost Analysis Requirements Description (CARD) is consistent with the approved initial product baseline </w:t>
            </w:r>
          </w:p>
          <w:p w14:paraId="3F96E99C" w14:textId="77777777" w:rsidR="00E25A9A" w:rsidRDefault="00E25A9A">
            <w:pPr>
              <w:numPr>
                <w:ilvl w:val="0"/>
                <w:numId w:val="3"/>
              </w:numPr>
              <w:spacing w:before="100" w:beforeAutospacing="1" w:after="100" w:afterAutospacing="1"/>
              <w:rPr>
                <w:rFonts w:eastAsia="Times New Roman"/>
              </w:rPr>
            </w:pPr>
            <w:r>
              <w:rPr>
                <w:rFonts w:eastAsia="Times New Roman"/>
              </w:rPr>
              <w:t xml:space="preserve">System production cost model has been updated, allocated to subsystem level, and tracked against targets </w:t>
            </w:r>
          </w:p>
        </w:tc>
      </w:tr>
      <w:tr w:rsidR="00E25A9A" w14:paraId="6F88C272" w14:textId="77777777" w:rsidTr="00E25A9A">
        <w:trPr>
          <w:tblCellSpacing w:w="0" w:type="dxa"/>
          <w:jc w:val="center"/>
        </w:trPr>
        <w:tc>
          <w:tcPr>
            <w:tcW w:w="2960"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059B5F73" w14:textId="77777777" w:rsidR="00E25A9A" w:rsidRDefault="00E25A9A">
            <w:pPr>
              <w:pStyle w:val="NormalWeb"/>
            </w:pPr>
            <w:r>
              <w:rPr>
                <w:rStyle w:val="Strong"/>
              </w:rPr>
              <w:t>System Baseline Documentation (Functional and/or Allocated and/or Product)</w:t>
            </w:r>
          </w:p>
        </w:tc>
        <w:tc>
          <w:tcPr>
            <w:tcW w:w="9800" w:type="dxa"/>
            <w:tcBorders>
              <w:top w:val="outset" w:sz="6" w:space="0" w:color="auto"/>
              <w:left w:val="outset" w:sz="6" w:space="0" w:color="auto"/>
              <w:bottom w:val="outset" w:sz="6" w:space="0" w:color="auto"/>
              <w:right w:val="outset" w:sz="6" w:space="0" w:color="auto"/>
            </w:tcBorders>
            <w:vAlign w:val="center"/>
            <w:hideMark/>
          </w:tcPr>
          <w:p w14:paraId="34A9637E" w14:textId="77777777" w:rsidR="00E25A9A" w:rsidRDefault="00E25A9A">
            <w:pPr>
              <w:numPr>
                <w:ilvl w:val="0"/>
                <w:numId w:val="4"/>
              </w:numPr>
              <w:spacing w:before="100" w:beforeAutospacing="1" w:after="100" w:afterAutospacing="1"/>
              <w:rPr>
                <w:rFonts w:eastAsia="Times New Roman"/>
              </w:rPr>
            </w:pPr>
            <w:r>
              <w:rPr>
                <w:rFonts w:eastAsia="Times New Roman"/>
              </w:rPr>
              <w:t>Detailed design (hardware and software), including interface descriptions are complete and satisfy all requirements in the system functional baseline</w:t>
            </w:r>
          </w:p>
          <w:p w14:paraId="615AB2C3" w14:textId="77777777" w:rsidR="00E25A9A" w:rsidRDefault="00E25A9A">
            <w:pPr>
              <w:numPr>
                <w:ilvl w:val="0"/>
                <w:numId w:val="4"/>
              </w:numPr>
              <w:spacing w:before="100" w:beforeAutospacing="1" w:after="100" w:afterAutospacing="1"/>
              <w:rPr>
                <w:rFonts w:eastAsia="Times New Roman"/>
              </w:rPr>
            </w:pPr>
            <w:r>
              <w:rPr>
                <w:rFonts w:eastAsia="Times New Roman"/>
              </w:rPr>
              <w:t>Requirements trace among functional, allocated, and initial product baselines are complete and consistent</w:t>
            </w:r>
          </w:p>
        </w:tc>
      </w:tr>
      <w:tr w:rsidR="00E25A9A" w14:paraId="325EFCAA" w14:textId="77777777" w:rsidTr="00E25A9A">
        <w:trPr>
          <w:tblCellSpacing w:w="0" w:type="dxa"/>
          <w:jc w:val="center"/>
        </w:trPr>
        <w:tc>
          <w:tcPr>
            <w:tcW w:w="2960"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6C9886EC" w14:textId="77777777" w:rsidR="00E25A9A" w:rsidRDefault="00E25A9A">
            <w:pPr>
              <w:pStyle w:val="NormalWeb"/>
            </w:pPr>
            <w:r>
              <w:rPr>
                <w:rStyle w:val="Strong"/>
              </w:rPr>
              <w:t>System Baseline Documentation (Product)</w:t>
            </w:r>
          </w:p>
        </w:tc>
        <w:tc>
          <w:tcPr>
            <w:tcW w:w="9800" w:type="dxa"/>
            <w:tcBorders>
              <w:top w:val="outset" w:sz="6" w:space="0" w:color="auto"/>
              <w:left w:val="outset" w:sz="6" w:space="0" w:color="auto"/>
              <w:bottom w:val="outset" w:sz="6" w:space="0" w:color="auto"/>
              <w:right w:val="outset" w:sz="6" w:space="0" w:color="auto"/>
            </w:tcBorders>
            <w:vAlign w:val="center"/>
            <w:hideMark/>
          </w:tcPr>
          <w:p w14:paraId="327D0126" w14:textId="77777777" w:rsidR="00E25A9A" w:rsidRDefault="00E25A9A">
            <w:pPr>
              <w:numPr>
                <w:ilvl w:val="0"/>
                <w:numId w:val="5"/>
              </w:numPr>
              <w:spacing w:before="100" w:beforeAutospacing="1" w:after="100" w:afterAutospacing="1"/>
              <w:rPr>
                <w:rFonts w:eastAsia="Times New Roman"/>
              </w:rPr>
            </w:pPr>
            <w:r>
              <w:rPr>
                <w:rFonts w:eastAsia="Times New Roman"/>
              </w:rPr>
              <w:t>Key product characteristics having the most impact on system performance, assembly, cost, reliability, and sustainment or ESOH have been identified to support production decisions</w:t>
            </w:r>
          </w:p>
          <w:p w14:paraId="00A1DA90" w14:textId="77777777" w:rsidR="00E25A9A" w:rsidRDefault="00E25A9A">
            <w:pPr>
              <w:numPr>
                <w:ilvl w:val="0"/>
                <w:numId w:val="5"/>
              </w:numPr>
              <w:spacing w:before="100" w:beforeAutospacing="1" w:after="100" w:afterAutospacing="1"/>
              <w:rPr>
                <w:rFonts w:eastAsia="Times New Roman"/>
              </w:rPr>
            </w:pPr>
            <w:r>
              <w:rPr>
                <w:rFonts w:eastAsia="Times New Roman"/>
              </w:rPr>
              <w:t>Initial product baseline documentation is sufficiently complete and correct to enable hardware fabrication and software coding to proceed with proper configuration management</w:t>
            </w:r>
          </w:p>
          <w:p w14:paraId="5C4A6BED" w14:textId="77777777" w:rsidR="00E25A9A" w:rsidRDefault="00E25A9A">
            <w:pPr>
              <w:numPr>
                <w:ilvl w:val="0"/>
                <w:numId w:val="5"/>
              </w:numPr>
              <w:spacing w:before="100" w:beforeAutospacing="1" w:after="100" w:afterAutospacing="1"/>
              <w:rPr>
                <w:rFonts w:eastAsia="Times New Roman"/>
              </w:rPr>
            </w:pPr>
            <w:r>
              <w:rPr>
                <w:rFonts w:eastAsia="Times New Roman"/>
              </w:rPr>
              <w:t xml:space="preserve">Assessment of the technical effort and design indicates potential for operational test and evaluation success (operationally effective and suitable) (see </w:t>
            </w:r>
            <w:hyperlink r:id="rId11" w:tooltip="DAG Chapter 9" w:history="1">
              <w:r>
                <w:rPr>
                  <w:rStyle w:val="Hyperlink"/>
                  <w:rFonts w:eastAsia="Times New Roman"/>
                </w:rPr>
                <w:t>DAG Chapter 9 Test and Evaluation</w:t>
              </w:r>
            </w:hyperlink>
            <w:r>
              <w:rPr>
                <w:rFonts w:eastAsia="Times New Roman"/>
              </w:rPr>
              <w:t>)</w:t>
            </w:r>
          </w:p>
          <w:p w14:paraId="2E1B43FC" w14:textId="77777777" w:rsidR="00E25A9A" w:rsidRDefault="00E25A9A">
            <w:pPr>
              <w:numPr>
                <w:ilvl w:val="0"/>
                <w:numId w:val="5"/>
              </w:numPr>
              <w:spacing w:before="100" w:beforeAutospacing="1" w:after="100" w:afterAutospacing="1"/>
              <w:rPr>
                <w:rFonts w:eastAsia="Times New Roman"/>
              </w:rPr>
            </w:pPr>
            <w:r>
              <w:rPr>
                <w:rFonts w:eastAsia="Times New Roman"/>
              </w:rPr>
              <w:t>100% of Critical Safety Items and Critical Application Items have completed drawings, specifications and instructions</w:t>
            </w:r>
          </w:p>
          <w:p w14:paraId="670BD42A" w14:textId="77777777" w:rsidR="00E25A9A" w:rsidRDefault="00E25A9A">
            <w:pPr>
              <w:numPr>
                <w:ilvl w:val="0"/>
                <w:numId w:val="5"/>
              </w:numPr>
              <w:spacing w:before="100" w:beforeAutospacing="1" w:after="100" w:afterAutospacing="1"/>
              <w:rPr>
                <w:rFonts w:eastAsia="Times New Roman"/>
              </w:rPr>
            </w:pPr>
            <w:r>
              <w:rPr>
                <w:rFonts w:eastAsia="Times New Roman"/>
              </w:rPr>
              <w:t>Failure mode, effects, and criticality analysis (FMECA) is complete</w:t>
            </w:r>
          </w:p>
          <w:p w14:paraId="4BD7433F" w14:textId="77777777" w:rsidR="00E25A9A" w:rsidRDefault="00E25A9A">
            <w:pPr>
              <w:numPr>
                <w:ilvl w:val="0"/>
                <w:numId w:val="5"/>
              </w:numPr>
              <w:spacing w:before="100" w:beforeAutospacing="1" w:after="100" w:afterAutospacing="1"/>
              <w:rPr>
                <w:rFonts w:eastAsia="Times New Roman"/>
              </w:rPr>
            </w:pPr>
            <w:r>
              <w:rPr>
                <w:rFonts w:eastAsia="Times New Roman"/>
              </w:rPr>
              <w:t>Estimate of system reliability and maintainability based on engineering analyses, initial test results or other sources of demonstrated reliability and maintainability</w:t>
            </w:r>
          </w:p>
          <w:p w14:paraId="1C3BA89F" w14:textId="77777777" w:rsidR="00E25A9A" w:rsidRDefault="00E25A9A">
            <w:pPr>
              <w:numPr>
                <w:ilvl w:val="0"/>
                <w:numId w:val="5"/>
              </w:numPr>
              <w:spacing w:before="100" w:beforeAutospacing="1" w:after="100" w:afterAutospacing="1"/>
              <w:rPr>
                <w:rFonts w:eastAsia="Times New Roman"/>
              </w:rPr>
            </w:pPr>
            <w:r>
              <w:rPr>
                <w:rFonts w:eastAsia="Times New Roman"/>
              </w:rPr>
              <w:t xml:space="preserve">Detailed design satisfies sustainment and Human Systems Integration (HSI) requirements (see </w:t>
            </w:r>
            <w:hyperlink r:id="rId12" w:tooltip="DAG Chapter 6" w:history="1">
              <w:r>
                <w:rPr>
                  <w:rStyle w:val="Hyperlink"/>
                  <w:rFonts w:eastAsia="Times New Roman"/>
                </w:rPr>
                <w:t>DAG Chapter 6 Human Systems Integration</w:t>
              </w:r>
            </w:hyperlink>
            <w:r>
              <w:rPr>
                <w:rFonts w:eastAsia="Times New Roman"/>
              </w:rPr>
              <w:t>)</w:t>
            </w:r>
          </w:p>
          <w:p w14:paraId="37C0A258" w14:textId="77777777" w:rsidR="00E25A9A" w:rsidRDefault="00E25A9A">
            <w:pPr>
              <w:numPr>
                <w:ilvl w:val="0"/>
                <w:numId w:val="5"/>
              </w:numPr>
              <w:spacing w:before="100" w:beforeAutospacing="1" w:after="100" w:afterAutospacing="1"/>
              <w:rPr>
                <w:rFonts w:eastAsia="Times New Roman"/>
              </w:rPr>
            </w:pPr>
            <w:r>
              <w:rPr>
                <w:rFonts w:eastAsia="Times New Roman"/>
              </w:rPr>
              <w:t>Software functionality in the approved initial product baseline is consistent with the updated software metrics and resource-loaded schedule</w:t>
            </w:r>
          </w:p>
          <w:p w14:paraId="7420E7DA" w14:textId="77777777" w:rsidR="00E25A9A" w:rsidRDefault="00E25A9A">
            <w:pPr>
              <w:numPr>
                <w:ilvl w:val="0"/>
                <w:numId w:val="5"/>
              </w:numPr>
              <w:spacing w:before="100" w:beforeAutospacing="1" w:after="100" w:afterAutospacing="1"/>
              <w:rPr>
                <w:rFonts w:eastAsia="Times New Roman"/>
              </w:rPr>
            </w:pPr>
            <w:r>
              <w:rPr>
                <w:rFonts w:eastAsia="Times New Roman"/>
              </w:rPr>
              <w:t>Software and interface documents are sufficiently complete to support the review</w:t>
            </w:r>
          </w:p>
          <w:p w14:paraId="2D6B86E4" w14:textId="77777777" w:rsidR="00E25A9A" w:rsidRDefault="00E25A9A">
            <w:pPr>
              <w:numPr>
                <w:ilvl w:val="0"/>
                <w:numId w:val="5"/>
              </w:numPr>
              <w:spacing w:before="100" w:beforeAutospacing="1" w:after="100" w:afterAutospacing="1"/>
              <w:rPr>
                <w:rFonts w:eastAsia="Times New Roman"/>
              </w:rPr>
            </w:pPr>
            <w:r>
              <w:rPr>
                <w:rFonts w:eastAsia="Times New Roman"/>
              </w:rPr>
              <w:t>Detailed design is producible and assessed to be within the production budget</w:t>
            </w:r>
          </w:p>
          <w:p w14:paraId="11229380" w14:textId="77777777" w:rsidR="00E25A9A" w:rsidRDefault="00E25A9A">
            <w:pPr>
              <w:numPr>
                <w:ilvl w:val="0"/>
                <w:numId w:val="5"/>
              </w:numPr>
              <w:spacing w:before="100" w:beforeAutospacing="1" w:after="100" w:afterAutospacing="1"/>
              <w:rPr>
                <w:rFonts w:eastAsia="Times New Roman"/>
              </w:rPr>
            </w:pPr>
            <w:r>
              <w:rPr>
                <w:rFonts w:eastAsia="Times New Roman"/>
              </w:rPr>
              <w:t>Process control plans have been developed for critical manufacturing processes</w:t>
            </w:r>
          </w:p>
          <w:p w14:paraId="76815197" w14:textId="77777777" w:rsidR="00E25A9A" w:rsidRDefault="00E25A9A">
            <w:pPr>
              <w:numPr>
                <w:ilvl w:val="0"/>
                <w:numId w:val="5"/>
              </w:numPr>
              <w:spacing w:before="100" w:beforeAutospacing="1" w:after="100" w:afterAutospacing="1"/>
              <w:rPr>
                <w:rFonts w:eastAsia="Times New Roman"/>
              </w:rPr>
            </w:pPr>
            <w:r>
              <w:rPr>
                <w:rFonts w:eastAsia="Times New Roman"/>
              </w:rPr>
              <w:t>Critical manufacturing processes that affect the key product characteristics have been identified, and the capability to meet design tolerances has been determined</w:t>
            </w:r>
          </w:p>
          <w:p w14:paraId="5A24019E" w14:textId="77777777" w:rsidR="00E25A9A" w:rsidRDefault="00E25A9A">
            <w:pPr>
              <w:numPr>
                <w:ilvl w:val="0"/>
                <w:numId w:val="5"/>
              </w:numPr>
              <w:spacing w:before="100" w:beforeAutospacing="1" w:after="100" w:afterAutospacing="1"/>
              <w:rPr>
                <w:rFonts w:eastAsia="Times New Roman"/>
              </w:rPr>
            </w:pPr>
            <w:r>
              <w:rPr>
                <w:rFonts w:eastAsia="Times New Roman"/>
              </w:rPr>
              <w:t xml:space="preserve">Verification (developmental test and evaluation (DT&amp;E)) assessment to date is consistent with the product baseline and indicates the potential for test and evaluation success (see Test and Evaluation Master Plan (TEMP) and Chief Developmental Tester in </w:t>
            </w:r>
            <w:hyperlink r:id="rId13" w:tooltip="DAG Chapter 9" w:history="1">
              <w:r>
                <w:rPr>
                  <w:rStyle w:val="Hyperlink"/>
                  <w:rFonts w:eastAsia="Times New Roman"/>
                </w:rPr>
                <w:t>DAG Chapter 9 Test and Evaluation</w:t>
              </w:r>
            </w:hyperlink>
            <w:r>
              <w:rPr>
                <w:rFonts w:eastAsia="Times New Roman"/>
              </w:rPr>
              <w:t>)</w:t>
            </w:r>
          </w:p>
        </w:tc>
      </w:tr>
      <w:tr w:rsidR="00E25A9A" w14:paraId="01390D32" w14:textId="77777777" w:rsidTr="00E25A9A">
        <w:trPr>
          <w:tblCellSpacing w:w="0" w:type="dxa"/>
          <w:jc w:val="center"/>
        </w:trPr>
        <w:tc>
          <w:tcPr>
            <w:tcW w:w="2960"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010FDFAD" w14:textId="77777777" w:rsidR="00E25A9A" w:rsidRDefault="00E25A9A">
            <w:pPr>
              <w:pStyle w:val="NormalWeb"/>
            </w:pPr>
            <w:r>
              <w:rPr>
                <w:rStyle w:val="Strong"/>
              </w:rPr>
              <w:t>Risk Assessment</w:t>
            </w:r>
          </w:p>
        </w:tc>
        <w:tc>
          <w:tcPr>
            <w:tcW w:w="9800" w:type="dxa"/>
            <w:tcBorders>
              <w:top w:val="outset" w:sz="6" w:space="0" w:color="auto"/>
              <w:left w:val="outset" w:sz="6" w:space="0" w:color="auto"/>
              <w:bottom w:val="outset" w:sz="6" w:space="0" w:color="auto"/>
              <w:right w:val="outset" w:sz="6" w:space="0" w:color="auto"/>
            </w:tcBorders>
            <w:vAlign w:val="center"/>
            <w:hideMark/>
          </w:tcPr>
          <w:p w14:paraId="5904A220" w14:textId="77777777" w:rsidR="00E25A9A" w:rsidRDefault="00E25A9A">
            <w:pPr>
              <w:numPr>
                <w:ilvl w:val="0"/>
                <w:numId w:val="6"/>
              </w:numPr>
              <w:spacing w:before="100" w:beforeAutospacing="1" w:after="100" w:afterAutospacing="1"/>
              <w:rPr>
                <w:rFonts w:eastAsia="Times New Roman"/>
              </w:rPr>
            </w:pPr>
            <w:r>
              <w:rPr>
                <w:rFonts w:eastAsia="Times New Roman"/>
              </w:rPr>
              <w:t>All risk assessments and risk mitigation plans have been updated, documented, formally addressed, and implemented</w:t>
            </w:r>
          </w:p>
          <w:p w14:paraId="21CC7AE6" w14:textId="77777777" w:rsidR="00E25A9A" w:rsidRDefault="00E25A9A">
            <w:pPr>
              <w:numPr>
                <w:ilvl w:val="0"/>
                <w:numId w:val="6"/>
              </w:numPr>
              <w:spacing w:before="100" w:beforeAutospacing="1" w:after="100" w:afterAutospacing="1"/>
              <w:rPr>
                <w:rFonts w:eastAsia="Times New Roman"/>
              </w:rPr>
            </w:pPr>
            <w:r>
              <w:rPr>
                <w:rFonts w:eastAsia="Times New Roman"/>
              </w:rPr>
              <w:t xml:space="preserve">Test and evaluation strategy defined in the TEMP accounts for risks with a mitigation plan; necessary integration and test resources are documented in the TEMP and current availabilities align with the Program’s IMS (Systems Engineer coordinates with Chief Developmental Tester in this area; see </w:t>
            </w:r>
            <w:hyperlink r:id="rId14" w:tooltip="DAG Chapter 9" w:history="1">
              <w:r>
                <w:rPr>
                  <w:rStyle w:val="Hyperlink"/>
                  <w:rFonts w:eastAsia="Times New Roman"/>
                </w:rPr>
                <w:t>DAG Chapter 9 Test and Evaluation</w:t>
              </w:r>
            </w:hyperlink>
            <w:r>
              <w:rPr>
                <w:rFonts w:eastAsia="Times New Roman"/>
              </w:rPr>
              <w:t>)</w:t>
            </w:r>
          </w:p>
          <w:p w14:paraId="3C937D41" w14:textId="77777777" w:rsidR="00E25A9A" w:rsidRDefault="00E25A9A">
            <w:pPr>
              <w:numPr>
                <w:ilvl w:val="0"/>
                <w:numId w:val="6"/>
              </w:numPr>
              <w:spacing w:before="100" w:beforeAutospacing="1" w:after="100" w:afterAutospacing="1"/>
              <w:rPr>
                <w:rFonts w:eastAsia="Times New Roman"/>
              </w:rPr>
            </w:pPr>
            <w:r>
              <w:rPr>
                <w:rFonts w:eastAsia="Times New Roman"/>
              </w:rPr>
              <w:t>ESOH risks are known and being mitigated</w:t>
            </w:r>
          </w:p>
        </w:tc>
      </w:tr>
      <w:tr w:rsidR="00E25A9A" w14:paraId="5433CACA" w14:textId="77777777" w:rsidTr="00E25A9A">
        <w:trPr>
          <w:tblCellSpacing w:w="0" w:type="dxa"/>
          <w:jc w:val="center"/>
        </w:trPr>
        <w:tc>
          <w:tcPr>
            <w:tcW w:w="2960"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04BBDDD5" w14:textId="77777777" w:rsidR="00E25A9A" w:rsidRDefault="00E25A9A">
            <w:pPr>
              <w:pStyle w:val="NormalWeb"/>
            </w:pPr>
            <w:r>
              <w:rPr>
                <w:rStyle w:val="Strong"/>
              </w:rPr>
              <w:t>Technical Plans</w:t>
            </w:r>
          </w:p>
        </w:tc>
        <w:tc>
          <w:tcPr>
            <w:tcW w:w="9800" w:type="dxa"/>
            <w:tcBorders>
              <w:top w:val="outset" w:sz="6" w:space="0" w:color="auto"/>
              <w:left w:val="outset" w:sz="6" w:space="0" w:color="auto"/>
              <w:bottom w:val="outset" w:sz="6" w:space="0" w:color="auto"/>
              <w:right w:val="outset" w:sz="6" w:space="0" w:color="auto"/>
            </w:tcBorders>
            <w:vAlign w:val="center"/>
            <w:hideMark/>
          </w:tcPr>
          <w:p w14:paraId="3639DD5E" w14:textId="77777777" w:rsidR="00E25A9A" w:rsidRDefault="00E25A9A">
            <w:pPr>
              <w:numPr>
                <w:ilvl w:val="0"/>
                <w:numId w:val="7"/>
              </w:numPr>
              <w:spacing w:before="100" w:beforeAutospacing="1" w:after="100" w:afterAutospacing="1"/>
              <w:rPr>
                <w:rFonts w:eastAsia="Times New Roman"/>
              </w:rPr>
            </w:pPr>
            <w:r>
              <w:rPr>
                <w:rFonts w:eastAsia="Times New Roman"/>
              </w:rPr>
              <w:t>PDR is successfully completed; all PDR actions are closed</w:t>
            </w:r>
          </w:p>
          <w:p w14:paraId="64EE2BD5" w14:textId="77777777" w:rsidR="00E25A9A" w:rsidRDefault="00E25A9A">
            <w:pPr>
              <w:numPr>
                <w:ilvl w:val="0"/>
                <w:numId w:val="7"/>
              </w:numPr>
              <w:spacing w:before="100" w:beforeAutospacing="1" w:after="100" w:afterAutospacing="1"/>
              <w:rPr>
                <w:rFonts w:eastAsia="Times New Roman"/>
              </w:rPr>
            </w:pPr>
            <w:r>
              <w:rPr>
                <w:rFonts w:eastAsia="Times New Roman"/>
              </w:rPr>
              <w:t>Integrating activities of any lower-level CDRs have occurred; identified issues are documented in action plans</w:t>
            </w:r>
          </w:p>
          <w:p w14:paraId="20146C50" w14:textId="77777777" w:rsidR="00E25A9A" w:rsidRDefault="00E25A9A">
            <w:pPr>
              <w:numPr>
                <w:ilvl w:val="0"/>
                <w:numId w:val="7"/>
              </w:numPr>
              <w:spacing w:before="100" w:beforeAutospacing="1" w:after="100" w:afterAutospacing="1"/>
              <w:rPr>
                <w:rFonts w:eastAsia="Times New Roman"/>
              </w:rPr>
            </w:pPr>
            <w:r>
              <w:rPr>
                <w:rFonts w:eastAsia="Times New Roman"/>
              </w:rPr>
              <w:t>All entry criteria stated in the contract (e.g., SOW, SEP, approved SEMP, and system specification) have been satisfied</w:t>
            </w:r>
          </w:p>
          <w:p w14:paraId="4A8BFC0C" w14:textId="77777777" w:rsidR="00E25A9A" w:rsidRDefault="00E25A9A">
            <w:pPr>
              <w:numPr>
                <w:ilvl w:val="0"/>
                <w:numId w:val="7"/>
              </w:numPr>
              <w:spacing w:before="100" w:beforeAutospacing="1" w:after="100" w:afterAutospacing="1"/>
              <w:rPr>
                <w:rFonts w:eastAsia="Times New Roman"/>
              </w:rPr>
            </w:pPr>
            <w:r>
              <w:rPr>
                <w:rFonts w:eastAsia="Times New Roman"/>
              </w:rPr>
              <w:t>Adequate processes and metrics are in place for the program to succeed</w:t>
            </w:r>
          </w:p>
          <w:p w14:paraId="77514108" w14:textId="77777777" w:rsidR="00E25A9A" w:rsidRDefault="00E25A9A">
            <w:pPr>
              <w:numPr>
                <w:ilvl w:val="0"/>
                <w:numId w:val="7"/>
              </w:numPr>
              <w:spacing w:before="100" w:beforeAutospacing="1" w:after="100" w:afterAutospacing="1"/>
              <w:rPr>
                <w:rFonts w:eastAsia="Times New Roman"/>
              </w:rPr>
            </w:pPr>
            <w:r>
              <w:rPr>
                <w:rFonts w:eastAsia="Times New Roman"/>
              </w:rPr>
              <w:t>Program schedule as depicted in the updated IMS (see DAG section 4.3.2.2. Integrated Master Plan/Integrated Master Schedule) is executable (within acceptable technical/cost risks)</w:t>
            </w:r>
          </w:p>
          <w:p w14:paraId="0338C699" w14:textId="77777777" w:rsidR="00E25A9A" w:rsidRDefault="00E25A9A">
            <w:pPr>
              <w:numPr>
                <w:ilvl w:val="0"/>
                <w:numId w:val="7"/>
              </w:numPr>
              <w:spacing w:before="100" w:beforeAutospacing="1" w:after="100" w:afterAutospacing="1"/>
              <w:rPr>
                <w:rFonts w:eastAsia="Times New Roman"/>
              </w:rPr>
            </w:pPr>
            <w:r>
              <w:rPr>
                <w:rFonts w:eastAsia="Times New Roman"/>
              </w:rPr>
              <w:t>Program is properly staffed</w:t>
            </w:r>
          </w:p>
          <w:p w14:paraId="34278445" w14:textId="77777777" w:rsidR="00E25A9A" w:rsidRDefault="00E25A9A">
            <w:pPr>
              <w:numPr>
                <w:ilvl w:val="0"/>
                <w:numId w:val="7"/>
              </w:numPr>
              <w:spacing w:before="100" w:beforeAutospacing="1" w:after="100" w:afterAutospacing="1"/>
              <w:rPr>
                <w:rFonts w:eastAsia="Times New Roman"/>
              </w:rPr>
            </w:pPr>
            <w:r>
              <w:rPr>
                <w:rFonts w:eastAsia="Times New Roman"/>
              </w:rPr>
              <w:t>Program is executable with the existing budget and the approved initial product baseline</w:t>
            </w:r>
          </w:p>
          <w:p w14:paraId="6B0A16BE" w14:textId="632E8093" w:rsidR="00E25A9A" w:rsidRDefault="00E25A9A">
            <w:pPr>
              <w:numPr>
                <w:ilvl w:val="0"/>
                <w:numId w:val="7"/>
              </w:numPr>
              <w:spacing w:before="100" w:beforeAutospacing="1" w:after="100" w:afterAutospacing="1"/>
              <w:rPr>
                <w:rFonts w:eastAsia="Times New Roman"/>
              </w:rPr>
            </w:pPr>
            <w:r>
              <w:rPr>
                <w:rFonts w:eastAsia="Times New Roman"/>
              </w:rPr>
              <w:t xml:space="preserve">Detailed </w:t>
            </w:r>
            <w:r w:rsidR="00A20C2E">
              <w:rPr>
                <w:rFonts w:eastAsia="Times New Roman"/>
              </w:rPr>
              <w:t xml:space="preserve">trade studies and system </w:t>
            </w:r>
            <w:proofErr w:type="spellStart"/>
            <w:r w:rsidR="00A20C2E">
              <w:rPr>
                <w:rFonts w:eastAsia="Times New Roman"/>
              </w:rPr>
              <w:t>produci</w:t>
            </w:r>
            <w:r>
              <w:rPr>
                <w:rFonts w:eastAsia="Times New Roman"/>
              </w:rPr>
              <w:t>bility</w:t>
            </w:r>
            <w:proofErr w:type="spellEnd"/>
            <w:r>
              <w:rPr>
                <w:rFonts w:eastAsia="Times New Roman"/>
              </w:rPr>
              <w:t xml:space="preserve"> assessments are under way</w:t>
            </w:r>
          </w:p>
          <w:p w14:paraId="7D177965" w14:textId="77777777" w:rsidR="00E25A9A" w:rsidRDefault="00E25A9A">
            <w:pPr>
              <w:numPr>
                <w:ilvl w:val="0"/>
                <w:numId w:val="7"/>
              </w:numPr>
              <w:spacing w:before="100" w:beforeAutospacing="1" w:after="100" w:afterAutospacing="1"/>
              <w:rPr>
                <w:rFonts w:eastAsia="Times New Roman"/>
              </w:rPr>
            </w:pPr>
            <w:r>
              <w:rPr>
                <w:rFonts w:eastAsia="Times New Roman"/>
              </w:rPr>
              <w:t xml:space="preserve">Materials and tooling are available to meet the pilot line schedule </w:t>
            </w:r>
          </w:p>
          <w:p w14:paraId="089919FF" w14:textId="77777777" w:rsidR="00E25A9A" w:rsidRDefault="00E25A9A">
            <w:pPr>
              <w:numPr>
                <w:ilvl w:val="0"/>
                <w:numId w:val="7"/>
              </w:numPr>
              <w:spacing w:before="100" w:beforeAutospacing="1" w:after="100" w:afterAutospacing="1"/>
              <w:rPr>
                <w:rFonts w:eastAsia="Times New Roman"/>
              </w:rPr>
            </w:pPr>
            <w:r>
              <w:rPr>
                <w:rFonts w:eastAsia="Times New Roman"/>
              </w:rPr>
              <w:t>Logistics (sustainment) and training systems planning and documentation are sufficiently complete to support the review</w:t>
            </w:r>
          </w:p>
          <w:p w14:paraId="7486FA50" w14:textId="77777777" w:rsidR="00E25A9A" w:rsidRDefault="00E25A9A">
            <w:pPr>
              <w:numPr>
                <w:ilvl w:val="0"/>
                <w:numId w:val="7"/>
              </w:numPr>
              <w:spacing w:before="100" w:beforeAutospacing="1" w:after="100" w:afterAutospacing="1"/>
              <w:rPr>
                <w:rFonts w:eastAsia="Times New Roman"/>
              </w:rPr>
            </w:pPr>
            <w:r>
              <w:rPr>
                <w:rFonts w:eastAsia="Times New Roman"/>
              </w:rPr>
              <w:t>Life-Cycle Sustainment Plan (LCSP), including updates on program sustainment development efforts and schedules based on current budgets, test and evaluation results, and firm supportability design features, is approved</w:t>
            </w:r>
          </w:p>
          <w:p w14:paraId="793DD57B" w14:textId="77777777" w:rsidR="00E25A9A" w:rsidRDefault="00E25A9A">
            <w:pPr>
              <w:numPr>
                <w:ilvl w:val="0"/>
                <w:numId w:val="7"/>
              </w:numPr>
              <w:spacing w:before="100" w:beforeAutospacing="1" w:after="100" w:afterAutospacing="1"/>
              <w:rPr>
                <w:rFonts w:eastAsia="Times New Roman"/>
              </w:rPr>
            </w:pPr>
            <w:r>
              <w:rPr>
                <w:rFonts w:eastAsia="Times New Roman"/>
              </w:rPr>
              <w:t xml:space="preserve">Long-lead procurement plans are in place; supply chain assessments are complete </w:t>
            </w:r>
          </w:p>
        </w:tc>
      </w:tr>
    </w:tbl>
    <w:p w14:paraId="61F79201" w14:textId="77777777" w:rsidR="00E25A9A" w:rsidRDefault="00E25A9A" w:rsidP="00E25A9A">
      <w:pPr>
        <w:pStyle w:val="NormalWeb"/>
      </w:pPr>
      <w:r>
        <w:rPr>
          <w:rStyle w:val="Strong"/>
        </w:rPr>
        <w:t>Outputs and Products</w:t>
      </w:r>
    </w:p>
    <w:p w14:paraId="71A91C68" w14:textId="0A07770D" w:rsidR="00E25A9A" w:rsidRDefault="00E25A9A" w:rsidP="00E25A9A">
      <w:pPr>
        <w:pStyle w:val="NormalWeb"/>
      </w:pPr>
      <w:r>
        <w:t>Completion of the CDR should provide the following:</w:t>
      </w:r>
    </w:p>
    <w:p w14:paraId="7FB3BF22" w14:textId="77777777" w:rsidR="00E25A9A" w:rsidRDefault="00E25A9A" w:rsidP="00E25A9A">
      <w:pPr>
        <w:numPr>
          <w:ilvl w:val="0"/>
          <w:numId w:val="8"/>
        </w:numPr>
        <w:spacing w:before="100" w:beforeAutospacing="1" w:after="100" w:afterAutospacing="1"/>
        <w:rPr>
          <w:rFonts w:eastAsia="Times New Roman"/>
        </w:rPr>
      </w:pPr>
      <w:r>
        <w:rPr>
          <w:rFonts w:eastAsia="Times New Roman"/>
        </w:rPr>
        <w:t xml:space="preserve">An established system initial product baseline </w:t>
      </w:r>
    </w:p>
    <w:p w14:paraId="18C20FD6" w14:textId="77777777" w:rsidR="00E25A9A" w:rsidRDefault="00E25A9A" w:rsidP="00E25A9A">
      <w:pPr>
        <w:numPr>
          <w:ilvl w:val="0"/>
          <w:numId w:val="8"/>
        </w:numPr>
        <w:spacing w:before="100" w:beforeAutospacing="1" w:after="100" w:afterAutospacing="1"/>
        <w:rPr>
          <w:rFonts w:eastAsia="Times New Roman"/>
        </w:rPr>
      </w:pPr>
      <w:r>
        <w:rPr>
          <w:rFonts w:eastAsia="Times New Roman"/>
        </w:rPr>
        <w:t xml:space="preserve">Updated CARD (or CARD-like document) based on the system Initial product baseline </w:t>
      </w:r>
    </w:p>
    <w:p w14:paraId="67E64793" w14:textId="77777777" w:rsidR="00E25A9A" w:rsidRDefault="00E25A9A" w:rsidP="00E25A9A">
      <w:pPr>
        <w:numPr>
          <w:ilvl w:val="0"/>
          <w:numId w:val="8"/>
        </w:numPr>
        <w:spacing w:before="100" w:beforeAutospacing="1" w:after="100" w:afterAutospacing="1"/>
        <w:rPr>
          <w:rFonts w:eastAsia="Times New Roman"/>
        </w:rPr>
      </w:pPr>
      <w:r>
        <w:rPr>
          <w:rFonts w:eastAsia="Times New Roman"/>
        </w:rPr>
        <w:t xml:space="preserve">Updated program development schedule including fabrication, test and evaluation, software coding, and critical path drivers </w:t>
      </w:r>
    </w:p>
    <w:p w14:paraId="53DC4E43" w14:textId="77777777" w:rsidR="00E25A9A" w:rsidRDefault="00E25A9A" w:rsidP="00E25A9A">
      <w:pPr>
        <w:pStyle w:val="NormalWeb"/>
      </w:pPr>
      <w:r>
        <w:t>Note that baselines for some supporting items might not be at the detailed level and may lag the system-level CDR. Enabling systems may be on different life-cycle timelines. The CDR agenda should include a review of all this information, but any statement that all detailed design activity on these systems is complete may lead to misunderstandings. As an example, development of simulators and other training systems tends to lag weapon system development.</w:t>
      </w:r>
    </w:p>
    <w:p w14:paraId="5F285C32" w14:textId="77777777" w:rsidR="00385313" w:rsidRDefault="00385313" w:rsidP="00385313"/>
    <w:sectPr w:rsidR="00385313" w:rsidSect="00603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7EC7"/>
    <w:multiLevelType w:val="hybridMultilevel"/>
    <w:tmpl w:val="60C4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D36F7"/>
    <w:multiLevelType w:val="multilevel"/>
    <w:tmpl w:val="E69A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534137"/>
    <w:multiLevelType w:val="multilevel"/>
    <w:tmpl w:val="2248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922C5"/>
    <w:multiLevelType w:val="multilevel"/>
    <w:tmpl w:val="31E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C65F5"/>
    <w:multiLevelType w:val="hybridMultilevel"/>
    <w:tmpl w:val="655A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75681"/>
    <w:multiLevelType w:val="multilevel"/>
    <w:tmpl w:val="D9B4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E01F9F"/>
    <w:multiLevelType w:val="hybridMultilevel"/>
    <w:tmpl w:val="AEB62174"/>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7">
    <w:nsid w:val="3D831BC0"/>
    <w:multiLevelType w:val="multilevel"/>
    <w:tmpl w:val="B61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252F59"/>
    <w:multiLevelType w:val="multilevel"/>
    <w:tmpl w:val="2A2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E30062"/>
    <w:multiLevelType w:val="multilevel"/>
    <w:tmpl w:val="B482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350DA4"/>
    <w:multiLevelType w:val="multilevel"/>
    <w:tmpl w:val="01EE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59535E"/>
    <w:multiLevelType w:val="hybridMultilevel"/>
    <w:tmpl w:val="F1C2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B804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
  </w:num>
  <w:num w:numId="3">
    <w:abstractNumId w:val="9"/>
  </w:num>
  <w:num w:numId="4">
    <w:abstractNumId w:val="8"/>
  </w:num>
  <w:num w:numId="5">
    <w:abstractNumId w:val="3"/>
  </w:num>
  <w:num w:numId="6">
    <w:abstractNumId w:val="5"/>
  </w:num>
  <w:num w:numId="7">
    <w:abstractNumId w:val="2"/>
  </w:num>
  <w:num w:numId="8">
    <w:abstractNumId w:val="7"/>
  </w:num>
  <w:num w:numId="9">
    <w:abstractNumId w:val="11"/>
  </w:num>
  <w:num w:numId="10">
    <w:abstractNumId w:val="4"/>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C62"/>
    <w:rsid w:val="00016A9D"/>
    <w:rsid w:val="0025517C"/>
    <w:rsid w:val="00385313"/>
    <w:rsid w:val="00457FB4"/>
    <w:rsid w:val="0060361F"/>
    <w:rsid w:val="006C66ED"/>
    <w:rsid w:val="008E3C62"/>
    <w:rsid w:val="009B69B3"/>
    <w:rsid w:val="00A20C2E"/>
    <w:rsid w:val="00A764B8"/>
    <w:rsid w:val="00E25A9A"/>
    <w:rsid w:val="00E75DB5"/>
    <w:rsid w:val="00F8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6EA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E25A9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313"/>
    <w:rPr>
      <w:color w:val="0563C1" w:themeColor="hyperlink"/>
      <w:u w:val="single"/>
    </w:rPr>
  </w:style>
  <w:style w:type="character" w:customStyle="1" w:styleId="Heading3Char">
    <w:name w:val="Heading 3 Char"/>
    <w:basedOn w:val="DefaultParagraphFont"/>
    <w:link w:val="Heading3"/>
    <w:uiPriority w:val="9"/>
    <w:rsid w:val="00E25A9A"/>
    <w:rPr>
      <w:rFonts w:ascii="Times New Roman" w:hAnsi="Times New Roman" w:cs="Times New Roman"/>
      <w:b/>
      <w:bCs/>
      <w:sz w:val="27"/>
      <w:szCs w:val="27"/>
    </w:rPr>
  </w:style>
  <w:style w:type="paragraph" w:styleId="NormalWeb">
    <w:name w:val="Normal (Web)"/>
    <w:basedOn w:val="Normal"/>
    <w:uiPriority w:val="99"/>
    <w:semiHidden/>
    <w:unhideWhenUsed/>
    <w:rsid w:val="00E25A9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25A9A"/>
    <w:rPr>
      <w:b/>
      <w:bCs/>
    </w:rPr>
  </w:style>
  <w:style w:type="character" w:styleId="FollowedHyperlink">
    <w:name w:val="FollowedHyperlink"/>
    <w:basedOn w:val="DefaultParagraphFont"/>
    <w:uiPriority w:val="99"/>
    <w:semiHidden/>
    <w:unhideWhenUsed/>
    <w:rsid w:val="00E75DB5"/>
    <w:rPr>
      <w:color w:val="954F72" w:themeColor="followedHyperlink"/>
      <w:u w:val="single"/>
    </w:rPr>
  </w:style>
  <w:style w:type="paragraph" w:styleId="ListParagraph">
    <w:name w:val="List Paragraph"/>
    <w:basedOn w:val="Normal"/>
    <w:uiPriority w:val="34"/>
    <w:qFormat/>
    <w:rsid w:val="00A20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96370">
      <w:bodyDiv w:val="1"/>
      <w:marLeft w:val="0"/>
      <w:marRight w:val="0"/>
      <w:marTop w:val="0"/>
      <w:marBottom w:val="0"/>
      <w:divBdr>
        <w:top w:val="none" w:sz="0" w:space="0" w:color="auto"/>
        <w:left w:val="none" w:sz="0" w:space="0" w:color="auto"/>
        <w:bottom w:val="none" w:sz="0" w:space="0" w:color="auto"/>
        <w:right w:val="none" w:sz="0" w:space="0" w:color="auto"/>
      </w:divBdr>
      <w:divsChild>
        <w:div w:id="107823629">
          <w:marLeft w:val="0"/>
          <w:marRight w:val="0"/>
          <w:marTop w:val="0"/>
          <w:marBottom w:val="0"/>
          <w:divBdr>
            <w:top w:val="none" w:sz="0" w:space="0" w:color="auto"/>
            <w:left w:val="none" w:sz="0" w:space="0" w:color="auto"/>
            <w:bottom w:val="none" w:sz="0" w:space="0" w:color="auto"/>
            <w:right w:val="none" w:sz="0" w:space="0" w:color="auto"/>
          </w:divBdr>
        </w:div>
        <w:div w:id="1400248665">
          <w:marLeft w:val="0"/>
          <w:marRight w:val="0"/>
          <w:marTop w:val="0"/>
          <w:marBottom w:val="0"/>
          <w:divBdr>
            <w:top w:val="none" w:sz="0" w:space="0" w:color="auto"/>
            <w:left w:val="none" w:sz="0" w:space="0" w:color="auto"/>
            <w:bottom w:val="none" w:sz="0" w:space="0" w:color="auto"/>
            <w:right w:val="none" w:sz="0" w:space="0" w:color="auto"/>
          </w:divBdr>
        </w:div>
      </w:divsChild>
    </w:div>
    <w:div w:id="562954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cc.dau.mil/dag9" TargetMode="External"/><Relationship Id="rId12" Type="http://schemas.openxmlformats.org/officeDocument/2006/relationships/hyperlink" Target="https://acc.dau.mil/dag6" TargetMode="External"/><Relationship Id="rId13" Type="http://schemas.openxmlformats.org/officeDocument/2006/relationships/hyperlink" Target="https://acc.dau.mil/dag9" TargetMode="External"/><Relationship Id="rId14" Type="http://schemas.openxmlformats.org/officeDocument/2006/relationships/hyperlink" Target="https://acc.dau.mil/dag9"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cc.dau.mil/CommunityBrowser.aspx?id=638320" TargetMode="External"/><Relationship Id="rId6" Type="http://schemas.openxmlformats.org/officeDocument/2006/relationships/hyperlink" Target="https://acc.dau.mil/dag4.2.13" TargetMode="External"/><Relationship Id="rId7" Type="http://schemas.openxmlformats.org/officeDocument/2006/relationships/hyperlink" Target="https://acc.dau.mil/docs2/dagfigures/chapter4/4.2.13.f1.pptx" TargetMode="External"/><Relationship Id="rId8" Type="http://schemas.openxmlformats.org/officeDocument/2006/relationships/image" Target="media/image1.jpeg"/><Relationship Id="rId9" Type="http://schemas.openxmlformats.org/officeDocument/2006/relationships/hyperlink" Target="http://www.gao.gov/products/GAO-12-400SP" TargetMode="External"/><Relationship Id="rId10" Type="http://schemas.openxmlformats.org/officeDocument/2006/relationships/hyperlink" Target="http://www.acq.osd.mil/se/pg/gui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1659</Words>
  <Characters>9460</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DEFENSE ACQUISITION GUIDEBOOK Chapter 4 -- Systems Engineering</vt:lpstr>
    </vt:vector>
  </TitlesOfParts>
  <LinksUpToDate>false</LinksUpToDate>
  <CharactersWithSpaces>11097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Garber, Fred D.</dc:creator>
  <cp:keywords/>
  <dc:description/>
  <cp:lastModifiedBy>Garber, Fred D.</cp:lastModifiedBy>
  <cp:revision>4</cp:revision>
  <dcterms:created xsi:type="dcterms:W3CDTF">2016-09-13T18:23:00Z</dcterms:created>
  <dcterms:modified xsi:type="dcterms:W3CDTF">2016-09-15T02:56:00Z</dcterms:modified>
</cp:coreProperties>
</file>