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profiler – proposed questions and scoring</w:t>
      </w:r>
    </w:p>
    <w:p>
      <w:r>
        <w:t>This is the suitability section of the advised sale. The adviser uses it with the client to set a risk rating from 1 to 6 on the ESMA scale. It has 8 scored questions, a date of birth, and up to 4 sustainability questions that are asked after the rating. Draft for Compliance review, 19/10/2026. Every cut-off in it is a proposal.</w:t>
      </w:r>
    </w:p>
    <w:p>
      <w:pPr>
        <w:pStyle w:val="Heading1"/>
      </w:pPr>
      <w:r>
        <w:t>1. Summary</w:t>
      </w:r>
    </w:p>
    <w:tbl>
      <w:tblPr>
        <w:tblStyle w:val="TableGrid"/>
        <w:tblW w:type="auto" w:w="0"/>
        <w:tblLayout w:type="fixed"/>
        <w:tblLook w:firstColumn="1" w:firstRow="1" w:lastColumn="0" w:lastRow="0" w:noHBand="0" w:noVBand="1" w:val="04A0"/>
      </w:tblPr>
      <w:tblGrid>
        <w:gridCol w:w="2493"/>
        <w:gridCol w:w="2493"/>
        <w:gridCol w:w="2493"/>
        <w:gridCol w:w="2493"/>
      </w:tblGrid>
      <w:tr>
        <w:trPr>
          <w:cantSplit/>
          <w:tblHeader/>
        </w:trPr>
        <w:tc>
          <w:tcPr>
            <w:tcW w:type="dxa" w:w="2262"/>
            <w:shd w:val="clear" w:fill="003781"/>
          </w:tcPr>
          <w:p>
            <w:pPr>
              <w:keepNext/>
              <w:spacing w:after="20"/>
            </w:pPr>
            <w:r/>
            <w:r>
              <w:rPr>
                <w:b/>
                <w:color w:val="FFFFFF"/>
                <w:sz w:val="19"/>
              </w:rPr>
              <w:t>Part</w:t>
            </w:r>
          </w:p>
        </w:tc>
        <w:tc>
          <w:tcPr>
            <w:tcW w:type="dxa" w:w="828"/>
            <w:shd w:val="clear" w:fill="003781"/>
          </w:tcPr>
          <w:p>
            <w:pPr>
              <w:keepNext/>
              <w:spacing w:after="20"/>
            </w:pPr>
            <w:r/>
            <w:r>
              <w:rPr>
                <w:b/>
                <w:color w:val="FFFFFF"/>
                <w:sz w:val="19"/>
              </w:rPr>
              <w:t>#</w:t>
            </w:r>
          </w:p>
        </w:tc>
        <w:tc>
          <w:tcPr>
            <w:tcW w:type="dxa" w:w="4210"/>
            <w:shd w:val="clear" w:fill="003781"/>
          </w:tcPr>
          <w:p>
            <w:pPr>
              <w:keepNext/>
              <w:spacing w:after="20"/>
            </w:pPr>
            <w:r/>
            <w:r>
              <w:rPr>
                <w:b/>
                <w:color w:val="FFFFFF"/>
                <w:sz w:val="19"/>
              </w:rPr>
              <w:t>Question</w:t>
            </w:r>
          </w:p>
        </w:tc>
        <w:tc>
          <w:tcPr>
            <w:tcW w:type="dxa" w:w="2337"/>
            <w:shd w:val="clear" w:fill="003781"/>
          </w:tcPr>
          <w:p>
            <w:pPr>
              <w:keepNext/>
              <w:spacing w:after="20"/>
            </w:pPr>
            <w:r/>
            <w:r>
              <w:rPr>
                <w:b/>
                <w:color w:val="FFFFFF"/>
                <w:sz w:val="19"/>
              </w:rPr>
              <w:t>Used for</w:t>
            </w:r>
          </w:p>
        </w:tc>
      </w:tr>
      <w:tr>
        <w:trPr>
          <w:cantSplit/>
        </w:trPr>
        <w:tc>
          <w:tcPr>
            <w:tcW w:type="dxa" w:w="2262"/>
          </w:tcPr>
          <w:p>
            <w:pPr>
              <w:keepNext/>
              <w:spacing w:after="20"/>
            </w:pPr>
            <w:r/>
            <w:r>
              <w:rPr>
                <w:sz w:val="19"/>
              </w:rPr>
              <w:t>Your finances</w:t>
            </w:r>
          </w:p>
        </w:tc>
        <w:tc>
          <w:tcPr>
            <w:tcW w:type="dxa" w:w="828"/>
          </w:tcPr>
          <w:p>
            <w:pPr>
              <w:keepNext/>
              <w:spacing w:after="20"/>
            </w:pPr>
            <w:r/>
            <w:r>
              <w:rPr>
                <w:sz w:val="19"/>
              </w:rPr>
              <w:t>Q1</w:t>
            </w:r>
          </w:p>
        </w:tc>
        <w:tc>
          <w:tcPr>
            <w:tcW w:type="dxa" w:w="4210"/>
          </w:tcPr>
          <w:p>
            <w:pPr>
              <w:keepNext/>
              <w:spacing w:after="20"/>
            </w:pPr>
            <w:r/>
            <w:r>
              <w:rPr>
                <w:sz w:val="19"/>
              </w:rPr>
              <w:t>Financial cushion</w:t>
            </w:r>
          </w:p>
        </w:tc>
        <w:tc>
          <w:tcPr>
            <w:tcW w:type="dxa" w:w="2337"/>
          </w:tcPr>
          <w:p>
            <w:pPr>
              <w:keepNext/>
              <w:spacing w:after="20"/>
            </w:pPr>
            <w:r/>
            <w:r>
              <w:rPr>
                <w:sz w:val="19"/>
              </w:rPr>
              <w:t>Capacity for loss</w:t>
            </w:r>
          </w:p>
        </w:tc>
      </w:tr>
      <w:tr>
        <w:trPr>
          <w:cantSplit/>
        </w:trPr>
        <w:tc>
          <w:tcPr>
            <w:tcW w:type="dxa" w:w="2262"/>
            <w:shd w:val="clear" w:fill="EEF3F9"/>
          </w:tcPr>
          <w:p>
            <w:pPr>
              <w:keepNext/>
              <w:spacing w:after="20"/>
            </w:pPr>
            <w:r/>
          </w:p>
        </w:tc>
        <w:tc>
          <w:tcPr>
            <w:tcW w:type="dxa" w:w="828"/>
            <w:shd w:val="clear" w:fill="EEF3F9"/>
          </w:tcPr>
          <w:p>
            <w:pPr>
              <w:keepNext/>
              <w:spacing w:after="20"/>
            </w:pPr>
            <w:r/>
            <w:r>
              <w:rPr>
                <w:sz w:val="19"/>
              </w:rPr>
              <w:t>Q2</w:t>
            </w:r>
          </w:p>
        </w:tc>
        <w:tc>
          <w:tcPr>
            <w:tcW w:type="dxa" w:w="4210"/>
            <w:shd w:val="clear" w:fill="EEF3F9"/>
          </w:tcPr>
          <w:p>
            <w:pPr>
              <w:keepNext/>
              <w:spacing w:after="20"/>
            </w:pPr>
            <w:r/>
            <w:r>
              <w:rPr>
                <w:sz w:val="19"/>
              </w:rPr>
              <w:t>Impact of a loss</w:t>
            </w:r>
          </w:p>
        </w:tc>
        <w:tc>
          <w:tcPr>
            <w:tcW w:type="dxa" w:w="2337"/>
            <w:shd w:val="clear" w:fill="EEF3F9"/>
          </w:tcPr>
          <w:p>
            <w:pPr>
              <w:keepNext/>
              <w:spacing w:after="20"/>
            </w:pPr>
            <w:r/>
            <w:r>
              <w:rPr>
                <w:sz w:val="19"/>
              </w:rPr>
              <w:t>Capacity for loss</w:t>
            </w:r>
          </w:p>
        </w:tc>
      </w:tr>
      <w:tr>
        <w:trPr>
          <w:cantSplit/>
        </w:trPr>
        <w:tc>
          <w:tcPr>
            <w:tcW w:type="dxa" w:w="2262"/>
          </w:tcPr>
          <w:p>
            <w:pPr>
              <w:keepNext/>
              <w:spacing w:after="20"/>
            </w:pPr>
            <w:r/>
            <w:r>
              <w:rPr>
                <w:sz w:val="19"/>
              </w:rPr>
              <w:t>Your timing</w:t>
            </w:r>
          </w:p>
        </w:tc>
        <w:tc>
          <w:tcPr>
            <w:tcW w:type="dxa" w:w="828"/>
          </w:tcPr>
          <w:p>
            <w:pPr>
              <w:keepNext/>
              <w:spacing w:after="20"/>
            </w:pPr>
            <w:r/>
            <w:r>
              <w:rPr>
                <w:sz w:val="19"/>
              </w:rPr>
              <w:t>Q3</w:t>
            </w:r>
          </w:p>
        </w:tc>
        <w:tc>
          <w:tcPr>
            <w:tcW w:type="dxa" w:w="4210"/>
          </w:tcPr>
          <w:p>
            <w:pPr>
              <w:keepNext/>
              <w:spacing w:after="20"/>
            </w:pPr>
            <w:r/>
            <w:r>
              <w:rPr>
                <w:sz w:val="19"/>
              </w:rPr>
              <w:t>Investment horizon</w:t>
            </w:r>
          </w:p>
        </w:tc>
        <w:tc>
          <w:tcPr>
            <w:tcW w:type="dxa" w:w="2337"/>
          </w:tcPr>
          <w:p>
            <w:pPr>
              <w:keepNext/>
              <w:spacing w:after="20"/>
            </w:pPr>
            <w:r/>
            <w:r>
              <w:rPr>
                <w:sz w:val="19"/>
              </w:rPr>
              <w:t>Time limit</w:t>
            </w:r>
          </w:p>
        </w:tc>
      </w:tr>
      <w:tr>
        <w:trPr>
          <w:cantSplit/>
        </w:trPr>
        <w:tc>
          <w:tcPr>
            <w:tcW w:type="dxa" w:w="2262"/>
            <w:shd w:val="clear" w:fill="EEF3F9"/>
          </w:tcPr>
          <w:p>
            <w:pPr>
              <w:keepNext/>
              <w:spacing w:after="20"/>
            </w:pPr>
            <w:r/>
            <w:r>
              <w:rPr>
                <w:sz w:val="19"/>
              </w:rPr>
              <w:t>Your attitude to risk</w:t>
            </w:r>
          </w:p>
        </w:tc>
        <w:tc>
          <w:tcPr>
            <w:tcW w:type="dxa" w:w="828"/>
            <w:shd w:val="clear" w:fill="EEF3F9"/>
          </w:tcPr>
          <w:p>
            <w:pPr>
              <w:keepNext/>
              <w:spacing w:after="20"/>
            </w:pPr>
            <w:r/>
            <w:r>
              <w:rPr>
                <w:sz w:val="19"/>
              </w:rPr>
              <w:t>Q4</w:t>
            </w:r>
          </w:p>
        </w:tc>
        <w:tc>
          <w:tcPr>
            <w:tcW w:type="dxa" w:w="4210"/>
            <w:shd w:val="clear" w:fill="EEF3F9"/>
          </w:tcPr>
          <w:p>
            <w:pPr>
              <w:keepNext/>
              <w:spacing w:after="20"/>
            </w:pPr>
            <w:r/>
            <w:r>
              <w:rPr>
                <w:sz w:val="19"/>
              </w:rPr>
              <w:t>Largest 12-month fall you could accept (slider)</w:t>
            </w:r>
          </w:p>
        </w:tc>
        <w:tc>
          <w:tcPr>
            <w:tcW w:type="dxa" w:w="2337"/>
            <w:shd w:val="clear" w:fill="EEF3F9"/>
          </w:tcPr>
          <w:p>
            <w:pPr>
              <w:keepNext/>
              <w:spacing w:after="20"/>
            </w:pPr>
            <w:r/>
            <w:r>
              <w:rPr>
                <w:sz w:val="19"/>
              </w:rPr>
              <w:t>Attitude rating</w:t>
            </w:r>
          </w:p>
        </w:tc>
      </w:tr>
      <w:tr>
        <w:trPr>
          <w:cantSplit/>
        </w:trPr>
        <w:tc>
          <w:tcPr>
            <w:tcW w:type="dxa" w:w="2262"/>
          </w:tcPr>
          <w:p>
            <w:pPr>
              <w:keepNext/>
              <w:spacing w:after="20"/>
            </w:pPr>
            <w:r/>
          </w:p>
        </w:tc>
        <w:tc>
          <w:tcPr>
            <w:tcW w:type="dxa" w:w="828"/>
          </w:tcPr>
          <w:p>
            <w:pPr>
              <w:keepNext/>
              <w:spacing w:after="20"/>
            </w:pPr>
            <w:r/>
            <w:r>
              <w:rPr>
                <w:sz w:val="19"/>
              </w:rPr>
              <w:t>Q5</w:t>
            </w:r>
          </w:p>
        </w:tc>
        <w:tc>
          <w:tcPr>
            <w:tcW w:type="dxa" w:w="4210"/>
          </w:tcPr>
          <w:p>
            <w:pPr>
              <w:keepNext/>
              <w:spacing w:after="20"/>
            </w:pPr>
            <w:r/>
            <w:r>
              <w:rPr>
                <w:sz w:val="19"/>
              </w:rPr>
              <w:t>What you would do after a 20% fall</w:t>
            </w:r>
          </w:p>
        </w:tc>
        <w:tc>
          <w:tcPr>
            <w:tcW w:type="dxa" w:w="2337"/>
          </w:tcPr>
          <w:p>
            <w:pPr>
              <w:keepNext/>
              <w:spacing w:after="20"/>
            </w:pPr>
            <w:r/>
            <w:r>
              <w:rPr>
                <w:sz w:val="19"/>
              </w:rPr>
              <w:t>Attitude rating</w:t>
            </w:r>
          </w:p>
        </w:tc>
      </w:tr>
      <w:tr>
        <w:trPr>
          <w:cantSplit/>
        </w:trPr>
        <w:tc>
          <w:tcPr>
            <w:tcW w:type="dxa" w:w="2262"/>
            <w:shd w:val="clear" w:fill="EEF3F9"/>
          </w:tcPr>
          <w:p>
            <w:pPr>
              <w:keepNext/>
              <w:spacing w:after="20"/>
            </w:pPr>
            <w:r/>
          </w:p>
        </w:tc>
        <w:tc>
          <w:tcPr>
            <w:tcW w:type="dxa" w:w="828"/>
            <w:shd w:val="clear" w:fill="EEF3F9"/>
          </w:tcPr>
          <w:p>
            <w:pPr>
              <w:keepNext/>
              <w:spacing w:after="20"/>
            </w:pPr>
            <w:r/>
            <w:r>
              <w:rPr>
                <w:sz w:val="19"/>
              </w:rPr>
              <w:t>Q6</w:t>
            </w:r>
          </w:p>
        </w:tc>
        <w:tc>
          <w:tcPr>
            <w:tcW w:type="dxa" w:w="4210"/>
            <w:shd w:val="clear" w:fill="EEF3F9"/>
          </w:tcPr>
          <w:p>
            <w:pPr>
              <w:keepNext/>
              <w:spacing w:after="20"/>
            </w:pPr>
            <w:r/>
            <w:r>
              <w:rPr>
                <w:sz w:val="19"/>
              </w:rPr>
              <w:t>What you want from the investment</w:t>
            </w:r>
          </w:p>
        </w:tc>
        <w:tc>
          <w:tcPr>
            <w:tcW w:type="dxa" w:w="2337"/>
            <w:shd w:val="clear" w:fill="EEF3F9"/>
          </w:tcPr>
          <w:p>
            <w:pPr>
              <w:keepNext/>
              <w:spacing w:after="20"/>
            </w:pPr>
            <w:r/>
            <w:r>
              <w:rPr>
                <w:sz w:val="19"/>
              </w:rPr>
              <w:t>Attitude rating</w:t>
            </w:r>
          </w:p>
        </w:tc>
      </w:tr>
      <w:tr>
        <w:trPr>
          <w:cantSplit/>
        </w:trPr>
        <w:tc>
          <w:tcPr>
            <w:tcW w:type="dxa" w:w="2262"/>
          </w:tcPr>
          <w:p>
            <w:pPr>
              <w:keepNext/>
              <w:spacing w:after="20"/>
            </w:pPr>
            <w:r/>
            <w:r>
              <w:rPr>
                <w:sz w:val="19"/>
              </w:rPr>
              <w:t>Your knowledge</w:t>
            </w:r>
          </w:p>
        </w:tc>
        <w:tc>
          <w:tcPr>
            <w:tcW w:type="dxa" w:w="828"/>
          </w:tcPr>
          <w:p>
            <w:pPr>
              <w:keepNext/>
              <w:spacing w:after="20"/>
            </w:pPr>
            <w:r/>
            <w:r>
              <w:rPr>
                <w:sz w:val="19"/>
              </w:rPr>
              <w:t>Q7</w:t>
            </w:r>
          </w:p>
        </w:tc>
        <w:tc>
          <w:tcPr>
            <w:tcW w:type="dxa" w:w="4210"/>
          </w:tcPr>
          <w:p>
            <w:pPr>
              <w:keepNext/>
              <w:spacing w:after="20"/>
            </w:pPr>
            <w:r/>
            <w:r>
              <w:rPr>
                <w:sz w:val="19"/>
              </w:rPr>
              <w:t>Knowledge and experience</w:t>
            </w:r>
          </w:p>
        </w:tc>
        <w:tc>
          <w:tcPr>
            <w:tcW w:type="dxa" w:w="2337"/>
          </w:tcPr>
          <w:p>
            <w:pPr>
              <w:keepNext/>
              <w:spacing w:after="20"/>
            </w:pPr>
            <w:r/>
            <w:r>
              <w:rPr>
                <w:sz w:val="19"/>
              </w:rPr>
              <w:t>Knowledge level (flag)</w:t>
            </w:r>
          </w:p>
        </w:tc>
      </w:tr>
      <w:tr>
        <w:trPr>
          <w:cantSplit/>
        </w:trPr>
        <w:tc>
          <w:tcPr>
            <w:tcW w:type="dxa" w:w="2262"/>
            <w:shd w:val="clear" w:fill="EEF3F9"/>
          </w:tcPr>
          <w:p>
            <w:pPr>
              <w:keepNext/>
              <w:spacing w:after="20"/>
            </w:pPr>
            <w:r/>
          </w:p>
        </w:tc>
        <w:tc>
          <w:tcPr>
            <w:tcW w:type="dxa" w:w="828"/>
            <w:shd w:val="clear" w:fill="EEF3F9"/>
          </w:tcPr>
          <w:p>
            <w:pPr>
              <w:keepNext/>
              <w:spacing w:after="20"/>
            </w:pPr>
            <w:r/>
            <w:r>
              <w:rPr>
                <w:sz w:val="19"/>
              </w:rPr>
              <w:t>Q8</w:t>
            </w:r>
          </w:p>
        </w:tc>
        <w:tc>
          <w:tcPr>
            <w:tcW w:type="dxa" w:w="4210"/>
            <w:shd w:val="clear" w:fill="EEF3F9"/>
          </w:tcPr>
          <w:p>
            <w:pPr>
              <w:keepNext/>
              <w:spacing w:after="20"/>
            </w:pPr>
            <w:r/>
            <w:r>
              <w:rPr>
                <w:sz w:val="19"/>
              </w:rPr>
              <w:t>Knowledge check: rank four investments by risk</w:t>
            </w:r>
          </w:p>
        </w:tc>
        <w:tc>
          <w:tcPr>
            <w:tcW w:type="dxa" w:w="2337"/>
            <w:shd w:val="clear" w:fill="EEF3F9"/>
          </w:tcPr>
          <w:p>
            <w:pPr>
              <w:keepNext/>
              <w:spacing w:after="20"/>
            </w:pPr>
            <w:r/>
            <w:r>
              <w:rPr>
                <w:sz w:val="19"/>
              </w:rPr>
              <w:t>Knowledge level (flag)</w:t>
            </w:r>
          </w:p>
        </w:tc>
      </w:tr>
      <w:tr>
        <w:trPr>
          <w:cantSplit/>
        </w:trPr>
        <w:tc>
          <w:tcPr>
            <w:tcW w:type="dxa" w:w="2262"/>
          </w:tcPr>
          <w:p>
            <w:pPr>
              <w:keepNext/>
              <w:spacing w:after="20"/>
            </w:pPr>
            <w:r/>
            <w:r>
              <w:rPr>
                <w:sz w:val="19"/>
              </w:rPr>
              <w:t>About you</w:t>
            </w:r>
          </w:p>
        </w:tc>
        <w:tc>
          <w:tcPr>
            <w:tcW w:type="dxa" w:w="828"/>
          </w:tcPr>
          <w:p>
            <w:pPr>
              <w:keepNext/>
              <w:spacing w:after="20"/>
            </w:pPr>
            <w:r/>
            <w:r>
              <w:rPr>
                <w:sz w:val="19"/>
              </w:rPr>
              <w:t>DOB</w:t>
            </w:r>
          </w:p>
        </w:tc>
        <w:tc>
          <w:tcPr>
            <w:tcW w:type="dxa" w:w="4210"/>
          </w:tcPr>
          <w:p>
            <w:pPr>
              <w:keepNext/>
              <w:spacing w:after="20"/>
            </w:pPr>
            <w:r/>
            <w:r>
              <w:rPr>
                <w:sz w:val="19"/>
              </w:rPr>
              <w:t>Date of birth</w:t>
            </w:r>
          </w:p>
        </w:tc>
        <w:tc>
          <w:tcPr>
            <w:tcW w:type="dxa" w:w="2337"/>
          </w:tcPr>
          <w:p>
            <w:pPr>
              <w:keepNext/>
              <w:spacing w:after="20"/>
            </w:pPr>
            <w:r/>
            <w:r>
              <w:rPr>
                <w:sz w:val="19"/>
              </w:rPr>
              <w:t>Age (flag)</w:t>
            </w:r>
          </w:p>
        </w:tc>
      </w:tr>
      <w:tr>
        <w:trPr>
          <w:cantSplit/>
        </w:trPr>
        <w:tc>
          <w:tcPr>
            <w:tcW w:type="dxa" w:w="2262"/>
            <w:shd w:val="clear" w:fill="EEF3F9"/>
          </w:tcPr>
          <w:p>
            <w:pPr>
              <w:spacing w:after="20"/>
            </w:pPr>
            <w:r/>
            <w:r>
              <w:rPr>
                <w:sz w:val="19"/>
              </w:rPr>
              <w:t>Sustainability</w:t>
            </w:r>
          </w:p>
        </w:tc>
        <w:tc>
          <w:tcPr>
            <w:tcW w:type="dxa" w:w="828"/>
            <w:shd w:val="clear" w:fill="EEF3F9"/>
          </w:tcPr>
          <w:p>
            <w:pPr>
              <w:spacing w:after="20"/>
            </w:pPr>
            <w:r/>
            <w:r>
              <w:rPr>
                <w:sz w:val="19"/>
              </w:rPr>
              <w:t>S1–S4</w:t>
            </w:r>
          </w:p>
        </w:tc>
        <w:tc>
          <w:tcPr>
            <w:tcW w:type="dxa" w:w="4210"/>
            <w:shd w:val="clear" w:fill="EEF3F9"/>
          </w:tcPr>
          <w:p>
            <w:pPr>
              <w:spacing w:after="20"/>
            </w:pPr>
            <w:r/>
            <w:r>
              <w:rPr>
                <w:sz w:val="19"/>
              </w:rPr>
              <w:t>Sustainability preferences (asked after the rating)</w:t>
            </w:r>
          </w:p>
        </w:tc>
        <w:tc>
          <w:tcPr>
            <w:tcW w:type="dxa" w:w="2337"/>
            <w:shd w:val="clear" w:fill="EEF3F9"/>
          </w:tcPr>
          <w:p>
            <w:pPr>
              <w:spacing w:after="20"/>
            </w:pPr>
            <w:r/>
            <w:r>
              <w:rPr>
                <w:sz w:val="19"/>
              </w:rPr>
              <w:t>Fund choice only</w:t>
            </w:r>
          </w:p>
        </w:tc>
      </w:tr>
    </w:tbl>
    <w:p>
      <w:pPr>
        <w:spacing w:after="40"/>
      </w:pPr>
    </w:p>
    <w:p>
      <w:pPr>
        <w:pStyle w:val="Heading2"/>
      </w:pPr>
      <w:r>
        <w:t>How the rating is worked out</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1642"/>
            <w:shd w:val="clear" w:fill="003781"/>
          </w:tcPr>
          <w:p>
            <w:pPr>
              <w:keepNext/>
              <w:spacing w:after="20"/>
            </w:pPr>
            <w:r/>
            <w:r>
              <w:rPr>
                <w:b/>
                <w:color w:val="FFFFFF"/>
                <w:sz w:val="19"/>
              </w:rPr>
              <w:t>Step</w:t>
            </w:r>
          </w:p>
        </w:tc>
        <w:tc>
          <w:tcPr>
            <w:tcW w:type="dxa" w:w="6039"/>
            <w:shd w:val="clear" w:fill="003781"/>
          </w:tcPr>
          <w:p>
            <w:pPr>
              <w:keepNext/>
              <w:spacing w:after="20"/>
            </w:pPr>
            <w:r/>
            <w:r>
              <w:rPr>
                <w:b/>
                <w:color w:val="FFFFFF"/>
                <w:sz w:val="19"/>
              </w:rPr>
              <w:t>How</w:t>
            </w:r>
          </w:p>
        </w:tc>
        <w:tc>
          <w:tcPr>
            <w:tcW w:type="dxa" w:w="1957"/>
            <w:shd w:val="clear" w:fill="003781"/>
          </w:tcPr>
          <w:p>
            <w:pPr>
              <w:keepNext/>
              <w:spacing w:after="20"/>
            </w:pPr>
            <w:r/>
            <w:r>
              <w:rPr>
                <w:b/>
                <w:color w:val="FFFFFF"/>
                <w:sz w:val="19"/>
              </w:rPr>
              <w:t>Result</w:t>
            </w:r>
          </w:p>
        </w:tc>
      </w:tr>
      <w:tr>
        <w:trPr>
          <w:cantSplit/>
        </w:trPr>
        <w:tc>
          <w:tcPr>
            <w:tcW w:type="dxa" w:w="1642"/>
          </w:tcPr>
          <w:p>
            <w:pPr>
              <w:keepNext/>
              <w:spacing w:after="20"/>
            </w:pPr>
            <w:r/>
            <w:r>
              <w:rPr>
                <w:b/>
                <w:sz w:val="19"/>
              </w:rPr>
              <w:t>1. Attitude</w:t>
            </w:r>
          </w:p>
        </w:tc>
        <w:tc>
          <w:tcPr>
            <w:tcW w:type="dxa" w:w="6039"/>
          </w:tcPr>
          <w:p>
            <w:pPr>
              <w:keepNext/>
              <w:spacing w:after="20"/>
            </w:pPr>
            <w:r/>
            <w:r>
              <w:rPr>
                <w:sz w:val="19"/>
              </w:rPr>
              <w:t>The middle value of the Q4, Q5 and Q6 ratings, and no more than one level above Q4</w:t>
            </w:r>
          </w:p>
        </w:tc>
        <w:tc>
          <w:tcPr>
            <w:tcW w:type="dxa" w:w="1957"/>
          </w:tcPr>
          <w:p>
            <w:pPr>
              <w:keepNext/>
              <w:spacing w:after="20"/>
            </w:pPr>
            <w:r/>
            <w:r>
              <w:rPr>
                <w:sz w:val="19"/>
              </w:rPr>
              <w:t>1 to 6</w:t>
            </w:r>
          </w:p>
        </w:tc>
      </w:tr>
      <w:tr>
        <w:trPr>
          <w:cantSplit/>
        </w:trPr>
        <w:tc>
          <w:tcPr>
            <w:tcW w:type="dxa" w:w="1642"/>
            <w:shd w:val="clear" w:fill="EEF3F9"/>
          </w:tcPr>
          <w:p>
            <w:pPr>
              <w:keepNext/>
              <w:spacing w:after="20"/>
            </w:pPr>
            <w:r/>
            <w:r>
              <w:rPr>
                <w:b/>
                <w:sz w:val="19"/>
              </w:rPr>
              <w:t>2. Limits</w:t>
            </w:r>
          </w:p>
        </w:tc>
        <w:tc>
          <w:tcPr>
            <w:tcW w:type="dxa" w:w="6039"/>
            <w:shd w:val="clear" w:fill="EEF3F9"/>
          </w:tcPr>
          <w:p>
            <w:pPr>
              <w:keepNext/>
              <w:spacing w:after="20"/>
            </w:pPr>
            <w:r/>
            <w:r>
              <w:rPr>
                <w:sz w:val="19"/>
              </w:rPr>
              <w:t>Time limit from Q3. Capacity limit: Low capacity (Q1 + Q2) allows no more than 4</w:t>
            </w:r>
          </w:p>
        </w:tc>
        <w:tc>
          <w:tcPr>
            <w:tcW w:type="dxa" w:w="1957"/>
            <w:shd w:val="clear" w:fill="EEF3F9"/>
          </w:tcPr>
          <w:p>
            <w:pPr>
              <w:keepNext/>
              <w:spacing w:after="20"/>
            </w:pPr>
            <w:r/>
            <w:r>
              <w:rPr>
                <w:sz w:val="19"/>
              </w:rPr>
              <w:t>A ceiling, or none</w:t>
            </w:r>
          </w:p>
        </w:tc>
      </w:tr>
      <w:tr>
        <w:trPr>
          <w:cantSplit/>
        </w:trPr>
        <w:tc>
          <w:tcPr>
            <w:tcW w:type="dxa" w:w="1642"/>
          </w:tcPr>
          <w:p>
            <w:pPr>
              <w:spacing w:after="20"/>
            </w:pPr>
            <w:r/>
            <w:r>
              <w:rPr>
                <w:b/>
                <w:sz w:val="19"/>
              </w:rPr>
              <w:t>3. Risk rating</w:t>
            </w:r>
          </w:p>
        </w:tc>
        <w:tc>
          <w:tcPr>
            <w:tcW w:type="dxa" w:w="6039"/>
          </w:tcPr>
          <w:p>
            <w:pPr>
              <w:spacing w:after="20"/>
            </w:pPr>
            <w:r/>
            <w:r>
              <w:rPr>
                <w:sz w:val="19"/>
              </w:rPr>
              <w:t>The lower of steps 1 and 2. The adviser may lower it, with a recorded reason. The client is told when a limit applies</w:t>
            </w:r>
          </w:p>
        </w:tc>
        <w:tc>
          <w:tcPr>
            <w:tcW w:type="dxa" w:w="1957"/>
          </w:tcPr>
          <w:p>
            <w:pPr>
              <w:spacing w:after="20"/>
            </w:pPr>
            <w:r/>
            <w:r>
              <w:rPr>
                <w:sz w:val="19"/>
              </w:rPr>
              <w:t>1 to 6</w:t>
            </w:r>
          </w:p>
        </w:tc>
      </w:tr>
    </w:tbl>
    <w:p>
      <w:pPr>
        <w:spacing w:after="40"/>
      </w:pPr>
    </w:p>
    <w:p>
      <w:r>
        <w:t>Knowledge and age do not change the rating. They raise flags for the adviser (section 3).</w:t>
      </w:r>
    </w:p>
    <w:p>
      <w:pPr>
        <w:pStyle w:val="Heading2"/>
      </w:pPr>
      <w:r>
        <w:t>The rating scale</w:t>
      </w:r>
    </w:p>
    <w:tbl>
      <w:tblPr>
        <w:tblStyle w:val="TableGrid"/>
        <w:tblW w:type="auto" w:w="0"/>
        <w:tblLayout w:type="fixed"/>
        <w:tblLook w:firstColumn="1" w:firstRow="1" w:lastColumn="0" w:lastRow="0" w:noHBand="0" w:noVBand="1" w:val="04A0"/>
      </w:tblPr>
      <w:tblGrid>
        <w:gridCol w:w="1246"/>
        <w:gridCol w:w="1246"/>
        <w:gridCol w:w="1246"/>
        <w:gridCol w:w="1246"/>
        <w:gridCol w:w="1246"/>
        <w:gridCol w:w="1246"/>
        <w:gridCol w:w="1246"/>
        <w:gridCol w:w="1246"/>
      </w:tblGrid>
      <w:tr>
        <w:trPr>
          <w:cantSplit/>
          <w:tblHeader/>
        </w:trPr>
        <w:tc>
          <w:tcPr>
            <w:tcW w:type="dxa" w:w="1190"/>
            <w:shd w:val="clear" w:fill="003781"/>
          </w:tcPr>
          <w:p>
            <w:pPr>
              <w:keepNext/>
              <w:spacing w:after="20"/>
            </w:pPr>
            <w:r/>
            <w:r>
              <w:rPr>
                <w:b/>
                <w:color w:val="FFFFFF"/>
                <w:sz w:val="18"/>
              </w:rPr>
              <w:t>Rating</w:t>
            </w:r>
          </w:p>
        </w:tc>
        <w:tc>
          <w:tcPr>
            <w:tcW w:type="dxa" w:w="1018"/>
            <w:shd w:val="clear" w:fill="003781"/>
          </w:tcPr>
          <w:p>
            <w:pPr>
              <w:keepNext/>
              <w:spacing w:after="20"/>
            </w:pPr>
            <w:r/>
            <w:r>
              <w:rPr>
                <w:b/>
                <w:color w:val="FFFFFF"/>
                <w:sz w:val="18"/>
              </w:rPr>
              <w:t>1</w:t>
            </w:r>
          </w:p>
        </w:tc>
        <w:tc>
          <w:tcPr>
            <w:tcW w:type="dxa" w:w="832"/>
            <w:shd w:val="clear" w:fill="003781"/>
          </w:tcPr>
          <w:p>
            <w:pPr>
              <w:keepNext/>
              <w:spacing w:after="20"/>
            </w:pPr>
            <w:r/>
            <w:r>
              <w:rPr>
                <w:b/>
                <w:color w:val="FFFFFF"/>
                <w:sz w:val="18"/>
              </w:rPr>
              <w:t>2</w:t>
            </w:r>
          </w:p>
        </w:tc>
        <w:tc>
          <w:tcPr>
            <w:tcW w:type="dxa" w:w="1429"/>
            <w:shd w:val="clear" w:fill="003781"/>
          </w:tcPr>
          <w:p>
            <w:pPr>
              <w:keepNext/>
              <w:spacing w:after="20"/>
            </w:pPr>
            <w:r/>
            <w:r>
              <w:rPr>
                <w:b/>
                <w:color w:val="FFFFFF"/>
                <w:sz w:val="18"/>
              </w:rPr>
              <w:t>3</w:t>
            </w:r>
          </w:p>
        </w:tc>
        <w:tc>
          <w:tcPr>
            <w:tcW w:type="dxa" w:w="832"/>
            <w:shd w:val="clear" w:fill="003781"/>
          </w:tcPr>
          <w:p>
            <w:pPr>
              <w:keepNext/>
              <w:spacing w:after="20"/>
            </w:pPr>
            <w:r/>
            <w:r>
              <w:rPr>
                <w:b/>
                <w:color w:val="FFFFFF"/>
                <w:sz w:val="18"/>
              </w:rPr>
              <w:t>4</w:t>
            </w:r>
          </w:p>
        </w:tc>
        <w:tc>
          <w:tcPr>
            <w:tcW w:type="dxa" w:w="1506"/>
            <w:shd w:val="clear" w:fill="003781"/>
          </w:tcPr>
          <w:p>
            <w:pPr>
              <w:keepNext/>
              <w:spacing w:after="20"/>
            </w:pPr>
            <w:r/>
            <w:r>
              <w:rPr>
                <w:b/>
                <w:color w:val="FFFFFF"/>
                <w:sz w:val="18"/>
              </w:rPr>
              <w:t>5</w:t>
            </w:r>
          </w:p>
        </w:tc>
        <w:tc>
          <w:tcPr>
            <w:tcW w:type="dxa" w:w="832"/>
            <w:shd w:val="clear" w:fill="003781"/>
          </w:tcPr>
          <w:p>
            <w:pPr>
              <w:keepNext/>
              <w:spacing w:after="20"/>
            </w:pPr>
            <w:r/>
            <w:r>
              <w:rPr>
                <w:b/>
                <w:color w:val="FFFFFF"/>
                <w:sz w:val="18"/>
              </w:rPr>
              <w:t>6</w:t>
            </w:r>
          </w:p>
        </w:tc>
        <w:tc>
          <w:tcPr>
            <w:tcW w:type="dxa" w:w="2000"/>
            <w:shd w:val="clear" w:fill="003781"/>
          </w:tcPr>
          <w:p>
            <w:pPr>
              <w:keepNext/>
              <w:spacing w:after="20"/>
            </w:pPr>
            <w:r/>
            <w:r>
              <w:rPr>
                <w:b/>
                <w:color w:val="FFFFFF"/>
                <w:sz w:val="18"/>
              </w:rPr>
              <w:t>7</w:t>
            </w:r>
          </w:p>
        </w:tc>
      </w:tr>
      <w:tr>
        <w:trPr>
          <w:cantSplit/>
        </w:trPr>
        <w:tc>
          <w:tcPr>
            <w:tcW w:type="dxa" w:w="1190"/>
          </w:tcPr>
          <w:p>
            <w:pPr>
              <w:keepNext/>
              <w:spacing w:after="20"/>
            </w:pPr>
            <w:r/>
            <w:r>
              <w:rPr>
                <w:b/>
                <w:sz w:val="18"/>
              </w:rPr>
              <w:t>Volatility</w:t>
            </w:r>
          </w:p>
        </w:tc>
        <w:tc>
          <w:tcPr>
            <w:tcW w:type="dxa" w:w="1018"/>
          </w:tcPr>
          <w:p>
            <w:pPr>
              <w:keepNext/>
              <w:spacing w:after="20"/>
            </w:pPr>
            <w:r/>
            <w:r>
              <w:rPr>
                <w:sz w:val="18"/>
              </w:rPr>
              <w:t>0–0.5%</w:t>
            </w:r>
          </w:p>
        </w:tc>
        <w:tc>
          <w:tcPr>
            <w:tcW w:type="dxa" w:w="832"/>
          </w:tcPr>
          <w:p>
            <w:pPr>
              <w:keepNext/>
              <w:spacing w:after="20"/>
            </w:pPr>
            <w:r/>
            <w:r>
              <w:rPr>
                <w:sz w:val="18"/>
              </w:rPr>
              <w:t>0.5–2%</w:t>
            </w:r>
          </w:p>
        </w:tc>
        <w:tc>
          <w:tcPr>
            <w:tcW w:type="dxa" w:w="1429"/>
          </w:tcPr>
          <w:p>
            <w:pPr>
              <w:keepNext/>
              <w:spacing w:after="20"/>
            </w:pPr>
            <w:r/>
            <w:r>
              <w:rPr>
                <w:sz w:val="18"/>
              </w:rPr>
              <w:t>2–5%</w:t>
            </w:r>
          </w:p>
        </w:tc>
        <w:tc>
          <w:tcPr>
            <w:tcW w:type="dxa" w:w="832"/>
          </w:tcPr>
          <w:p>
            <w:pPr>
              <w:keepNext/>
              <w:spacing w:after="20"/>
            </w:pPr>
            <w:r/>
            <w:r>
              <w:rPr>
                <w:sz w:val="18"/>
              </w:rPr>
              <w:t>5–10%</w:t>
            </w:r>
          </w:p>
        </w:tc>
        <w:tc>
          <w:tcPr>
            <w:tcW w:type="dxa" w:w="1506"/>
          </w:tcPr>
          <w:p>
            <w:pPr>
              <w:keepNext/>
              <w:spacing w:after="20"/>
            </w:pPr>
            <w:r/>
            <w:r>
              <w:rPr>
                <w:sz w:val="18"/>
              </w:rPr>
              <w:t>10–15%</w:t>
            </w:r>
          </w:p>
        </w:tc>
        <w:tc>
          <w:tcPr>
            <w:tcW w:type="dxa" w:w="832"/>
          </w:tcPr>
          <w:p>
            <w:pPr>
              <w:keepNext/>
              <w:spacing w:after="20"/>
            </w:pPr>
            <w:r/>
            <w:r>
              <w:rPr>
                <w:sz w:val="18"/>
              </w:rPr>
              <w:t>15–25%</w:t>
            </w:r>
          </w:p>
        </w:tc>
        <w:tc>
          <w:tcPr>
            <w:tcW w:type="dxa" w:w="2000"/>
          </w:tcPr>
          <w:p>
            <w:pPr>
              <w:keepNext/>
              <w:spacing w:after="20"/>
            </w:pPr>
            <w:r/>
            <w:r>
              <w:rPr>
                <w:sz w:val="18"/>
              </w:rPr>
              <w:t>over 25%</w:t>
            </w:r>
          </w:p>
        </w:tc>
      </w:tr>
      <w:tr>
        <w:trPr>
          <w:cantSplit/>
        </w:trPr>
        <w:tc>
          <w:tcPr>
            <w:tcW w:type="dxa" w:w="1190"/>
            <w:shd w:val="clear" w:fill="EEF3F9"/>
          </w:tcPr>
          <w:p>
            <w:pPr>
              <w:spacing w:after="20"/>
            </w:pPr>
            <w:r/>
            <w:r>
              <w:rPr>
                <w:b/>
                <w:sz w:val="18"/>
              </w:rPr>
              <w:t>Risk</w:t>
            </w:r>
          </w:p>
        </w:tc>
        <w:tc>
          <w:tcPr>
            <w:tcW w:type="dxa" w:w="1018"/>
            <w:shd w:val="clear" w:fill="EEF3F9"/>
          </w:tcPr>
          <w:p>
            <w:pPr>
              <w:spacing w:after="20"/>
            </w:pPr>
            <w:r/>
            <w:r>
              <w:rPr>
                <w:sz w:val="18"/>
              </w:rPr>
              <w:t>Very low</w:t>
            </w:r>
          </w:p>
        </w:tc>
        <w:tc>
          <w:tcPr>
            <w:tcW w:type="dxa" w:w="832"/>
            <w:shd w:val="clear" w:fill="EEF3F9"/>
          </w:tcPr>
          <w:p>
            <w:pPr>
              <w:spacing w:after="20"/>
            </w:pPr>
            <w:r/>
            <w:r>
              <w:rPr>
                <w:sz w:val="18"/>
              </w:rPr>
              <w:t>Low</w:t>
            </w:r>
          </w:p>
        </w:tc>
        <w:tc>
          <w:tcPr>
            <w:tcW w:type="dxa" w:w="1429"/>
            <w:shd w:val="clear" w:fill="EEF3F9"/>
          </w:tcPr>
          <w:p>
            <w:pPr>
              <w:spacing w:after="20"/>
            </w:pPr>
            <w:r/>
            <w:r>
              <w:rPr>
                <w:sz w:val="18"/>
              </w:rPr>
              <w:t>Low to medium</w:t>
            </w:r>
          </w:p>
        </w:tc>
        <w:tc>
          <w:tcPr>
            <w:tcW w:type="dxa" w:w="832"/>
            <w:shd w:val="clear" w:fill="EEF3F9"/>
          </w:tcPr>
          <w:p>
            <w:pPr>
              <w:spacing w:after="20"/>
            </w:pPr>
            <w:r/>
            <w:r>
              <w:rPr>
                <w:sz w:val="18"/>
              </w:rPr>
              <w:t>Medium</w:t>
            </w:r>
          </w:p>
        </w:tc>
        <w:tc>
          <w:tcPr>
            <w:tcW w:type="dxa" w:w="1506"/>
            <w:shd w:val="clear" w:fill="EEF3F9"/>
          </w:tcPr>
          <w:p>
            <w:pPr>
              <w:spacing w:after="20"/>
            </w:pPr>
            <w:r/>
            <w:r>
              <w:rPr>
                <w:sz w:val="18"/>
              </w:rPr>
              <w:t>Medium to high</w:t>
            </w:r>
          </w:p>
        </w:tc>
        <w:tc>
          <w:tcPr>
            <w:tcW w:type="dxa" w:w="832"/>
            <w:shd w:val="clear" w:fill="EEF3F9"/>
          </w:tcPr>
          <w:p>
            <w:pPr>
              <w:spacing w:after="20"/>
            </w:pPr>
            <w:r/>
            <w:r>
              <w:rPr>
                <w:sz w:val="18"/>
              </w:rPr>
              <w:t>High</w:t>
            </w:r>
          </w:p>
        </w:tc>
        <w:tc>
          <w:tcPr>
            <w:tcW w:type="dxa" w:w="2000"/>
            <w:shd w:val="clear" w:fill="EEF3F9"/>
          </w:tcPr>
          <w:p>
            <w:pPr>
              <w:spacing w:after="20"/>
            </w:pPr>
            <w:r/>
            <w:r>
              <w:rPr>
                <w:sz w:val="18"/>
              </w:rPr>
              <w:t>Very high (not given)</w:t>
            </w:r>
          </w:p>
        </w:tc>
      </w:tr>
    </w:tbl>
    <w:p>
      <w:pPr>
        <w:spacing w:after="40"/>
      </w:pPr>
    </w:p>
    <w:p>
      <w:pPr>
        <w:pStyle w:val="Heading2"/>
      </w:pPr>
      <w:r>
        <w:t>Key design choices</w:t>
      </w: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9"/>
              </w:rPr>
              <w:t xml:space="preserve">Highest rating 6  </w:t>
            </w:r>
            <w:r>
              <w:rPr>
                <w:sz w:val="19"/>
              </w:rPr>
              <w:t>Level 7 is not offered, as at Aviva.</w:t>
            </w:r>
          </w:p>
          <w:p>
            <w:pPr>
              <w:spacing w:after="40"/>
            </w:pPr>
            <w:r>
              <w:rPr>
                <w:b/>
                <w:color w:val="003781"/>
                <w:sz w:val="19"/>
              </w:rPr>
              <w:t xml:space="preserve">The loss answer anchors the rating  </w:t>
            </w:r>
            <w:r>
              <w:rPr>
                <w:sz w:val="19"/>
              </w:rPr>
              <w:t>The attitude rating can be at most one level above the Q4 answer, so a client who will accept only a small loss cannot be rated high on objectives alone.</w:t>
            </w:r>
          </w:p>
          <w:p>
            <w:pPr>
              <w:spacing w:after="40"/>
            </w:pPr>
            <w:r>
              <w:rPr>
                <w:b/>
                <w:color w:val="003781"/>
                <w:sz w:val="19"/>
              </w:rPr>
              <w:t xml:space="preserve">Capacity limits the rating  </w:t>
            </w:r>
            <w:r>
              <w:rPr>
                <w:sz w:val="19"/>
              </w:rPr>
              <w:t>Low capacity for loss caps the rating at 4. Aviva and Zurich only report it. We limit it because the client must be able to bear the losses.</w:t>
            </w:r>
          </w:p>
          <w:p>
            <w:pPr>
              <w:spacing w:after="40"/>
            </w:pPr>
            <w:r>
              <w:rPr>
                <w:b/>
                <w:color w:val="003781"/>
                <w:sz w:val="19"/>
              </w:rPr>
              <w:t xml:space="preserve">Short horizons limit the rating  </w:t>
            </w:r>
            <w:r>
              <w:rPr>
                <w:sz w:val="19"/>
              </w:rPr>
              <w:t>Under 5 years allows no more than 4.</w:t>
            </w:r>
          </w:p>
          <w:p>
            <w:pPr>
              <w:spacing w:after="40"/>
            </w:pPr>
            <w:r>
              <w:rPr>
                <w:b/>
                <w:color w:val="003781"/>
                <w:sz w:val="19"/>
              </w:rPr>
              <w:t xml:space="preserve">Sustainability preferences do not change the rating  </w:t>
            </w:r>
            <w:r>
              <w:rPr>
                <w:sz w:val="19"/>
              </w:rPr>
              <w:t>They are asked after it, and only narrow the fund list.</w:t>
            </w:r>
          </w:p>
          <w:p>
            <w:pPr>
              <w:spacing w:after="40"/>
            </w:pPr>
            <w:r>
              <w:rPr>
                <w:b/>
                <w:color w:val="003781"/>
                <w:sz w:val="19"/>
              </w:rPr>
              <w:t xml:space="preserve">Knowledge and age raise flags only  </w:t>
            </w:r>
            <w:r>
              <w:rPr>
                <w:sz w:val="19"/>
              </w:rPr>
              <w:t>They don't change the rating. The adviser decides what to do.</w:t>
            </w:r>
          </w:p>
          <w:p>
            <w:pPr>
              <w:spacing w:after="40"/>
            </w:pPr>
            <w:r>
              <w:rPr>
                <w:b/>
                <w:color w:val="003781"/>
                <w:sz w:val="19"/>
              </w:rPr>
              <w:t xml:space="preserve">Scope  </w:t>
            </w:r>
            <w:r>
              <w:rPr>
                <w:sz w:val="19"/>
              </w:rPr>
              <w:t>This tool is the suitability section only. The application form collects personal and financial details, and the adviser handles updates, vulnerability and joint applicants (section 4).</w:t>
            </w:r>
          </w:p>
        </w:tc>
      </w:tr>
    </w:tbl>
    <w:p>
      <w:pPr>
        <w:spacing w:after="40"/>
      </w:pPr>
    </w:p>
    <w:p>
      <w:r>
        <w:br w:type="page"/>
      </w:r>
    </w:p>
    <w:p>
      <w:pPr>
        <w:pStyle w:val="Heading1"/>
      </w:pPr>
      <w:r>
        <w:t>2. The questions</w:t>
      </w:r>
    </w:p>
    <w:p>
      <w:r>
        <w:rPr>
          <w:i/>
        </w:rPr>
        <w:t>Each question shows the wording and answers, then why it is asked and the rule it meets.</w:t>
      </w:r>
    </w:p>
    <w:p>
      <w:pPr>
        <w:pStyle w:val="Heading2"/>
      </w:pPr>
      <w:r>
        <w:t>Introduction (shown before Q1)</w:t>
      </w: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Introduction  </w:t>
            </w:r>
            <w:r>
              <w:rPr>
                <w:sz w:val="20"/>
              </w:rPr>
              <w:t>We ask these questions so that your adviser can recommend an investment that suits you. It is our responsibility, not yours, to decide whether an investment is suitable. The questions cover your finances, how long you plan to invest, how you would act if the value of your investment fell, and what you know about investing. Please answer as accurately and fully as you can: if the answers are not accurate and complete, we cannot recommend an investment. Your answers give a risk rating from 1 (very low risk) to 6 (high risk), which your adviser uses, with your other circumstances, to choose suitable funds. Your adviser can help with any question and will go through the result with you. If your circumstances change, please tell your adviser.</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Regulation  </w:t>
            </w:r>
            <w:r>
              <w:rPr>
                <w:sz w:val="18"/>
              </w:rPr>
              <w:t>Explains why the questions are asked and that the firm decides suitability (ESMA 11–12). States how the answers are used and that an adviser is involved (ESMA 17). It contains no disclaimer and asks the client to confirm nothing (ESMA 14–15).</w:t>
            </w:r>
          </w:p>
        </w:tc>
      </w:tr>
    </w:tbl>
    <w:p>
      <w:pPr>
        <w:spacing w:after="40"/>
      </w:pPr>
    </w:p>
    <w:p>
      <w:pPr>
        <w:pStyle w:val="Heading2"/>
      </w:pPr>
      <w:r>
        <w:t>Part A – Your finances</w:t>
      </w:r>
    </w:p>
    <w:p>
      <w:pPr>
        <w:keepNext/>
        <w:spacing w:before="120"/>
      </w:pPr>
      <w:r>
        <w:rPr>
          <w:b/>
          <w:color w:val="003781"/>
          <w:sz w:val="22"/>
        </w:rPr>
        <w:t>Q1  Financial cushion</w:t>
      </w:r>
    </w:p>
    <w:p>
      <w:pPr>
        <w:keepNext/>
      </w:pPr>
      <w:r>
        <w:rPr>
          <w:b/>
          <w:sz w:val="24"/>
        </w:rPr>
        <w:t>If your income stopped, how long could you cover your normal spending (including any loan or mortgage repayments and support for family) from savings you can get at easily (not pensions or this investment)?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Points</w:t>
            </w:r>
          </w:p>
        </w:tc>
      </w:tr>
      <w:tr>
        <w:trPr>
          <w:cantSplit/>
        </w:trPr>
        <w:tc>
          <w:tcPr>
            <w:tcW w:type="dxa" w:w="7087"/>
          </w:tcPr>
          <w:p>
            <w:pPr>
              <w:keepNext/>
              <w:spacing w:after="20"/>
            </w:pPr>
            <w:r/>
            <w:r>
              <w:rPr>
                <w:sz w:val="20"/>
              </w:rPr>
              <w:t>12 months or more</w:t>
            </w:r>
          </w:p>
        </w:tc>
        <w:tc>
          <w:tcPr>
            <w:tcW w:type="dxa" w:w="2551"/>
          </w:tcPr>
          <w:p>
            <w:pPr>
              <w:keepNext/>
              <w:spacing w:after="20"/>
            </w:pPr>
            <w:r/>
            <w:r>
              <w:rPr>
                <w:sz w:val="20"/>
              </w:rPr>
              <w:t>3</w:t>
            </w:r>
          </w:p>
        </w:tc>
      </w:tr>
      <w:tr>
        <w:trPr>
          <w:cantSplit/>
        </w:trPr>
        <w:tc>
          <w:tcPr>
            <w:tcW w:type="dxa" w:w="7087"/>
            <w:shd w:val="clear" w:fill="EEF3F9"/>
          </w:tcPr>
          <w:p>
            <w:pPr>
              <w:keepNext/>
              <w:spacing w:after="20"/>
            </w:pPr>
            <w:r/>
            <w:r>
              <w:rPr>
                <w:sz w:val="20"/>
              </w:rPr>
              <w:t>3 to 11 months</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Less than 3 months</w:t>
            </w:r>
          </w:p>
        </w:tc>
        <w:tc>
          <w:tcPr>
            <w:tcW w:type="dxa" w:w="2551"/>
          </w:tcPr>
          <w:p>
            <w:pPr>
              <w:keepNext/>
              <w:spacing w:after="20"/>
            </w:pPr>
            <w:r/>
            <w:r>
              <w:rPr>
                <w:sz w:val="20"/>
              </w:rPr>
              <w:t>1</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Shows whether a fall in value could force the client to sell. It is a fact the client can work out, not a feeling. Pensions are excluded because the client usually cannot reach them.</w:t>
            </w:r>
          </w:p>
          <w:p>
            <w:pPr>
              <w:spacing w:after="40"/>
            </w:pPr>
            <w:r>
              <w:rPr>
                <w:b/>
                <w:color w:val="003781"/>
                <w:sz w:val="18"/>
              </w:rPr>
              <w:t xml:space="preserve">Regulation  </w:t>
            </w:r>
            <w:r>
              <w:rPr>
                <w:sz w:val="18"/>
              </w:rPr>
              <w:t>Ability to bear losses (IDD Art 30; ESMA 80). Asks for facts, not whether the client feels they have enough (ESMA 46). Similar to Zurich Q8.</w:t>
            </w:r>
          </w:p>
        </w:tc>
      </w:tr>
    </w:tbl>
    <w:p>
      <w:pPr>
        <w:spacing w:after="40"/>
      </w:pPr>
    </w:p>
    <w:p>
      <w:pPr>
        <w:keepNext/>
        <w:spacing w:before="120"/>
      </w:pPr>
      <w:r>
        <w:rPr>
          <w:b/>
          <w:color w:val="003781"/>
          <w:sz w:val="22"/>
        </w:rPr>
        <w:t>Q2  Impact of a loss</w:t>
      </w:r>
    </w:p>
    <w:p>
      <w:pPr>
        <w:keepNext/>
      </w:pPr>
      <w:r>
        <w:rPr>
          <w:b/>
          <w:sz w:val="24"/>
        </w:rPr>
        <w:t>If this investment lost a large part of its value, what impact would this have on your finances?</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Points</w:t>
            </w:r>
          </w:p>
        </w:tc>
      </w:tr>
      <w:tr>
        <w:trPr>
          <w:cantSplit/>
        </w:trPr>
        <w:tc>
          <w:tcPr>
            <w:tcW w:type="dxa" w:w="7087"/>
          </w:tcPr>
          <w:p>
            <w:pPr>
              <w:keepNext/>
              <w:spacing w:after="20"/>
            </w:pPr>
            <w:r/>
            <w:r>
              <w:rPr>
                <w:sz w:val="20"/>
              </w:rPr>
              <w:t>A big impact: I would struggle to meet my living costs or commitments</w:t>
            </w:r>
          </w:p>
        </w:tc>
        <w:tc>
          <w:tcPr>
            <w:tcW w:type="dxa" w:w="2551"/>
          </w:tcPr>
          <w:p>
            <w:pPr>
              <w:keepNext/>
              <w:spacing w:after="20"/>
            </w:pPr>
            <w:r/>
            <w:r>
              <w:rPr>
                <w:sz w:val="20"/>
              </w:rPr>
              <w:t>1</w:t>
            </w:r>
          </w:p>
        </w:tc>
      </w:tr>
      <w:tr>
        <w:trPr>
          <w:cantSplit/>
        </w:trPr>
        <w:tc>
          <w:tcPr>
            <w:tcW w:type="dxa" w:w="7087"/>
            <w:shd w:val="clear" w:fill="EEF3F9"/>
          </w:tcPr>
          <w:p>
            <w:pPr>
              <w:keepNext/>
              <w:spacing w:after="20"/>
            </w:pPr>
            <w:r/>
            <w:r>
              <w:rPr>
                <w:sz w:val="20"/>
              </w:rPr>
              <w:t>Some impact: I would need to make adjustments to my plans, but I could manage</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Little or no impact: I have other savings and income to rely on</w:t>
            </w:r>
          </w:p>
        </w:tc>
        <w:tc>
          <w:tcPr>
            <w:tcW w:type="dxa" w:w="2551"/>
          </w:tcPr>
          <w:p>
            <w:pPr>
              <w:keepNext/>
              <w:spacing w:after="20"/>
            </w:pPr>
            <w:r/>
            <w:r>
              <w:rPr>
                <w:sz w:val="20"/>
              </w:rPr>
              <w:t>3</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Q1 measures the cash buffer; Q2 measures how much rides on this money. The first answer is about hardship, not purpose: almost all pension money has a specific purpose (retirement), and that alone should not make capacity Low.</w:t>
            </w:r>
          </w:p>
          <w:p>
            <w:pPr>
              <w:spacing w:after="40"/>
            </w:pPr>
            <w:r>
              <w:rPr>
                <w:b/>
                <w:color w:val="003781"/>
                <w:sz w:val="18"/>
              </w:rPr>
              <w:t xml:space="preserve">Regulation  </w:t>
            </w:r>
            <w:r>
              <w:rPr>
                <w:sz w:val="18"/>
              </w:rPr>
              <w:t>Ability to bear losses (IDD Art 30; ESMA 12, 80). Based on Zurich Q9, in our own words.</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Capacity for loss = Q1 + Q2: Low (2–3), Medium (4), High (5–6). Low capacity limits the risk rating to 4. Medium and High are shown to the adviser but do not change the rating.</w:t>
            </w:r>
          </w:p>
        </w:tc>
      </w:tr>
    </w:tbl>
    <w:p>
      <w:pPr>
        <w:spacing w:after="40"/>
      </w:pPr>
    </w:p>
    <w:p>
      <w:pPr>
        <w:pStyle w:val="Heading2"/>
      </w:pPr>
      <w:r>
        <w:t>Part B – Your timing</w:t>
      </w:r>
    </w:p>
    <w:p>
      <w:pPr>
        <w:keepNext/>
        <w:spacing w:before="120"/>
      </w:pPr>
      <w:r>
        <w:rPr>
          <w:b/>
          <w:color w:val="003781"/>
          <w:sz w:val="22"/>
        </w:rPr>
        <w:t>Q3  Investment horizon</w:t>
      </w:r>
    </w:p>
    <w:p>
      <w:pPr>
        <w:keepNext/>
      </w:pPr>
      <w:r>
        <w:rPr>
          <w:b/>
          <w:sz w:val="24"/>
        </w:rPr>
        <w:t>How long do you plan to hold this investment?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Highest rating allowed</w:t>
            </w:r>
          </w:p>
        </w:tc>
      </w:tr>
      <w:tr>
        <w:trPr>
          <w:cantSplit/>
        </w:trPr>
        <w:tc>
          <w:tcPr>
            <w:tcW w:type="dxa" w:w="7087"/>
          </w:tcPr>
          <w:p>
            <w:pPr>
              <w:keepNext/>
              <w:spacing w:after="20"/>
            </w:pPr>
            <w:r/>
            <w:r>
              <w:rPr>
                <w:sz w:val="20"/>
              </w:rPr>
              <w:t>Less than 1 year</w:t>
            </w:r>
          </w:p>
        </w:tc>
        <w:tc>
          <w:tcPr>
            <w:tcW w:type="dxa" w:w="2551"/>
          </w:tcPr>
          <w:p>
            <w:pPr>
              <w:keepNext/>
              <w:spacing w:after="20"/>
            </w:pPr>
            <w:r/>
            <w:r>
              <w:rPr>
                <w:sz w:val="20"/>
              </w:rPr>
              <w:t>1</w:t>
            </w:r>
          </w:p>
        </w:tc>
      </w:tr>
      <w:tr>
        <w:trPr>
          <w:cantSplit/>
        </w:trPr>
        <w:tc>
          <w:tcPr>
            <w:tcW w:type="dxa" w:w="7087"/>
            <w:shd w:val="clear" w:fill="EEF3F9"/>
          </w:tcPr>
          <w:p>
            <w:pPr>
              <w:keepNext/>
              <w:spacing w:after="20"/>
            </w:pPr>
            <w:r/>
            <w:r>
              <w:rPr>
                <w:sz w:val="20"/>
              </w:rPr>
              <w:t>1 year to less than 3 years</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3 years to less than 5 years</w:t>
            </w:r>
          </w:p>
        </w:tc>
        <w:tc>
          <w:tcPr>
            <w:tcW w:type="dxa" w:w="2551"/>
          </w:tcPr>
          <w:p>
            <w:pPr>
              <w:keepNext/>
              <w:spacing w:after="20"/>
            </w:pPr>
            <w:r/>
            <w:r>
              <w:rPr>
                <w:sz w:val="20"/>
              </w:rPr>
              <w:t>4</w:t>
            </w:r>
          </w:p>
        </w:tc>
      </w:tr>
      <w:tr>
        <w:trPr>
          <w:cantSplit/>
        </w:trPr>
        <w:tc>
          <w:tcPr>
            <w:tcW w:type="dxa" w:w="7087"/>
            <w:shd w:val="clear" w:fill="EEF3F9"/>
          </w:tcPr>
          <w:p>
            <w:pPr>
              <w:keepNext/>
              <w:spacing w:after="20"/>
            </w:pPr>
            <w:r/>
            <w:r>
              <w:rPr>
                <w:sz w:val="20"/>
              </w:rPr>
              <w:t>5 years or more</w:t>
            </w:r>
          </w:p>
        </w:tc>
        <w:tc>
          <w:tcPr>
            <w:tcW w:type="dxa" w:w="2551"/>
            <w:shd w:val="clear" w:fill="EEF3F9"/>
          </w:tcPr>
          <w:p>
            <w:pPr>
              <w:keepNext/>
              <w:spacing w:after="20"/>
            </w:pPr>
            <w:r/>
            <w:r>
              <w:rPr>
                <w:sz w:val="20"/>
              </w:rPr>
              <w:t>No limit</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Higher-risk funds need time to recover from falls. The ESMA scale assumes 5 years or more.</w:t>
            </w:r>
          </w:p>
          <w:p>
            <w:pPr>
              <w:spacing w:after="40"/>
            </w:pPr>
            <w:r>
              <w:rPr>
                <w:b/>
                <w:color w:val="003781"/>
                <w:sz w:val="18"/>
              </w:rPr>
              <w:t xml:space="preserve">Regulation  </w:t>
            </w:r>
            <w:r>
              <w:rPr>
                <w:sz w:val="18"/>
              </w:rPr>
              <w:t>Holding period (ESMA 24, 37, 80). Zurich also lowers the profile for short terms.</w:t>
            </w:r>
          </w:p>
        </w:tc>
      </w:tr>
    </w:tbl>
    <w:p>
      <w:pPr>
        <w:spacing w:after="40"/>
      </w:pPr>
    </w:p>
    <w:p>
      <w:pPr>
        <w:pStyle w:val="Heading2"/>
      </w:pPr>
      <w:r>
        <w:t>Part C – Your attitude to risk</w:t>
      </w:r>
    </w:p>
    <w:p>
      <w:pPr>
        <w:keepNext/>
        <w:spacing w:before="120"/>
      </w:pPr>
      <w:r>
        <w:rPr>
          <w:b/>
          <w:color w:val="003781"/>
          <w:sz w:val="22"/>
        </w:rPr>
        <w:t>Q4  Largest fall you could accept</w:t>
      </w:r>
    </w:p>
    <w:p>
      <w:pPr>
        <w:keepNext/>
      </w:pPr>
      <w:r>
        <w:rPr>
          <w:b/>
          <w:sz w:val="24"/>
        </w:rPr>
        <w:t>Imagine you invest €10,000. What is the largest fall in value over 12 months that you could accept without changing your plans?</w:t>
      </w:r>
    </w:p>
    <w:p>
      <w:r>
        <w:rPr>
          <w:i/>
        </w:rPr>
        <w:t>Built as a slider</w:t>
      </w:r>
      <w:r>
        <w:rPr>
          <w:i/>
        </w:rPr>
        <w:t xml:space="preserve"> from "No fall" to "40% or more", in 0.5% steps, starting with no value selected. The € amount is shown as the client moves it. A value between two marks scores the lower band.</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3501"/>
            <w:shd w:val="clear" w:fill="003781"/>
          </w:tcPr>
          <w:p>
            <w:pPr>
              <w:keepNext/>
              <w:spacing w:after="20"/>
            </w:pPr>
            <w:r/>
            <w:r>
              <w:rPr>
                <w:b/>
                <w:color w:val="FFFFFF"/>
                <w:sz w:val="19"/>
              </w:rPr>
              <w:t>Slider value</w:t>
            </w:r>
          </w:p>
        </w:tc>
        <w:tc>
          <w:tcPr>
            <w:tcW w:type="dxa" w:w="4375"/>
            <w:shd w:val="clear" w:fill="003781"/>
          </w:tcPr>
          <w:p>
            <w:pPr>
              <w:keepNext/>
              <w:spacing w:after="20"/>
            </w:pPr>
            <w:r/>
            <w:r>
              <w:rPr>
                <w:b/>
                <w:color w:val="FFFFFF"/>
                <w:sz w:val="19"/>
              </w:rPr>
              <w:t>Shown as</w:t>
            </w:r>
          </w:p>
        </w:tc>
        <w:tc>
          <w:tcPr>
            <w:tcW w:type="dxa" w:w="1762"/>
            <w:shd w:val="clear" w:fill="003781"/>
          </w:tcPr>
          <w:p>
            <w:pPr>
              <w:keepNext/>
              <w:spacing w:after="20"/>
            </w:pPr>
            <w:r/>
            <w:r>
              <w:rPr>
                <w:b/>
                <w:color w:val="FFFFFF"/>
                <w:sz w:val="19"/>
              </w:rPr>
              <w:t>Rating</w:t>
            </w:r>
          </w:p>
        </w:tc>
      </w:tr>
      <w:tr>
        <w:trPr>
          <w:cantSplit/>
        </w:trPr>
        <w:tc>
          <w:tcPr>
            <w:tcW w:type="dxa" w:w="3501"/>
          </w:tcPr>
          <w:p>
            <w:pPr>
              <w:keepNext/>
              <w:spacing w:after="20"/>
            </w:pPr>
            <w:r/>
            <w:r>
              <w:rPr>
                <w:sz w:val="19"/>
              </w:rPr>
              <w:t>0% to under 2.5%</w:t>
            </w:r>
          </w:p>
        </w:tc>
        <w:tc>
          <w:tcPr>
            <w:tcW w:type="dxa" w:w="4375"/>
          </w:tcPr>
          <w:p>
            <w:pPr>
              <w:keepNext/>
              <w:spacing w:after="20"/>
            </w:pPr>
            <w:r/>
            <w:r>
              <w:rPr>
                <w:sz w:val="19"/>
              </w:rPr>
              <w:t>No fall, or under €250</w:t>
            </w:r>
          </w:p>
        </w:tc>
        <w:tc>
          <w:tcPr>
            <w:tcW w:type="dxa" w:w="1762"/>
          </w:tcPr>
          <w:p>
            <w:pPr>
              <w:keepNext/>
              <w:spacing w:after="20"/>
            </w:pPr>
            <w:r/>
            <w:r>
              <w:rPr>
                <w:sz w:val="19"/>
              </w:rPr>
              <w:t>1</w:t>
            </w:r>
          </w:p>
        </w:tc>
      </w:tr>
      <w:tr>
        <w:trPr>
          <w:cantSplit/>
        </w:trPr>
        <w:tc>
          <w:tcPr>
            <w:tcW w:type="dxa" w:w="3501"/>
            <w:shd w:val="clear" w:fill="EEF3F9"/>
          </w:tcPr>
          <w:p>
            <w:pPr>
              <w:keepNext/>
              <w:spacing w:after="20"/>
            </w:pPr>
            <w:r/>
            <w:r>
              <w:rPr>
                <w:sz w:val="19"/>
              </w:rPr>
              <w:t>2.5% to under 7%</w:t>
            </w:r>
          </w:p>
        </w:tc>
        <w:tc>
          <w:tcPr>
            <w:tcW w:type="dxa" w:w="4375"/>
            <w:shd w:val="clear" w:fill="EEF3F9"/>
          </w:tcPr>
          <w:p>
            <w:pPr>
              <w:keepNext/>
              <w:spacing w:after="20"/>
            </w:pPr>
            <w:r/>
            <w:r>
              <w:rPr>
                <w:sz w:val="19"/>
              </w:rPr>
              <w:t>About €250 to €700</w:t>
            </w:r>
          </w:p>
        </w:tc>
        <w:tc>
          <w:tcPr>
            <w:tcW w:type="dxa" w:w="1762"/>
            <w:shd w:val="clear" w:fill="EEF3F9"/>
          </w:tcPr>
          <w:p>
            <w:pPr>
              <w:keepNext/>
              <w:spacing w:after="20"/>
            </w:pPr>
            <w:r/>
            <w:r>
              <w:rPr>
                <w:sz w:val="19"/>
              </w:rPr>
              <w:t>2</w:t>
            </w:r>
          </w:p>
        </w:tc>
      </w:tr>
      <w:tr>
        <w:trPr>
          <w:cantSplit/>
        </w:trPr>
        <w:tc>
          <w:tcPr>
            <w:tcW w:type="dxa" w:w="3501"/>
          </w:tcPr>
          <w:p>
            <w:pPr>
              <w:keepNext/>
              <w:spacing w:after="20"/>
            </w:pPr>
            <w:r/>
            <w:r>
              <w:rPr>
                <w:sz w:val="19"/>
              </w:rPr>
              <w:t>7% to under 15%</w:t>
            </w:r>
          </w:p>
        </w:tc>
        <w:tc>
          <w:tcPr>
            <w:tcW w:type="dxa" w:w="4375"/>
          </w:tcPr>
          <w:p>
            <w:pPr>
              <w:keepNext/>
              <w:spacing w:after="20"/>
            </w:pPr>
            <w:r/>
            <w:r>
              <w:rPr>
                <w:sz w:val="19"/>
              </w:rPr>
              <w:t>About €700 to €1,500</w:t>
            </w:r>
          </w:p>
        </w:tc>
        <w:tc>
          <w:tcPr>
            <w:tcW w:type="dxa" w:w="1762"/>
          </w:tcPr>
          <w:p>
            <w:pPr>
              <w:keepNext/>
              <w:spacing w:after="20"/>
            </w:pPr>
            <w:r/>
            <w:r>
              <w:rPr>
                <w:sz w:val="19"/>
              </w:rPr>
              <w:t>3</w:t>
            </w:r>
          </w:p>
        </w:tc>
      </w:tr>
      <w:tr>
        <w:trPr>
          <w:cantSplit/>
        </w:trPr>
        <w:tc>
          <w:tcPr>
            <w:tcW w:type="dxa" w:w="3501"/>
            <w:shd w:val="clear" w:fill="EEF3F9"/>
          </w:tcPr>
          <w:p>
            <w:pPr>
              <w:keepNext/>
              <w:spacing w:after="20"/>
            </w:pPr>
            <w:r/>
            <w:r>
              <w:rPr>
                <w:sz w:val="19"/>
              </w:rPr>
              <w:t>15% to under 25%</w:t>
            </w:r>
          </w:p>
        </w:tc>
        <w:tc>
          <w:tcPr>
            <w:tcW w:type="dxa" w:w="4375"/>
            <w:shd w:val="clear" w:fill="EEF3F9"/>
          </w:tcPr>
          <w:p>
            <w:pPr>
              <w:keepNext/>
              <w:spacing w:after="20"/>
            </w:pPr>
            <w:r/>
            <w:r>
              <w:rPr>
                <w:sz w:val="19"/>
              </w:rPr>
              <w:t>About €1,500 to €2,500</w:t>
            </w:r>
          </w:p>
        </w:tc>
        <w:tc>
          <w:tcPr>
            <w:tcW w:type="dxa" w:w="1762"/>
            <w:shd w:val="clear" w:fill="EEF3F9"/>
          </w:tcPr>
          <w:p>
            <w:pPr>
              <w:keepNext/>
              <w:spacing w:after="20"/>
            </w:pPr>
            <w:r/>
            <w:r>
              <w:rPr>
                <w:sz w:val="19"/>
              </w:rPr>
              <w:t>4</w:t>
            </w:r>
          </w:p>
        </w:tc>
      </w:tr>
      <w:tr>
        <w:trPr>
          <w:cantSplit/>
        </w:trPr>
        <w:tc>
          <w:tcPr>
            <w:tcW w:type="dxa" w:w="3501"/>
          </w:tcPr>
          <w:p>
            <w:pPr>
              <w:keepNext/>
              <w:spacing w:after="20"/>
            </w:pPr>
            <w:r/>
            <w:r>
              <w:rPr>
                <w:sz w:val="19"/>
              </w:rPr>
              <w:t>25% to under 40%</w:t>
            </w:r>
          </w:p>
        </w:tc>
        <w:tc>
          <w:tcPr>
            <w:tcW w:type="dxa" w:w="4375"/>
          </w:tcPr>
          <w:p>
            <w:pPr>
              <w:keepNext/>
              <w:spacing w:after="20"/>
            </w:pPr>
            <w:r/>
            <w:r>
              <w:rPr>
                <w:sz w:val="19"/>
              </w:rPr>
              <w:t>About €2,500 to €4,000</w:t>
            </w:r>
          </w:p>
        </w:tc>
        <w:tc>
          <w:tcPr>
            <w:tcW w:type="dxa" w:w="1762"/>
          </w:tcPr>
          <w:p>
            <w:pPr>
              <w:keepNext/>
              <w:spacing w:after="20"/>
            </w:pPr>
            <w:r/>
            <w:r>
              <w:rPr>
                <w:sz w:val="19"/>
              </w:rPr>
              <w:t>5</w:t>
            </w:r>
          </w:p>
        </w:tc>
      </w:tr>
      <w:tr>
        <w:trPr>
          <w:cantSplit/>
        </w:trPr>
        <w:tc>
          <w:tcPr>
            <w:tcW w:type="dxa" w:w="3501"/>
            <w:shd w:val="clear" w:fill="EEF3F9"/>
          </w:tcPr>
          <w:p>
            <w:pPr>
              <w:spacing w:after="20"/>
            </w:pPr>
            <w:r/>
            <w:r>
              <w:rPr>
                <w:sz w:val="19"/>
              </w:rPr>
              <w:t>40% or more</w:t>
            </w:r>
          </w:p>
        </w:tc>
        <w:tc>
          <w:tcPr>
            <w:tcW w:type="dxa" w:w="4375"/>
            <w:shd w:val="clear" w:fill="EEF3F9"/>
          </w:tcPr>
          <w:p>
            <w:pPr>
              <w:spacing w:after="20"/>
            </w:pPr>
            <w:r/>
            <w:r>
              <w:rPr>
                <w:sz w:val="19"/>
              </w:rPr>
              <w:t>About €4,000 or more</w:t>
            </w:r>
          </w:p>
        </w:tc>
        <w:tc>
          <w:tcPr>
            <w:tcW w:type="dxa" w:w="1762"/>
            <w:shd w:val="clear" w:fill="EEF3F9"/>
          </w:tcPr>
          <w:p>
            <w:pPr>
              <w:spacing w:after="20"/>
            </w:pPr>
            <w:r/>
            <w:r>
              <w:rPr>
                <w:sz w:val="19"/>
              </w:rPr>
              <w:t>6</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Each mark is a "bad year" for a fund at that level: twice the middle of its volatility band (Appendix B). This answer anchors the attitude rating.</w:t>
            </w:r>
          </w:p>
          <w:p>
            <w:pPr>
              <w:spacing w:after="40"/>
            </w:pPr>
            <w:r>
              <w:rPr>
                <w:b/>
                <w:color w:val="003781"/>
                <w:sz w:val="18"/>
              </w:rPr>
              <w:t xml:space="preserve">Regulation  </w:t>
            </w:r>
            <w:r>
              <w:rPr>
                <w:sz w:val="18"/>
              </w:rPr>
              <w:t>This is the question ESMA gives as its example: what loss over a given period the client would accept (ESMA 46). It uses concrete figures (ESMA 31, 48). Aviva asks it the same way (a 0–40% slider).</w:t>
            </w:r>
          </w:p>
        </w:tc>
      </w:tr>
    </w:tbl>
    <w:p>
      <w:pPr>
        <w:spacing w:after="40"/>
      </w:pPr>
    </w:p>
    <w:p>
      <w:pPr>
        <w:keepNext/>
        <w:spacing w:before="120"/>
      </w:pPr>
      <w:r>
        <w:rPr>
          <w:b/>
          <w:color w:val="003781"/>
          <w:sz w:val="22"/>
        </w:rPr>
        <w:t>Q5  Reaction to a fall</w:t>
      </w:r>
    </w:p>
    <w:p>
      <w:pPr>
        <w:keepNext/>
      </w:pPr>
      <w:r>
        <w:rPr>
          <w:b/>
          <w:sz w:val="24"/>
        </w:rPr>
        <w:t>Six months after you invest €10,000, markets fall and your investment is worth €8,000. What would you most likely do?</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Rating</w:t>
            </w:r>
          </w:p>
        </w:tc>
      </w:tr>
      <w:tr>
        <w:trPr>
          <w:cantSplit/>
        </w:trPr>
        <w:tc>
          <w:tcPr>
            <w:tcW w:type="dxa" w:w="7087"/>
          </w:tcPr>
          <w:p>
            <w:pPr>
              <w:keepNext/>
              <w:spacing w:after="20"/>
            </w:pPr>
            <w:r/>
            <w:r>
              <w:rPr>
                <w:sz w:val="20"/>
              </w:rPr>
              <w:t>Sell everything</w:t>
            </w:r>
          </w:p>
        </w:tc>
        <w:tc>
          <w:tcPr>
            <w:tcW w:type="dxa" w:w="2551"/>
          </w:tcPr>
          <w:p>
            <w:pPr>
              <w:keepNext/>
              <w:spacing w:after="20"/>
            </w:pPr>
            <w:r/>
            <w:r>
              <w:rPr>
                <w:sz w:val="20"/>
              </w:rPr>
              <w:t>2</w:t>
            </w:r>
          </w:p>
        </w:tc>
      </w:tr>
      <w:tr>
        <w:trPr>
          <w:cantSplit/>
        </w:trPr>
        <w:tc>
          <w:tcPr>
            <w:tcW w:type="dxa" w:w="7087"/>
            <w:shd w:val="clear" w:fill="EEF3F9"/>
          </w:tcPr>
          <w:p>
            <w:pPr>
              <w:keepNext/>
              <w:spacing w:after="20"/>
            </w:pPr>
            <w:r/>
            <w:r>
              <w:rPr>
                <w:sz w:val="20"/>
              </w:rPr>
              <w:t>Sell part, to limit further losses</w:t>
            </w:r>
          </w:p>
        </w:tc>
        <w:tc>
          <w:tcPr>
            <w:tcW w:type="dxa" w:w="2551"/>
            <w:shd w:val="clear" w:fill="EEF3F9"/>
          </w:tcPr>
          <w:p>
            <w:pPr>
              <w:keepNext/>
              <w:spacing w:after="20"/>
            </w:pPr>
            <w:r/>
            <w:r>
              <w:rPr>
                <w:sz w:val="20"/>
              </w:rPr>
              <w:t>3</w:t>
            </w:r>
          </w:p>
        </w:tc>
      </w:tr>
      <w:tr>
        <w:trPr>
          <w:cantSplit/>
        </w:trPr>
        <w:tc>
          <w:tcPr>
            <w:tcW w:type="dxa" w:w="7087"/>
          </w:tcPr>
          <w:p>
            <w:pPr>
              <w:keepNext/>
              <w:spacing w:after="20"/>
            </w:pPr>
            <w:r/>
            <w:r>
              <w:rPr>
                <w:sz w:val="20"/>
              </w:rPr>
              <w:t>Keep it and wait for a recovery</w:t>
            </w:r>
          </w:p>
        </w:tc>
        <w:tc>
          <w:tcPr>
            <w:tcW w:type="dxa" w:w="2551"/>
          </w:tcPr>
          <w:p>
            <w:pPr>
              <w:keepNext/>
              <w:spacing w:after="20"/>
            </w:pPr>
            <w:r/>
            <w:r>
              <w:rPr>
                <w:sz w:val="20"/>
              </w:rPr>
              <w:t>4</w:t>
            </w:r>
          </w:p>
        </w:tc>
      </w:tr>
      <w:tr>
        <w:trPr>
          <w:cantSplit/>
        </w:trPr>
        <w:tc>
          <w:tcPr>
            <w:tcW w:type="dxa" w:w="7087"/>
            <w:shd w:val="clear" w:fill="EEF3F9"/>
          </w:tcPr>
          <w:p>
            <w:pPr>
              <w:keepNext/>
              <w:spacing w:after="20"/>
            </w:pPr>
            <w:r/>
            <w:r>
              <w:rPr>
                <w:sz w:val="20"/>
              </w:rPr>
              <w:t>Keep it and invest more</w:t>
            </w:r>
          </w:p>
        </w:tc>
        <w:tc>
          <w:tcPr>
            <w:tcW w:type="dxa" w:w="2551"/>
            <w:shd w:val="clear" w:fill="EEF3F9"/>
          </w:tcPr>
          <w:p>
            <w:pPr>
              <w:keepNext/>
              <w:spacing w:after="20"/>
            </w:pPr>
            <w:r/>
            <w:r>
              <w:rPr>
                <w:sz w:val="20"/>
              </w:rPr>
              <w:t>6</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Asks what the client would do, not how they would feel.</w:t>
            </w:r>
          </w:p>
          <w:p>
            <w:pPr>
              <w:spacing w:after="40"/>
            </w:pPr>
            <w:r>
              <w:rPr>
                <w:b/>
                <w:color w:val="003781"/>
                <w:sz w:val="18"/>
              </w:rPr>
              <w:t xml:space="preserve">Regulation  </w:t>
            </w:r>
            <w:r>
              <w:rPr>
                <w:sz w:val="18"/>
              </w:rPr>
              <w:t>Asks about the client's own choices when facing a loss, with figures (ESMA 31, 48). Similar to Irish Life Q7.</w:t>
            </w:r>
          </w:p>
        </w:tc>
      </w:tr>
    </w:tbl>
    <w:p>
      <w:pPr>
        <w:spacing w:after="40"/>
      </w:pPr>
    </w:p>
    <w:p>
      <w:pPr>
        <w:keepNext/>
        <w:spacing w:before="120"/>
      </w:pPr>
      <w:r>
        <w:rPr>
          <w:b/>
          <w:color w:val="003781"/>
          <w:sz w:val="22"/>
        </w:rPr>
        <w:t>Q6  Objective</w:t>
      </w:r>
    </w:p>
    <w:p>
      <w:pPr>
        <w:keepNext/>
      </w:pPr>
      <w:r>
        <w:rPr>
          <w:b/>
          <w:sz w:val="24"/>
        </w:rPr>
        <w:t>What do you want from this investment?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Rating</w:t>
            </w:r>
          </w:p>
        </w:tc>
      </w:tr>
      <w:tr>
        <w:trPr>
          <w:cantSplit/>
        </w:trPr>
        <w:tc>
          <w:tcPr>
            <w:tcW w:type="dxa" w:w="7087"/>
          </w:tcPr>
          <w:p>
            <w:pPr>
              <w:keepNext/>
              <w:spacing w:after="20"/>
            </w:pPr>
            <w:r/>
            <w:r>
              <w:rPr>
                <w:sz w:val="20"/>
              </w:rPr>
              <w:t>To keep my money safe: I want to get back at least what I put in</w:t>
            </w:r>
          </w:p>
        </w:tc>
        <w:tc>
          <w:tcPr>
            <w:tcW w:type="dxa" w:w="2551"/>
          </w:tcPr>
          <w:p>
            <w:pPr>
              <w:keepNext/>
              <w:spacing w:after="20"/>
            </w:pPr>
            <w:r/>
            <w:r>
              <w:rPr>
                <w:sz w:val="20"/>
              </w:rPr>
              <w:t>1</w:t>
            </w:r>
          </w:p>
        </w:tc>
      </w:tr>
      <w:tr>
        <w:trPr>
          <w:cantSplit/>
        </w:trPr>
        <w:tc>
          <w:tcPr>
            <w:tcW w:type="dxa" w:w="7087"/>
            <w:shd w:val="clear" w:fill="EEF3F9"/>
          </w:tcPr>
          <w:p>
            <w:pPr>
              <w:keepNext/>
              <w:spacing w:after="20"/>
            </w:pPr>
            <w:r/>
            <w:r>
              <w:rPr>
                <w:sz w:val="20"/>
              </w:rPr>
              <w:t>A return a little better than a deposit account, with very little risk</w:t>
            </w:r>
          </w:p>
        </w:tc>
        <w:tc>
          <w:tcPr>
            <w:tcW w:type="dxa" w:w="2551"/>
            <w:shd w:val="clear" w:fill="EEF3F9"/>
          </w:tcPr>
          <w:p>
            <w:pPr>
              <w:keepNext/>
              <w:spacing w:after="20"/>
            </w:pPr>
            <w:r/>
            <w:r>
              <w:rPr>
                <w:sz w:val="20"/>
              </w:rPr>
              <w:t>2</w:t>
            </w:r>
          </w:p>
        </w:tc>
      </w:tr>
      <w:tr>
        <w:trPr>
          <w:cantSplit/>
        </w:trPr>
        <w:tc>
          <w:tcPr>
            <w:tcW w:type="dxa" w:w="7087"/>
          </w:tcPr>
          <w:p>
            <w:pPr>
              <w:keepNext/>
              <w:spacing w:after="20"/>
            </w:pPr>
            <w:r/>
            <w:r>
              <w:rPr>
                <w:sz w:val="20"/>
              </w:rPr>
              <w:t>Growth a little above inflation, accepting small rises and falls in value</w:t>
            </w:r>
          </w:p>
        </w:tc>
        <w:tc>
          <w:tcPr>
            <w:tcW w:type="dxa" w:w="2551"/>
          </w:tcPr>
          <w:p>
            <w:pPr>
              <w:keepNext/>
              <w:spacing w:after="20"/>
            </w:pPr>
            <w:r/>
            <w:r>
              <w:rPr>
                <w:sz w:val="20"/>
              </w:rPr>
              <w:t>3</w:t>
            </w:r>
          </w:p>
        </w:tc>
      </w:tr>
      <w:tr>
        <w:trPr>
          <w:cantSplit/>
        </w:trPr>
        <w:tc>
          <w:tcPr>
            <w:tcW w:type="dxa" w:w="7087"/>
            <w:shd w:val="clear" w:fill="EEF3F9"/>
          </w:tcPr>
          <w:p>
            <w:pPr>
              <w:keepNext/>
              <w:spacing w:after="20"/>
            </w:pPr>
            <w:r/>
            <w:r>
              <w:rPr>
                <w:sz w:val="20"/>
              </w:rPr>
              <w:t>Steady growth over the long term, accepting that the value will go up and down</w:t>
            </w:r>
          </w:p>
        </w:tc>
        <w:tc>
          <w:tcPr>
            <w:tcW w:type="dxa" w:w="2551"/>
            <w:shd w:val="clear" w:fill="EEF3F9"/>
          </w:tcPr>
          <w:p>
            <w:pPr>
              <w:keepNext/>
              <w:spacing w:after="20"/>
            </w:pPr>
            <w:r/>
            <w:r>
              <w:rPr>
                <w:sz w:val="20"/>
              </w:rPr>
              <w:t>4</w:t>
            </w:r>
          </w:p>
        </w:tc>
      </w:tr>
      <w:tr>
        <w:trPr>
          <w:cantSplit/>
        </w:trPr>
        <w:tc>
          <w:tcPr>
            <w:tcW w:type="dxa" w:w="7087"/>
          </w:tcPr>
          <w:p>
            <w:pPr>
              <w:keepNext/>
              <w:spacing w:after="20"/>
            </w:pPr>
            <w:r/>
            <w:r>
              <w:rPr>
                <w:sz w:val="20"/>
              </w:rPr>
              <w:t>Strong growth over the long term, accepting large rises and falls in value</w:t>
            </w:r>
          </w:p>
        </w:tc>
        <w:tc>
          <w:tcPr>
            <w:tcW w:type="dxa" w:w="2551"/>
          </w:tcPr>
          <w:p>
            <w:pPr>
              <w:keepNext/>
              <w:spacing w:after="20"/>
            </w:pPr>
            <w:r/>
            <w:r>
              <w:rPr>
                <w:sz w:val="20"/>
              </w:rPr>
              <w:t>5</w:t>
            </w:r>
          </w:p>
        </w:tc>
      </w:tr>
      <w:tr>
        <w:trPr>
          <w:cantSplit/>
        </w:trPr>
        <w:tc>
          <w:tcPr>
            <w:tcW w:type="dxa" w:w="7087"/>
            <w:shd w:val="clear" w:fill="EEF3F9"/>
          </w:tcPr>
          <w:p>
            <w:pPr>
              <w:keepNext/>
              <w:spacing w:after="20"/>
            </w:pPr>
            <w:r/>
            <w:r>
              <w:rPr>
                <w:sz w:val="20"/>
              </w:rPr>
              <w:t>The highest return possible, accepting a high level of risk to get it</w:t>
            </w:r>
          </w:p>
        </w:tc>
        <w:tc>
          <w:tcPr>
            <w:tcW w:type="dxa" w:w="2551"/>
            <w:shd w:val="clear" w:fill="EEF3F9"/>
          </w:tcPr>
          <w:p>
            <w:pPr>
              <w:keepNext/>
              <w:spacing w:after="20"/>
            </w:pPr>
            <w:r/>
            <w:r>
              <w:rPr>
                <w:sz w:val="20"/>
              </w:rPr>
              <w:t>6</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One answer for each rating from 1 to 6. Set against Q4 and Q5, it shows a cautious attitude with ambitious objectives, or the reverse.</w:t>
            </w:r>
          </w:p>
          <w:p>
            <w:pPr>
              <w:spacing w:after="40"/>
            </w:pPr>
            <w:r>
              <w:rPr>
                <w:b/>
                <w:color w:val="003781"/>
                <w:sz w:val="18"/>
              </w:rPr>
              <w:t xml:space="preserve">Regulation  </w:t>
            </w:r>
            <w:r>
              <w:rPr>
                <w:sz w:val="18"/>
              </w:rPr>
              <w:t>Investment objectives (IDD Art 30; ESMA 12). Contradictions between objectives and attitude (ESMA 51). Aviva Q4 and Zurich Q4 use five steps; the level-3 answer matches Zurich's "beat inflation without significant risk".</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Attitude rating = the middle value of the Q4, Q5 and Q6 ratings, but no more than one level above Q4.</w:t>
            </w:r>
          </w:p>
        </w:tc>
      </w:tr>
    </w:tbl>
    <w:p>
      <w:pPr>
        <w:spacing w:after="40"/>
      </w:pPr>
    </w:p>
    <w:p>
      <w:pPr>
        <w:pStyle w:val="Heading2"/>
      </w:pPr>
      <w:r>
        <w:t>Part D – Your knowledge and experience</w:t>
      </w:r>
    </w:p>
    <w:p>
      <w:pPr>
        <w:keepNext/>
        <w:spacing w:before="120"/>
      </w:pPr>
      <w:r>
        <w:rPr>
          <w:b/>
          <w:color w:val="003781"/>
          <w:sz w:val="22"/>
        </w:rPr>
        <w:t>Q7  Knowledge and experience</w:t>
      </w:r>
    </w:p>
    <w:p>
      <w:pPr>
        <w:keepNext/>
      </w:pPr>
      <w:r>
        <w:rPr>
          <w:b/>
          <w:sz w:val="24"/>
        </w:rPr>
        <w:t>Which statement best describes your investment knowledge and experience?</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Knowledge level</w:t>
            </w:r>
          </w:p>
        </w:tc>
      </w:tr>
      <w:tr>
        <w:trPr>
          <w:cantSplit/>
        </w:trPr>
        <w:tc>
          <w:tcPr>
            <w:tcW w:type="dxa" w:w="7087"/>
          </w:tcPr>
          <w:p>
            <w:pPr>
              <w:keepNext/>
              <w:spacing w:after="20"/>
            </w:pPr>
            <w:r/>
            <w:r>
              <w:rPr>
                <w:sz w:val="20"/>
              </w:rPr>
              <w:t>I have not invested before, other than in deposits or savings accounts</w:t>
            </w:r>
          </w:p>
        </w:tc>
        <w:tc>
          <w:tcPr>
            <w:tcW w:type="dxa" w:w="2551"/>
          </w:tcPr>
          <w:p>
            <w:pPr>
              <w:keepNext/>
              <w:spacing w:after="20"/>
            </w:pPr>
            <w:r/>
            <w:r>
              <w:rPr>
                <w:sz w:val="20"/>
              </w:rPr>
              <w:t>Low</w:t>
            </w:r>
          </w:p>
        </w:tc>
      </w:tr>
      <w:tr>
        <w:trPr>
          <w:cantSplit/>
        </w:trPr>
        <w:tc>
          <w:tcPr>
            <w:tcW w:type="dxa" w:w="7087"/>
            <w:shd w:val="clear" w:fill="EEF3F9"/>
          </w:tcPr>
          <w:p>
            <w:pPr>
              <w:keepNext/>
              <w:spacing w:after="20"/>
            </w:pPr>
            <w:r/>
            <w:r>
              <w:rPr>
                <w:sz w:val="20"/>
              </w:rPr>
              <w:t>I have a pension or an investment, but I have not followed how its value changes or what it invests in</w:t>
            </w:r>
          </w:p>
        </w:tc>
        <w:tc>
          <w:tcPr>
            <w:tcW w:type="dxa" w:w="2551"/>
            <w:shd w:val="clear" w:fill="EEF3F9"/>
          </w:tcPr>
          <w:p>
            <w:pPr>
              <w:keepNext/>
              <w:spacing w:after="20"/>
            </w:pPr>
            <w:r/>
            <w:r>
              <w:rPr>
                <w:sz w:val="20"/>
              </w:rPr>
              <w:t>Low</w:t>
            </w:r>
          </w:p>
        </w:tc>
      </w:tr>
      <w:tr>
        <w:trPr>
          <w:cantSplit/>
        </w:trPr>
        <w:tc>
          <w:tcPr>
            <w:tcW w:type="dxa" w:w="7087"/>
          </w:tcPr>
          <w:p>
            <w:pPr>
              <w:keepNext/>
              <w:spacing w:after="20"/>
            </w:pPr>
            <w:r/>
            <w:r>
              <w:rPr>
                <w:sz w:val="20"/>
              </w:rPr>
              <w:t>In the last 5 years I have held funds, shares or bonds. I have seen their value fall as well as rise, and I know that spreading money across many investments reduces risk but does not remove it</w:t>
            </w:r>
          </w:p>
        </w:tc>
        <w:tc>
          <w:tcPr>
            <w:tcW w:type="dxa" w:w="2551"/>
          </w:tcPr>
          <w:p>
            <w:pPr>
              <w:keepNext/>
              <w:spacing w:after="20"/>
            </w:pPr>
            <w:r/>
            <w:r>
              <w:rPr>
                <w:sz w:val="20"/>
              </w:rPr>
              <w:t>Medium</w:t>
            </w:r>
          </w:p>
        </w:tc>
      </w:tr>
      <w:tr>
        <w:trPr>
          <w:cantSplit/>
        </w:trPr>
        <w:tc>
          <w:tcPr>
            <w:tcW w:type="dxa" w:w="7087"/>
            <w:shd w:val="clear" w:fill="EEF3F9"/>
          </w:tcPr>
          <w:p>
            <w:pPr>
              <w:keepNext/>
              <w:spacing w:after="20"/>
            </w:pPr>
            <w:r/>
            <w:r>
              <w:rPr>
                <w:sz w:val="20"/>
              </w:rPr>
              <w:t>I invest regularly in a range of funds, shares or bonds, and I understand how risk, return, time horizon and charges affect them</w:t>
            </w:r>
          </w:p>
        </w:tc>
        <w:tc>
          <w:tcPr>
            <w:tcW w:type="dxa" w:w="2551"/>
            <w:shd w:val="clear" w:fill="EEF3F9"/>
          </w:tcPr>
          <w:p>
            <w:pPr>
              <w:keepNext/>
              <w:spacing w:after="20"/>
            </w:pPr>
            <w:r/>
            <w:r>
              <w:rPr>
                <w:sz w:val="20"/>
              </w:rPr>
              <w:t>High</w:t>
            </w:r>
          </w:p>
        </w:tc>
      </w:tr>
      <w:tr>
        <w:trPr>
          <w:cantSplit/>
        </w:trPr>
        <w:tc>
          <w:tcPr>
            <w:tcW w:type="dxa" w:w="7087"/>
          </w:tcPr>
          <w:p>
            <w:pPr>
              <w:keepNext/>
              <w:spacing w:after="20"/>
            </w:pPr>
            <w:r/>
            <w:r>
              <w:rPr>
                <w:sz w:val="20"/>
              </w:rPr>
              <w:t>I work or have worked in investments or financial services, or hold a finance qualification, and I invest regularly</w:t>
            </w:r>
          </w:p>
        </w:tc>
        <w:tc>
          <w:tcPr>
            <w:tcW w:type="dxa" w:w="2551"/>
          </w:tcPr>
          <w:p>
            <w:pPr>
              <w:keepNext/>
              <w:spacing w:after="20"/>
            </w:pPr>
            <w:r/>
            <w:r>
              <w:rPr>
                <w:sz w:val="20"/>
              </w:rPr>
              <w:t>High</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Each answer describes what the client has done and how recently, not how they rate themselves.</w:t>
            </w:r>
          </w:p>
          <w:p>
            <w:pPr>
              <w:spacing w:after="40"/>
            </w:pPr>
            <w:r>
              <w:rPr>
                <w:b/>
                <w:color w:val="003781"/>
                <w:sz w:val="18"/>
              </w:rPr>
              <w:t xml:space="preserve">Regulation  </w:t>
            </w:r>
            <w:r>
              <w:rPr>
                <w:sz w:val="18"/>
              </w:rPr>
              <w:t>Knowledge and experience (IDD Art 30). Ask what the client has done and how recently, and avoid self-assessment (ESMA 46–47).</w:t>
            </w:r>
          </w:p>
        </w:tc>
      </w:tr>
    </w:tbl>
    <w:p>
      <w:pPr>
        <w:spacing w:after="40"/>
      </w:pPr>
    </w:p>
    <w:p>
      <w:pPr>
        <w:keepNext/>
        <w:spacing w:before="120"/>
      </w:pPr>
      <w:r>
        <w:rPr>
          <w:b/>
          <w:color w:val="003781"/>
          <w:sz w:val="22"/>
        </w:rPr>
        <w:t>Q8  Knowledge check</w:t>
      </w:r>
    </w:p>
    <w:p>
      <w:pPr>
        <w:keepNext/>
      </w:pPr>
      <w:r>
        <w:rPr>
          <w:b/>
          <w:sz w:val="24"/>
        </w:rPr>
        <w:t>Put these four investments in order, from the one with the lowest risk of losing money to the one with the highest.</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6616"/>
            <w:shd w:val="clear" w:fill="003781"/>
          </w:tcPr>
          <w:p>
            <w:pPr>
              <w:keepNext/>
              <w:spacing w:after="20"/>
            </w:pPr>
            <w:r/>
            <w:r>
              <w:rPr>
                <w:b/>
                <w:color w:val="FFFFFF"/>
                <w:sz w:val="20"/>
              </w:rPr>
              <w:t>Investment</w:t>
            </w:r>
          </w:p>
        </w:tc>
        <w:tc>
          <w:tcPr>
            <w:tcW w:type="dxa" w:w="3022"/>
            <w:shd w:val="clear" w:fill="003781"/>
          </w:tcPr>
          <w:p>
            <w:pPr>
              <w:keepNext/>
              <w:spacing w:after="20"/>
            </w:pPr>
            <w:r/>
            <w:r>
              <w:rPr>
                <w:b/>
                <w:color w:val="FFFFFF"/>
                <w:sz w:val="20"/>
              </w:rPr>
              <w:t>Right position</w:t>
            </w:r>
          </w:p>
        </w:tc>
      </w:tr>
      <w:tr>
        <w:trPr>
          <w:cantSplit/>
        </w:trPr>
        <w:tc>
          <w:tcPr>
            <w:tcW w:type="dxa" w:w="6616"/>
          </w:tcPr>
          <w:p>
            <w:pPr>
              <w:keepNext/>
              <w:spacing w:after="20"/>
            </w:pPr>
            <w:r/>
            <w:r>
              <w:rPr>
                <w:sz w:val="20"/>
              </w:rPr>
              <w:t>A savings deposit</w:t>
            </w:r>
          </w:p>
        </w:tc>
        <w:tc>
          <w:tcPr>
            <w:tcW w:type="dxa" w:w="3022"/>
          </w:tcPr>
          <w:p>
            <w:pPr>
              <w:keepNext/>
              <w:spacing w:after="20"/>
            </w:pPr>
            <w:r/>
            <w:r>
              <w:rPr>
                <w:sz w:val="20"/>
              </w:rPr>
              <w:t>1 (lowest risk)</w:t>
            </w:r>
          </w:p>
        </w:tc>
      </w:tr>
      <w:tr>
        <w:trPr>
          <w:cantSplit/>
        </w:trPr>
        <w:tc>
          <w:tcPr>
            <w:tcW w:type="dxa" w:w="6616"/>
            <w:shd w:val="clear" w:fill="EEF3F9"/>
          </w:tcPr>
          <w:p>
            <w:pPr>
              <w:keepNext/>
              <w:spacing w:after="20"/>
            </w:pPr>
            <w:r/>
            <w:r>
              <w:rPr>
                <w:sz w:val="20"/>
              </w:rPr>
              <w:t>Government bonds</w:t>
            </w:r>
          </w:p>
        </w:tc>
        <w:tc>
          <w:tcPr>
            <w:tcW w:type="dxa" w:w="3022"/>
            <w:shd w:val="clear" w:fill="EEF3F9"/>
          </w:tcPr>
          <w:p>
            <w:pPr>
              <w:keepNext/>
              <w:spacing w:after="20"/>
            </w:pPr>
            <w:r/>
            <w:r>
              <w:rPr>
                <w:sz w:val="20"/>
              </w:rPr>
              <w:t>2</w:t>
            </w:r>
          </w:p>
        </w:tc>
      </w:tr>
      <w:tr>
        <w:trPr>
          <w:cantSplit/>
        </w:trPr>
        <w:tc>
          <w:tcPr>
            <w:tcW w:type="dxa" w:w="6616"/>
          </w:tcPr>
          <w:p>
            <w:pPr>
              <w:keepNext/>
              <w:spacing w:after="20"/>
            </w:pPr>
            <w:r/>
            <w:r>
              <w:rPr>
                <w:sz w:val="20"/>
              </w:rPr>
              <w:t>A fund holding shares in many different companies</w:t>
            </w:r>
          </w:p>
        </w:tc>
        <w:tc>
          <w:tcPr>
            <w:tcW w:type="dxa" w:w="3022"/>
          </w:tcPr>
          <w:p>
            <w:pPr>
              <w:keepNext/>
              <w:spacing w:after="20"/>
            </w:pPr>
            <w:r/>
            <w:r>
              <w:rPr>
                <w:sz w:val="20"/>
              </w:rPr>
              <w:t>3</w:t>
            </w:r>
          </w:p>
        </w:tc>
      </w:tr>
      <w:tr>
        <w:trPr>
          <w:cantSplit/>
        </w:trPr>
        <w:tc>
          <w:tcPr>
            <w:tcW w:type="dxa" w:w="6616"/>
            <w:shd w:val="clear" w:fill="EEF3F9"/>
          </w:tcPr>
          <w:p>
            <w:pPr>
              <w:spacing w:after="20"/>
            </w:pPr>
            <w:r/>
            <w:r>
              <w:rPr>
                <w:sz w:val="20"/>
              </w:rPr>
              <w:t>Shares in a single company</w:t>
            </w:r>
          </w:p>
        </w:tc>
        <w:tc>
          <w:tcPr>
            <w:tcW w:type="dxa" w:w="3022"/>
            <w:shd w:val="clear" w:fill="EEF3F9"/>
          </w:tcPr>
          <w:p>
            <w:pPr>
              <w:spacing w:after="20"/>
            </w:pPr>
            <w:r/>
            <w:r>
              <w:rPr>
                <w:sz w:val="20"/>
              </w:rPr>
              <w:t>4 (highest risk)</w:t>
            </w:r>
          </w:p>
        </w:tc>
      </w:tr>
    </w:tbl>
    <w:p>
      <w:pPr>
        <w:spacing w:after="40"/>
      </w:pPr>
    </w:p>
    <w:p>
      <w:r>
        <w:rPr>
          <w:i/>
        </w:rPr>
        <w:t>Built as</w:t>
      </w:r>
      <w:r>
        <w:rPr>
          <w:i/>
        </w:rPr>
        <w:t xml:space="preserve"> four items the client drags into order, shown in a mixed order, with an "I don't know" box. Correct only if all four are in the right order. Afterwards the client is shown the right order and why.</w:t>
      </w: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Checks Q7 with a question that has a right answer. It tests that cash is safest, that shares carry more risk than bonds, and that spreading money is less risky than one share.</w:t>
            </w:r>
          </w:p>
          <w:p>
            <w:pPr>
              <w:spacing w:after="40"/>
            </w:pPr>
            <w:r>
              <w:rPr>
                <w:b/>
                <w:color w:val="003781"/>
                <w:sz w:val="18"/>
              </w:rPr>
              <w:t xml:space="preserve">Regulation  </w:t>
            </w:r>
            <w:r>
              <w:rPr>
                <w:sz w:val="18"/>
              </w:rPr>
              <w:t>Test real knowledge with a question that has a right answer (ESMA 46). Guards against clients overestimating their knowledge (ESMA 52). Tests understanding of risk and concentration (ESMA 31).</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Knowledge level = from Q7, one level lower if Q8 is wrong or "I don't know".</w:t>
            </w:r>
          </w:p>
        </w:tc>
      </w:tr>
    </w:tbl>
    <w:p>
      <w:pPr>
        <w:spacing w:after="40"/>
      </w:pPr>
    </w:p>
    <w:p>
      <w:pPr>
        <w:pStyle w:val="Heading2"/>
      </w:pPr>
      <w:r>
        <w:t>Part E – Your sustainability preferences (not scored, asked after the risk rating)</w:t>
      </w:r>
    </w:p>
    <w:p>
      <w:r>
        <w:t>These questions do not change the risk rating. They are asked once the rating is set, and are used only to choose among the funds that suit that rating.</w:t>
      </w:r>
    </w:p>
    <w:p>
      <w:pPr>
        <w:keepNext/>
        <w:spacing w:before="120"/>
      </w:pPr>
      <w:r>
        <w:rPr>
          <w:b/>
          <w:color w:val="003781"/>
          <w:sz w:val="22"/>
        </w:rPr>
        <w:t>S1  Sustainability preferences</w:t>
      </w:r>
    </w:p>
    <w:p>
      <w:pPr>
        <w:keepNext/>
      </w:pPr>
      <w:r>
        <w:rPr>
          <w:b/>
          <w:sz w:val="24"/>
        </w:rPr>
        <w:t>Some investments aim to support environmental or social goals, or to limit harm to them. Would you like your investment to include any of these?</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Next</w:t>
            </w:r>
          </w:p>
        </w:tc>
      </w:tr>
      <w:tr>
        <w:trPr>
          <w:cantSplit/>
        </w:trPr>
        <w:tc>
          <w:tcPr>
            <w:tcW w:type="dxa" w:w="7087"/>
          </w:tcPr>
          <w:p>
            <w:pPr>
              <w:keepNext/>
              <w:spacing w:after="20"/>
            </w:pPr>
            <w:r/>
            <w:r>
              <w:rPr>
                <w:sz w:val="20"/>
              </w:rPr>
              <w:t>Yes</w:t>
            </w:r>
          </w:p>
        </w:tc>
        <w:tc>
          <w:tcPr>
            <w:tcW w:type="dxa" w:w="2551"/>
          </w:tcPr>
          <w:p>
            <w:pPr>
              <w:keepNext/>
              <w:spacing w:after="20"/>
            </w:pPr>
            <w:r/>
            <w:r>
              <w:rPr>
                <w:sz w:val="20"/>
              </w:rPr>
              <w:t>S2</w:t>
            </w:r>
          </w:p>
        </w:tc>
      </w:tr>
      <w:tr>
        <w:trPr>
          <w:cantSplit/>
        </w:trPr>
        <w:tc>
          <w:tcPr>
            <w:tcW w:type="dxa" w:w="7087"/>
            <w:shd w:val="clear" w:fill="EEF3F9"/>
          </w:tcPr>
          <w:p>
            <w:pPr>
              <w:keepNext/>
              <w:spacing w:after="20"/>
            </w:pPr>
            <w:r/>
            <w:r>
              <w:rPr>
                <w:sz w:val="20"/>
              </w:rPr>
              <w:t>No, or I have no preference</w:t>
            </w:r>
          </w:p>
        </w:tc>
        <w:tc>
          <w:tcPr>
            <w:tcW w:type="dxa" w:w="2551"/>
            <w:shd w:val="clear" w:fill="EEF3F9"/>
          </w:tcPr>
          <w:p>
            <w:pPr>
              <w:keepNext/>
              <w:spacing w:after="20"/>
            </w:pPr>
            <w:r/>
            <w:r>
              <w:rPr>
                <w:sz w:val="20"/>
              </w:rPr>
              <w:t>End. Funds with and without sustainability features can be recommended</w:t>
            </w:r>
          </w:p>
        </w:tc>
      </w:tr>
    </w:tbl>
    <w:p>
      <w:pPr>
        <w:spacing w:after="40"/>
      </w:pPr>
    </w:p>
    <w:p>
      <w:pPr>
        <w:keepNext/>
        <w:spacing w:before="120"/>
      </w:pPr>
      <w:r>
        <w:rPr>
          <w:b/>
          <w:color w:val="003781"/>
          <w:sz w:val="22"/>
        </w:rPr>
        <w:t>S2  Type of investment</w:t>
      </w:r>
    </w:p>
    <w:p>
      <w:pPr>
        <w:keepNext/>
      </w:pPr>
      <w:r>
        <w:rPr>
          <w:b/>
          <w:sz w:val="24"/>
        </w:rPr>
        <w:t>Which of these would you like your investment to include? Tick any that apply.</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Next</w:t>
            </w:r>
          </w:p>
        </w:tc>
      </w:tr>
      <w:tr>
        <w:trPr>
          <w:cantSplit/>
        </w:trPr>
        <w:tc>
          <w:tcPr>
            <w:tcW w:type="dxa" w:w="7087"/>
          </w:tcPr>
          <w:p>
            <w:pPr>
              <w:keepNext/>
              <w:spacing w:after="20"/>
            </w:pPr>
            <w:r/>
            <w:r>
              <w:rPr>
                <w:sz w:val="20"/>
              </w:rPr>
              <w:t>A. Investments in activities that count as environmentally sustainable under EU rules (the EU Taxonomy)</w:t>
            </w:r>
          </w:p>
        </w:tc>
        <w:tc>
          <w:tcPr>
            <w:tcW w:type="dxa" w:w="2551"/>
          </w:tcPr>
          <w:p>
            <w:pPr>
              <w:keepNext/>
              <w:spacing w:after="20"/>
            </w:pPr>
            <w:r/>
            <w:r>
              <w:rPr>
                <w:sz w:val="20"/>
              </w:rPr>
              <w:t>S3</w:t>
            </w:r>
          </w:p>
        </w:tc>
      </w:tr>
      <w:tr>
        <w:trPr>
          <w:cantSplit/>
        </w:trPr>
        <w:tc>
          <w:tcPr>
            <w:tcW w:type="dxa" w:w="7087"/>
            <w:shd w:val="clear" w:fill="EEF3F9"/>
          </w:tcPr>
          <w:p>
            <w:pPr>
              <w:keepNext/>
              <w:spacing w:after="20"/>
            </w:pPr>
            <w:r/>
            <w:r>
              <w:rPr>
                <w:sz w:val="20"/>
              </w:rPr>
              <w:t>B. Sustainable investments: companies or projects that contribute to an environmental or social goal without doing significant harm (as defined in EU rules)</w:t>
            </w:r>
          </w:p>
        </w:tc>
        <w:tc>
          <w:tcPr>
            <w:tcW w:type="dxa" w:w="2551"/>
            <w:shd w:val="clear" w:fill="EEF3F9"/>
          </w:tcPr>
          <w:p>
            <w:pPr>
              <w:keepNext/>
              <w:spacing w:after="20"/>
            </w:pPr>
            <w:r/>
            <w:r>
              <w:rPr>
                <w:sz w:val="20"/>
              </w:rPr>
              <w:t>S3</w:t>
            </w:r>
          </w:p>
        </w:tc>
      </w:tr>
      <w:tr>
        <w:trPr>
          <w:cantSplit/>
        </w:trPr>
        <w:tc>
          <w:tcPr>
            <w:tcW w:type="dxa" w:w="7087"/>
          </w:tcPr>
          <w:p>
            <w:pPr>
              <w:keepNext/>
              <w:spacing w:after="20"/>
            </w:pPr>
            <w:r/>
            <w:r>
              <w:rPr>
                <w:sz w:val="20"/>
              </w:rPr>
              <w:t>C. Investments that take account of their main negative effects on the environment and society</w:t>
            </w:r>
          </w:p>
        </w:tc>
        <w:tc>
          <w:tcPr>
            <w:tcW w:type="dxa" w:w="2551"/>
          </w:tcPr>
          <w:p>
            <w:pPr>
              <w:keepNext/>
              <w:spacing w:after="20"/>
            </w:pPr>
            <w:r/>
            <w:r>
              <w:rPr>
                <w:sz w:val="20"/>
              </w:rPr>
              <w:t>S4</w:t>
            </w:r>
          </w:p>
        </w:tc>
      </w:tr>
      <w:tr>
        <w:trPr>
          <w:cantSplit/>
        </w:trPr>
        <w:tc>
          <w:tcPr>
            <w:tcW w:type="dxa" w:w="7087"/>
            <w:shd w:val="clear" w:fill="EEF3F9"/>
          </w:tcPr>
          <w:p>
            <w:pPr>
              <w:keepNext/>
              <w:spacing w:after="20"/>
            </w:pPr>
            <w:r/>
            <w:r>
              <w:rPr>
                <w:sz w:val="20"/>
              </w:rPr>
              <w:t>I have a preference but not for any of these in particular</w:t>
            </w:r>
          </w:p>
        </w:tc>
        <w:tc>
          <w:tcPr>
            <w:tcW w:type="dxa" w:w="2551"/>
            <w:shd w:val="clear" w:fill="EEF3F9"/>
          </w:tcPr>
          <w:p>
            <w:pPr>
              <w:keepNext/>
              <w:spacing w:after="20"/>
            </w:pPr>
            <w:r/>
            <w:r>
              <w:rPr>
                <w:sz w:val="20"/>
              </w:rPr>
              <w:t>End. The adviser records this and explains the funds' sustainability features</w:t>
            </w:r>
          </w:p>
        </w:tc>
      </w:tr>
    </w:tbl>
    <w:p>
      <w:pPr>
        <w:spacing w:after="40"/>
      </w:pPr>
    </w:p>
    <w:p>
      <w:pPr>
        <w:keepNext/>
        <w:spacing w:before="120"/>
      </w:pPr>
      <w:r>
        <w:rPr>
          <w:b/>
          <w:color w:val="003781"/>
          <w:sz w:val="22"/>
        </w:rPr>
        <w:t>S3  Minimum share</w:t>
      </w:r>
    </w:p>
    <w:p>
      <w:pPr>
        <w:keepNext/>
      </w:pPr>
      <w:r>
        <w:rPr>
          <w:b/>
          <w:sz w:val="24"/>
        </w:rPr>
        <w:t>For each of A and B that you ticked, what is the smallest share of your investment you would like it to make up?</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Next</w:t>
            </w:r>
          </w:p>
        </w:tc>
      </w:tr>
      <w:tr>
        <w:trPr>
          <w:cantSplit/>
        </w:trPr>
        <w:tc>
          <w:tcPr>
            <w:tcW w:type="dxa" w:w="7087"/>
          </w:tcPr>
          <w:p>
            <w:pPr>
              <w:keepNext/>
              <w:spacing w:after="20"/>
            </w:pPr>
            <w:r/>
            <w:r>
              <w:rPr>
                <w:sz w:val="20"/>
              </w:rPr>
              <w:t>At least 10%</w:t>
            </w:r>
          </w:p>
        </w:tc>
        <w:tc>
          <w:tcPr>
            <w:tcW w:type="dxa" w:w="2551"/>
          </w:tcPr>
          <w:p>
            <w:pPr>
              <w:keepNext/>
              <w:spacing w:after="20"/>
            </w:pPr>
            <w:r/>
            <w:r>
              <w:rPr>
                <w:sz w:val="20"/>
              </w:rPr>
              <w:t>S4 if C ticked, else end</w:t>
            </w:r>
          </w:p>
        </w:tc>
      </w:tr>
      <w:tr>
        <w:trPr>
          <w:cantSplit/>
        </w:trPr>
        <w:tc>
          <w:tcPr>
            <w:tcW w:type="dxa" w:w="7087"/>
            <w:shd w:val="clear" w:fill="EEF3F9"/>
          </w:tcPr>
          <w:p>
            <w:pPr>
              <w:keepNext/>
              <w:spacing w:after="20"/>
            </w:pPr>
            <w:r/>
            <w:r>
              <w:rPr>
                <w:sz w:val="20"/>
              </w:rPr>
              <w:t>At least 20%</w:t>
            </w:r>
          </w:p>
        </w:tc>
        <w:tc>
          <w:tcPr>
            <w:tcW w:type="dxa" w:w="2551"/>
            <w:shd w:val="clear" w:fill="EEF3F9"/>
          </w:tcPr>
          <w:p>
            <w:pPr>
              <w:keepNext/>
              <w:spacing w:after="20"/>
            </w:pPr>
            <w:r/>
            <w:r>
              <w:rPr>
                <w:sz w:val="20"/>
              </w:rPr>
              <w:t>S4 if C ticked, else end</w:t>
            </w:r>
          </w:p>
        </w:tc>
      </w:tr>
      <w:tr>
        <w:trPr>
          <w:cantSplit/>
        </w:trPr>
        <w:tc>
          <w:tcPr>
            <w:tcW w:type="dxa" w:w="7087"/>
          </w:tcPr>
          <w:p>
            <w:pPr>
              <w:keepNext/>
              <w:spacing w:after="20"/>
            </w:pPr>
            <w:r/>
            <w:r>
              <w:rPr>
                <w:sz w:val="20"/>
              </w:rPr>
              <w:t>At least 30%</w:t>
            </w:r>
          </w:p>
        </w:tc>
        <w:tc>
          <w:tcPr>
            <w:tcW w:type="dxa" w:w="2551"/>
          </w:tcPr>
          <w:p>
            <w:pPr>
              <w:keepNext/>
              <w:spacing w:after="20"/>
            </w:pPr>
            <w:r/>
            <w:r>
              <w:rPr>
                <w:sz w:val="20"/>
              </w:rPr>
              <w:t>S4 if C ticked, else end</w:t>
            </w:r>
          </w:p>
        </w:tc>
      </w:tr>
      <w:tr>
        <w:trPr>
          <w:cantSplit/>
        </w:trPr>
        <w:tc>
          <w:tcPr>
            <w:tcW w:type="dxa" w:w="7087"/>
            <w:shd w:val="clear" w:fill="EEF3F9"/>
          </w:tcPr>
          <w:p>
            <w:pPr>
              <w:keepNext/>
              <w:spacing w:after="20"/>
            </w:pPr>
            <w:r/>
            <w:r>
              <w:rPr>
                <w:sz w:val="20"/>
              </w:rPr>
              <w:t>At least 50%</w:t>
            </w:r>
          </w:p>
        </w:tc>
        <w:tc>
          <w:tcPr>
            <w:tcW w:type="dxa" w:w="2551"/>
            <w:shd w:val="clear" w:fill="EEF3F9"/>
          </w:tcPr>
          <w:p>
            <w:pPr>
              <w:keepNext/>
              <w:spacing w:after="20"/>
            </w:pPr>
            <w:r/>
            <w:r>
              <w:rPr>
                <w:sz w:val="20"/>
              </w:rPr>
              <w:t>S4 if C ticked, else end</w:t>
            </w:r>
          </w:p>
        </w:tc>
      </w:tr>
    </w:tbl>
    <w:p>
      <w:pPr>
        <w:spacing w:after="40"/>
      </w:pPr>
    </w:p>
    <w:p>
      <w:pPr>
        <w:keepNext/>
        <w:spacing w:before="120"/>
      </w:pPr>
      <w:r>
        <w:rPr>
          <w:b/>
          <w:color w:val="003781"/>
          <w:sz w:val="22"/>
        </w:rPr>
        <w:t>S4  Negative effects</w:t>
      </w:r>
    </w:p>
    <w:p>
      <w:pPr>
        <w:keepNext/>
      </w:pPr>
      <w:r>
        <w:rPr>
          <w:b/>
          <w:sz w:val="24"/>
        </w:rPr>
        <w:t>Which negative effects matter most to you? Tick any that apply.</w:t>
      </w:r>
    </w:p>
    <w:tbl>
      <w:tblPr>
        <w:tblStyle w:val="TableGrid"/>
        <w:tblW w:type="auto" w:w="0"/>
        <w:tblLayout w:type="fixed"/>
        <w:tblLook w:firstColumn="1" w:firstRow="1" w:lastColumn="0" w:lastRow="0" w:noHBand="0" w:noVBand="1" w:val="04A0"/>
      </w:tblPr>
      <w:tblGrid>
        <w:gridCol w:w="4986"/>
        <w:gridCol w:w="4986"/>
      </w:tblGrid>
      <w:tr>
        <w:trPr>
          <w:cantSplit/>
          <w:tblHeader/>
        </w:trPr>
        <w:tc>
          <w:tcPr>
            <w:tcW w:type="dxa" w:w="7087"/>
            <w:shd w:val="clear" w:fill="003781"/>
          </w:tcPr>
          <w:p>
            <w:pPr>
              <w:keepNext/>
              <w:spacing w:after="20"/>
            </w:pPr>
            <w:r/>
            <w:r>
              <w:rPr>
                <w:b/>
                <w:color w:val="FFFFFF"/>
                <w:sz w:val="20"/>
              </w:rPr>
              <w:t>Answer</w:t>
            </w:r>
          </w:p>
        </w:tc>
        <w:tc>
          <w:tcPr>
            <w:tcW w:type="dxa" w:w="2551"/>
            <w:shd w:val="clear" w:fill="003781"/>
          </w:tcPr>
          <w:p>
            <w:pPr>
              <w:keepNext/>
              <w:spacing w:after="20"/>
            </w:pPr>
            <w:r/>
            <w:r>
              <w:rPr>
                <w:b/>
                <w:color w:val="FFFFFF"/>
                <w:sz w:val="20"/>
              </w:rPr>
              <w:t>Next</w:t>
            </w:r>
          </w:p>
        </w:tc>
      </w:tr>
      <w:tr>
        <w:trPr>
          <w:cantSplit/>
        </w:trPr>
        <w:tc>
          <w:tcPr>
            <w:tcW w:type="dxa" w:w="7087"/>
          </w:tcPr>
          <w:p>
            <w:pPr>
              <w:keepNext/>
              <w:spacing w:after="20"/>
            </w:pPr>
            <w:r/>
            <w:r>
              <w:rPr>
                <w:sz w:val="20"/>
              </w:rPr>
              <w:t>Greenhouse gas emissions and energy use</w:t>
            </w:r>
          </w:p>
        </w:tc>
        <w:tc>
          <w:tcPr>
            <w:tcW w:type="dxa" w:w="2551"/>
          </w:tcPr>
          <w:p>
            <w:pPr>
              <w:keepNext/>
              <w:spacing w:after="20"/>
            </w:pPr>
            <w:r/>
            <w:r>
              <w:rPr>
                <w:sz w:val="20"/>
              </w:rPr>
              <w:t>End</w:t>
            </w:r>
          </w:p>
        </w:tc>
      </w:tr>
      <w:tr>
        <w:trPr>
          <w:cantSplit/>
        </w:trPr>
        <w:tc>
          <w:tcPr>
            <w:tcW w:type="dxa" w:w="7087"/>
            <w:shd w:val="clear" w:fill="EEF3F9"/>
          </w:tcPr>
          <w:p>
            <w:pPr>
              <w:keepNext/>
              <w:spacing w:after="20"/>
            </w:pPr>
            <w:r/>
            <w:r>
              <w:rPr>
                <w:sz w:val="20"/>
              </w:rPr>
              <w:t>Biodiversity, water and waste</w:t>
            </w:r>
          </w:p>
        </w:tc>
        <w:tc>
          <w:tcPr>
            <w:tcW w:type="dxa" w:w="2551"/>
            <w:shd w:val="clear" w:fill="EEF3F9"/>
          </w:tcPr>
          <w:p>
            <w:pPr>
              <w:keepNext/>
              <w:spacing w:after="20"/>
            </w:pPr>
            <w:r/>
            <w:r>
              <w:rPr>
                <w:sz w:val="20"/>
              </w:rPr>
              <w:t>End</w:t>
            </w:r>
          </w:p>
        </w:tc>
      </w:tr>
      <w:tr>
        <w:trPr>
          <w:cantSplit/>
        </w:trPr>
        <w:tc>
          <w:tcPr>
            <w:tcW w:type="dxa" w:w="7087"/>
          </w:tcPr>
          <w:p>
            <w:pPr>
              <w:keepNext/>
              <w:spacing w:after="20"/>
            </w:pPr>
            <w:r/>
            <w:r>
              <w:rPr>
                <w:sz w:val="20"/>
              </w:rPr>
              <w:t>Social and employee matters, including human rights</w:t>
            </w:r>
          </w:p>
        </w:tc>
        <w:tc>
          <w:tcPr>
            <w:tcW w:type="dxa" w:w="2551"/>
          </w:tcPr>
          <w:p>
            <w:pPr>
              <w:keepNext/>
              <w:spacing w:after="20"/>
            </w:pPr>
            <w:r/>
            <w:r>
              <w:rPr>
                <w:sz w:val="20"/>
              </w:rPr>
              <w:t>End</w:t>
            </w:r>
          </w:p>
        </w:tc>
      </w:tr>
      <w:tr>
        <w:trPr>
          <w:cantSplit/>
        </w:trPr>
        <w:tc>
          <w:tcPr>
            <w:tcW w:type="dxa" w:w="7087"/>
            <w:shd w:val="clear" w:fill="EEF3F9"/>
          </w:tcPr>
          <w:p>
            <w:pPr>
              <w:keepNext/>
              <w:spacing w:after="20"/>
            </w:pPr>
            <w:r/>
            <w:r>
              <w:rPr>
                <w:sz w:val="20"/>
              </w:rPr>
              <w:t>Corruption and bribery</w:t>
            </w:r>
          </w:p>
        </w:tc>
        <w:tc>
          <w:tcPr>
            <w:tcW w:type="dxa" w:w="2551"/>
            <w:shd w:val="clear" w:fill="EEF3F9"/>
          </w:tcPr>
          <w:p>
            <w:pPr>
              <w:keepNext/>
              <w:spacing w:after="20"/>
            </w:pPr>
            <w:r/>
            <w:r>
              <w:rPr>
                <w:sz w:val="20"/>
              </w:rPr>
              <w:t>End</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Collects the client's sustainability preferences in plain language, so the adviser can match them to the funds' features. The options are shown in a fixed, neutral order, and "No" is as easy to give as "Yes".</w:t>
            </w:r>
          </w:p>
          <w:p>
            <w:pPr>
              <w:spacing w:after="40"/>
            </w:pPr>
            <w:r>
              <w:rPr>
                <w:b/>
                <w:color w:val="003781"/>
                <w:sz w:val="18"/>
              </w:rPr>
              <w:t xml:space="preserve">Regulation  </w:t>
            </w:r>
            <w:r>
              <w:rPr>
                <w:sz w:val="18"/>
              </w:rPr>
              <w:t>Sustainability preferences are part of the suitability assessment for insurance-based investment products (Delegated Regulation 2017/2359 as amended by 2021/1257, from memory) and are information the Code requires (Reg 16(3)). Follows ESMA 26–28: a yes or no, then which of the three types, a minimum share for A and B, and the negative-effect categories for C. Asked only after suitability is assessed (ESMA 81), and in a neutral way (ESMA 26). If no fund meets the preferences, the client may change them for this recommendation only, and the reason is recorded (ESMA 82–83).</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DCE9F7"/>
          </w:tcPr>
          <w:p>
            <w:pPr>
              <w:spacing w:after="40"/>
            </w:pPr>
            <w:r/>
            <w:r>
              <w:rPr>
                <w:b/>
                <w:color w:val="003781"/>
                <w:sz w:val="20"/>
              </w:rPr>
              <w:t xml:space="preserve">Result  </w:t>
            </w:r>
            <w:r>
              <w:rPr>
                <w:sz w:val="20"/>
              </w:rPr>
              <w:t>Sustainability preferences recorded with the profile: none, or the types chosen, minimum shares and negative effects. They filter the fund list after the rating is set, and do not change the rating.</w:t>
            </w:r>
          </w:p>
        </w:tc>
      </w:tr>
    </w:tbl>
    <w:p>
      <w:pPr>
        <w:spacing w:after="40"/>
      </w:pPr>
    </w:p>
    <w:p>
      <w:pPr>
        <w:pStyle w:val="Heading2"/>
      </w:pPr>
      <w:r>
        <w:t>About you</w:t>
      </w:r>
    </w:p>
    <w:p>
      <w:pPr>
        <w:keepNext/>
        <w:spacing w:before="120"/>
      </w:pPr>
      <w:r>
        <w:rPr>
          <w:b/>
          <w:color w:val="003781"/>
          <w:sz w:val="22"/>
        </w:rPr>
        <w:t>DOB  Date of birth</w:t>
      </w:r>
    </w:p>
    <w:p>
      <w:pPr>
        <w:keepNext/>
      </w:pPr>
      <w:r>
        <w:rPr>
          <w:b/>
          <w:sz w:val="24"/>
        </w:rPr>
        <w:t>What is your date of birth?</w:t>
      </w: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8"/>
              </w:rPr>
              <w:t xml:space="preserve">Why  </w:t>
            </w:r>
            <w:r>
              <w:rPr>
                <w:sz w:val="18"/>
              </w:rPr>
              <w:t>Age does not change the rating; the horizon (Q3) does that work. Clients aged 65 or over with a rating of 5 or more are flagged for the adviser.</w:t>
            </w:r>
          </w:p>
          <w:p>
            <w:pPr>
              <w:spacing w:after="40"/>
            </w:pPr>
            <w:r>
              <w:rPr>
                <w:b/>
                <w:color w:val="003781"/>
                <w:sz w:val="18"/>
              </w:rPr>
              <w:t xml:space="preserve">Regulation  </w:t>
            </w:r>
            <w:r>
              <w:rPr>
                <w:sz w:val="18"/>
              </w:rPr>
              <w:t>Age (ESMA 24); more care with older clients, who may be vulnerable (ESMA 40).</w:t>
            </w:r>
          </w:p>
        </w:tc>
      </w:tr>
    </w:tbl>
    <w:p>
      <w:pPr>
        <w:spacing w:after="40"/>
      </w:pPr>
    </w:p>
    <w:p>
      <w:pPr>
        <w:pStyle w:val="Heading1"/>
      </w:pPr>
      <w:r>
        <w:t>3. Checks and flags</w:t>
      </w:r>
    </w:p>
    <w:p>
      <w:r>
        <w:t>Flags do not block the client. They are shown to the adviser and recorded.</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1491"/>
            <w:shd w:val="clear" w:fill="003781"/>
          </w:tcPr>
          <w:p>
            <w:pPr>
              <w:keepNext/>
              <w:spacing w:after="20"/>
            </w:pPr>
            <w:r/>
            <w:r>
              <w:rPr>
                <w:b/>
                <w:color w:val="FFFFFF"/>
                <w:sz w:val="19"/>
              </w:rPr>
              <w:t>Flag</w:t>
            </w:r>
          </w:p>
        </w:tc>
        <w:tc>
          <w:tcPr>
            <w:tcW w:type="dxa" w:w="4601"/>
            <w:shd w:val="clear" w:fill="003781"/>
          </w:tcPr>
          <w:p>
            <w:pPr>
              <w:keepNext/>
              <w:spacing w:after="20"/>
            </w:pPr>
            <w:r/>
            <w:r>
              <w:rPr>
                <w:b/>
                <w:color w:val="FFFFFF"/>
                <w:sz w:val="19"/>
              </w:rPr>
              <w:t>Shown when</w:t>
            </w:r>
          </w:p>
        </w:tc>
        <w:tc>
          <w:tcPr>
            <w:tcW w:type="dxa" w:w="3545"/>
            <w:shd w:val="clear" w:fill="003781"/>
          </w:tcPr>
          <w:p>
            <w:pPr>
              <w:keepNext/>
              <w:spacing w:after="20"/>
            </w:pPr>
            <w:r/>
            <w:r>
              <w:rPr>
                <w:b/>
                <w:color w:val="FFFFFF"/>
                <w:sz w:val="19"/>
              </w:rPr>
              <w:t>Regulation</w:t>
            </w:r>
          </w:p>
        </w:tc>
      </w:tr>
      <w:tr>
        <w:trPr>
          <w:cantSplit/>
        </w:trPr>
        <w:tc>
          <w:tcPr>
            <w:tcW w:type="dxa" w:w="1491"/>
          </w:tcPr>
          <w:p>
            <w:pPr>
              <w:keepNext/>
              <w:spacing w:after="20"/>
            </w:pPr>
            <w:r/>
            <w:r>
              <w:rPr>
                <w:b/>
                <w:sz w:val="19"/>
              </w:rPr>
              <w:t>F1 Mixed attitude</w:t>
            </w:r>
          </w:p>
        </w:tc>
        <w:tc>
          <w:tcPr>
            <w:tcW w:type="dxa" w:w="4601"/>
          </w:tcPr>
          <w:p>
            <w:pPr>
              <w:keepNext/>
              <w:spacing w:after="20"/>
            </w:pPr>
            <w:r/>
            <w:r>
              <w:rPr>
                <w:sz w:val="19"/>
              </w:rPr>
              <w:t>The Q4, Q5 and Q6 ratings are 3 or more apart</w:t>
            </w:r>
          </w:p>
        </w:tc>
        <w:tc>
          <w:tcPr>
            <w:tcW w:type="dxa" w:w="3545"/>
          </w:tcPr>
          <w:p>
            <w:pPr>
              <w:keepNext/>
              <w:spacing w:after="20"/>
            </w:pPr>
            <w:r/>
            <w:r>
              <w:rPr>
                <w:sz w:val="19"/>
              </w:rPr>
              <w:t>Contradictions in the answers (ESMA 32, 49, 51)</w:t>
            </w:r>
          </w:p>
        </w:tc>
      </w:tr>
      <w:tr>
        <w:trPr>
          <w:cantSplit/>
        </w:trPr>
        <w:tc>
          <w:tcPr>
            <w:tcW w:type="dxa" w:w="1491"/>
            <w:shd w:val="clear" w:fill="EEF3F9"/>
          </w:tcPr>
          <w:p>
            <w:pPr>
              <w:keepNext/>
              <w:spacing w:after="20"/>
            </w:pPr>
            <w:r/>
            <w:r>
              <w:rPr>
                <w:b/>
                <w:sz w:val="19"/>
              </w:rPr>
              <w:t>F2 Knowledge</w:t>
            </w:r>
          </w:p>
        </w:tc>
        <w:tc>
          <w:tcPr>
            <w:tcW w:type="dxa" w:w="4601"/>
            <w:shd w:val="clear" w:fill="EEF3F9"/>
          </w:tcPr>
          <w:p>
            <w:pPr>
              <w:keepNext/>
              <w:spacing w:after="20"/>
            </w:pPr>
            <w:r/>
            <w:r>
              <w:rPr>
                <w:sz w:val="19"/>
              </w:rPr>
              <w:t>Rating 5 or more and knowledge Low</w:t>
            </w:r>
          </w:p>
        </w:tc>
        <w:tc>
          <w:tcPr>
            <w:tcW w:type="dxa" w:w="3545"/>
            <w:shd w:val="clear" w:fill="EEF3F9"/>
          </w:tcPr>
          <w:p>
            <w:pPr>
              <w:keepNext/>
              <w:spacing w:after="20"/>
            </w:pPr>
            <w:r/>
            <w:r>
              <w:rPr>
                <w:sz w:val="19"/>
              </w:rPr>
              <w:t>Little knowledge with an aggressive attitude (ESMA 51–52)</w:t>
            </w:r>
          </w:p>
        </w:tc>
      </w:tr>
      <w:tr>
        <w:trPr>
          <w:cantSplit/>
        </w:trPr>
        <w:tc>
          <w:tcPr>
            <w:tcW w:type="dxa" w:w="1491"/>
          </w:tcPr>
          <w:p>
            <w:pPr>
              <w:keepNext/>
              <w:spacing w:after="20"/>
            </w:pPr>
            <w:r/>
            <w:r>
              <w:rPr>
                <w:b/>
                <w:sz w:val="19"/>
              </w:rPr>
              <w:t>F3 Capacity limit</w:t>
            </w:r>
          </w:p>
        </w:tc>
        <w:tc>
          <w:tcPr>
            <w:tcW w:type="dxa" w:w="4601"/>
          </w:tcPr>
          <w:p>
            <w:pPr>
              <w:keepNext/>
              <w:spacing w:after="20"/>
            </w:pPr>
            <w:r/>
            <w:r>
              <w:rPr>
                <w:sz w:val="19"/>
              </w:rPr>
              <w:t>Capacity is Low and the attitude rating is above 4, so the rating is limited to 4</w:t>
            </w:r>
          </w:p>
        </w:tc>
        <w:tc>
          <w:tcPr>
            <w:tcW w:type="dxa" w:w="3545"/>
          </w:tcPr>
          <w:p>
            <w:pPr>
              <w:keepNext/>
              <w:spacing w:after="20"/>
            </w:pPr>
            <w:r/>
            <w:r>
              <w:rPr>
                <w:sz w:val="19"/>
              </w:rPr>
              <w:t>The client must be able to bear the losses (ESMA 80)</w:t>
            </w:r>
          </w:p>
        </w:tc>
      </w:tr>
      <w:tr>
        <w:trPr>
          <w:cantSplit/>
        </w:trPr>
        <w:tc>
          <w:tcPr>
            <w:tcW w:type="dxa" w:w="1491"/>
            <w:shd w:val="clear" w:fill="EEF3F9"/>
          </w:tcPr>
          <w:p>
            <w:pPr>
              <w:keepNext/>
              <w:spacing w:after="20"/>
            </w:pPr>
            <w:r/>
            <w:r>
              <w:rPr>
                <w:b/>
                <w:sz w:val="19"/>
              </w:rPr>
              <w:t>F4 Short horizon</w:t>
            </w:r>
          </w:p>
        </w:tc>
        <w:tc>
          <w:tcPr>
            <w:tcW w:type="dxa" w:w="4601"/>
            <w:shd w:val="clear" w:fill="EEF3F9"/>
          </w:tcPr>
          <w:p>
            <w:pPr>
              <w:keepNext/>
              <w:spacing w:after="20"/>
            </w:pPr>
            <w:r/>
            <w:r>
              <w:rPr>
                <w:sz w:val="19"/>
              </w:rPr>
              <w:t>The time limit lowers the rating, or the horizon is under 5 years and the rating is above 3</w:t>
            </w:r>
          </w:p>
        </w:tc>
        <w:tc>
          <w:tcPr>
            <w:tcW w:type="dxa" w:w="3545"/>
            <w:shd w:val="clear" w:fill="EEF3F9"/>
          </w:tcPr>
          <w:p>
            <w:pPr>
              <w:keepNext/>
              <w:spacing w:after="20"/>
            </w:pPr>
            <w:r/>
            <w:r>
              <w:rPr>
                <w:sz w:val="19"/>
              </w:rPr>
              <w:t>Holding period (ESMA 80)</w:t>
            </w:r>
          </w:p>
        </w:tc>
      </w:tr>
      <w:tr>
        <w:trPr>
          <w:cantSplit/>
        </w:trPr>
        <w:tc>
          <w:tcPr>
            <w:tcW w:type="dxa" w:w="1491"/>
          </w:tcPr>
          <w:p>
            <w:pPr>
              <w:keepNext/>
              <w:spacing w:after="20"/>
            </w:pPr>
            <w:r/>
            <w:r>
              <w:rPr>
                <w:b/>
                <w:sz w:val="19"/>
              </w:rPr>
              <w:t>F5 Age</w:t>
            </w:r>
          </w:p>
        </w:tc>
        <w:tc>
          <w:tcPr>
            <w:tcW w:type="dxa" w:w="4601"/>
          </w:tcPr>
          <w:p>
            <w:pPr>
              <w:keepNext/>
              <w:spacing w:after="20"/>
            </w:pPr>
            <w:r/>
            <w:r>
              <w:rPr>
                <w:sz w:val="19"/>
              </w:rPr>
              <w:t>Age 65 or over and rating 5 or more</w:t>
            </w:r>
          </w:p>
        </w:tc>
        <w:tc>
          <w:tcPr>
            <w:tcW w:type="dxa" w:w="3545"/>
          </w:tcPr>
          <w:p>
            <w:pPr>
              <w:keepNext/>
              <w:spacing w:after="20"/>
            </w:pPr>
            <w:r/>
            <w:r>
              <w:rPr>
                <w:sz w:val="19"/>
              </w:rPr>
              <w:t>Older clients (ESMA 24, 40)</w:t>
            </w:r>
          </w:p>
        </w:tc>
      </w:tr>
      <w:tr>
        <w:trPr>
          <w:cantSplit/>
        </w:trPr>
        <w:tc>
          <w:tcPr>
            <w:tcW w:type="dxa" w:w="1491"/>
            <w:shd w:val="clear" w:fill="EEF3F9"/>
          </w:tcPr>
          <w:p>
            <w:pPr>
              <w:spacing w:after="20"/>
            </w:pPr>
            <w:r/>
            <w:r>
              <w:rPr>
                <w:b/>
                <w:sz w:val="19"/>
              </w:rPr>
              <w:t>F6 Changed answers</w:t>
            </w:r>
          </w:p>
        </w:tc>
        <w:tc>
          <w:tcPr>
            <w:tcW w:type="dxa" w:w="4601"/>
            <w:shd w:val="clear" w:fill="EEF3F9"/>
          </w:tcPr>
          <w:p>
            <w:pPr>
              <w:spacing w:after="20"/>
            </w:pPr>
            <w:r/>
            <w:r>
              <w:rPr>
                <w:sz w:val="19"/>
              </w:rPr>
              <w:t>Answers changed after the result was shown</w:t>
            </w:r>
          </w:p>
        </w:tc>
        <w:tc>
          <w:tcPr>
            <w:tcW w:type="dxa" w:w="3545"/>
            <w:shd w:val="clear" w:fill="EEF3F9"/>
          </w:tcPr>
          <w:p>
            <w:pPr>
              <w:spacing w:after="20"/>
            </w:pPr>
            <w:r/>
            <w:r>
              <w:rPr>
                <w:sz w:val="19"/>
              </w:rPr>
              <w:t>Guard against answers changed to reach a product (ESMA 50, 58)</w:t>
            </w:r>
          </w:p>
        </w:tc>
      </w:tr>
    </w:tbl>
    <w:p>
      <w:pPr>
        <w:spacing w:after="40"/>
      </w:pPr>
    </w:p>
    <w:p>
      <w:r>
        <w:br w:type="page"/>
      </w:r>
    </w:p>
    <w:p>
      <w:pPr>
        <w:pStyle w:val="Heading1"/>
      </w:pPr>
      <w:r>
        <w:t>4. How the design meets the regulations</w:t>
      </w:r>
    </w:p>
    <w:p>
      <w:pPr>
        <w:pStyle w:val="Heading2"/>
      </w:pPr>
      <w:r>
        <w:t>Which rules apply</w:t>
      </w: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9"/>
              </w:rPr>
              <w:t xml:space="preserve">Insurance-based investment products (such as investment bonds)  </w:t>
            </w:r>
            <w:r>
              <w:rPr>
                <w:sz w:val="19"/>
              </w:rPr>
              <w:t>Suitability is governed by the Insurance Distribution Directive (IDD), Article 30, transposed in Ireland by the European Union (Insurance Distribution) Regulations 2018, and by Delegated Regulation (EU) 2017/2359. The Consumer Protection Code 2025 switches off its own suitability chapter for advice on these products (Reg 11(3)).</w:t>
            </w:r>
          </w:p>
          <w:p>
            <w:pPr>
              <w:spacing w:after="40"/>
            </w:pPr>
            <w:r>
              <w:rPr>
                <w:b/>
                <w:color w:val="003781"/>
                <w:sz w:val="19"/>
              </w:rPr>
              <w:t xml:space="preserve">PRSAs and ARFs  </w:t>
            </w:r>
            <w:r>
              <w:rPr>
                <w:sz w:val="19"/>
              </w:rPr>
              <w:t>These may fall outside the definition of an insurance-based investment product, as pension products. If so, the Code's suitability chapter (Regs 16–19) applies. Compliance to confirm.</w:t>
            </w:r>
          </w:p>
          <w:p>
            <w:pPr>
              <w:spacing w:after="40"/>
            </w:pPr>
            <w:r>
              <w:rPr>
                <w:b/>
                <w:color w:val="003781"/>
                <w:sz w:val="19"/>
              </w:rPr>
              <w:t xml:space="preserve">All products  </w:t>
            </w:r>
            <w:r>
              <w:rPr>
                <w:sz w:val="19"/>
              </w:rPr>
              <w:t>The Code's rules on digital tools (Regs 38–39), plain language (Regs 47, 64) and vulnerable consumers (Regs 34–37) apply.</w:t>
            </w:r>
          </w:p>
          <w:p>
            <w:pPr>
              <w:spacing w:after="40"/>
            </w:pPr>
            <w:r>
              <w:rPr>
                <w:b/>
                <w:color w:val="003781"/>
                <w:sz w:val="19"/>
              </w:rPr>
              <w:t xml:space="preserve">The ESMA suitability guidelines (ESMA35-43-3172)  </w:t>
            </w:r>
            <w:r>
              <w:rPr>
                <w:sz w:val="19"/>
              </w:rPr>
              <w:t>These are written for MiFID firms. They are used here as the detailed benchmark, because neither the IDD nor the Code sets out how a questionnaire should be built. Paragraph numbers below are ESMA's.</w:t>
            </w:r>
          </w:p>
          <w:p>
            <w:pPr>
              <w:spacing w:after="40"/>
            </w:pPr>
            <w:r>
              <w:rPr>
                <w:b/>
                <w:color w:val="003781"/>
                <w:sz w:val="19"/>
              </w:rPr>
              <w:t xml:space="preserve">Sources  </w:t>
            </w:r>
            <w:r>
              <w:rPr>
                <w:sz w:val="19"/>
              </w:rPr>
              <w:t>The Code was read on the Central Bank website on 19/10/2026. The IDD and Delegated Regulation references are from memory and have not been checked against the texts.</w:t>
            </w:r>
          </w:p>
        </w:tc>
      </w:tr>
    </w:tbl>
    <w:p>
      <w:pPr>
        <w:spacing w:after="40"/>
      </w:pPr>
    </w:p>
    <w:p>
      <w:pPr>
        <w:pStyle w:val="Heading2"/>
      </w:pPr>
      <w:r>
        <w:t>Requirement by requirement</w:t>
      </w:r>
    </w:p>
    <w:tbl>
      <w:tblPr>
        <w:tblStyle w:val="TableGrid"/>
        <w:tblW w:type="auto" w:w="0"/>
        <w:tblLayout w:type="fixed"/>
        <w:tblLook w:firstColumn="1" w:firstRow="1" w:lastColumn="0" w:lastRow="0" w:noHBand="0" w:noVBand="1" w:val="04A0"/>
      </w:tblPr>
      <w:tblGrid>
        <w:gridCol w:w="2493"/>
        <w:gridCol w:w="2493"/>
        <w:gridCol w:w="2493"/>
        <w:gridCol w:w="2493"/>
      </w:tblGrid>
      <w:tr>
        <w:trPr>
          <w:cantSplit/>
          <w:tblHeader/>
        </w:trPr>
        <w:tc>
          <w:tcPr>
            <w:tcW w:type="dxa" w:w="2041"/>
            <w:shd w:val="clear" w:fill="003781"/>
          </w:tcPr>
          <w:p>
            <w:pPr>
              <w:keepNext/>
              <w:spacing w:after="20"/>
            </w:pPr>
            <w:r/>
            <w:r>
              <w:rPr>
                <w:b/>
                <w:color w:val="FFFFFF"/>
                <w:sz w:val="19"/>
              </w:rPr>
              <w:t>Requirement</w:t>
            </w:r>
          </w:p>
        </w:tc>
        <w:tc>
          <w:tcPr>
            <w:tcW w:type="dxa" w:w="1644"/>
            <w:shd w:val="clear" w:fill="003781"/>
          </w:tcPr>
          <w:p>
            <w:pPr>
              <w:keepNext/>
              <w:spacing w:after="20"/>
            </w:pPr>
            <w:r/>
            <w:r>
              <w:rPr>
                <w:b/>
                <w:color w:val="FFFFFF"/>
                <w:sz w:val="19"/>
              </w:rPr>
              <w:t>Source</w:t>
            </w:r>
          </w:p>
        </w:tc>
        <w:tc>
          <w:tcPr>
            <w:tcW w:type="dxa" w:w="4706"/>
            <w:shd w:val="clear" w:fill="003781"/>
          </w:tcPr>
          <w:p>
            <w:pPr>
              <w:keepNext/>
              <w:spacing w:after="20"/>
            </w:pPr>
            <w:r/>
            <w:r>
              <w:rPr>
                <w:b/>
                <w:color w:val="FFFFFF"/>
                <w:sz w:val="19"/>
              </w:rPr>
              <w:t>How the design meets it</w:t>
            </w:r>
          </w:p>
        </w:tc>
        <w:tc>
          <w:tcPr>
            <w:tcW w:type="dxa" w:w="1247"/>
            <w:shd w:val="clear" w:fill="003781"/>
          </w:tcPr>
          <w:p>
            <w:pPr>
              <w:keepNext/>
              <w:spacing w:after="20"/>
            </w:pPr>
            <w:r/>
            <w:r>
              <w:rPr>
                <w:b/>
                <w:color w:val="FFFFFF"/>
                <w:sz w:val="19"/>
              </w:rPr>
              <w:t>Status</w:t>
            </w:r>
          </w:p>
        </w:tc>
      </w:tr>
      <w:tr>
        <w:trPr>
          <w:cantSplit/>
        </w:trPr>
        <w:tc>
          <w:tcPr>
            <w:tcW w:type="dxa" w:w="2041"/>
          </w:tcPr>
          <w:p>
            <w:pPr>
              <w:spacing w:after="20"/>
            </w:pPr>
            <w:r/>
            <w:r>
              <w:rPr>
                <w:b/>
                <w:sz w:val="19"/>
              </w:rPr>
              <w:t>Explain the purpose; the firm decides suitability; no disclaimers</w:t>
            </w:r>
          </w:p>
        </w:tc>
        <w:tc>
          <w:tcPr>
            <w:tcW w:type="dxa" w:w="1644"/>
          </w:tcPr>
          <w:p>
            <w:pPr>
              <w:spacing w:after="20"/>
            </w:pPr>
            <w:r/>
            <w:r>
              <w:rPr>
                <w:sz w:val="19"/>
              </w:rPr>
              <w:t>ESMA 11–15</w:t>
            </w:r>
          </w:p>
        </w:tc>
        <w:tc>
          <w:tcPr>
            <w:tcW w:type="dxa" w:w="4706"/>
          </w:tcPr>
          <w:p>
            <w:pPr>
              <w:spacing w:after="20"/>
            </w:pPr>
            <w:r/>
            <w:r>
              <w:rPr>
                <w:sz w:val="19"/>
              </w:rPr>
              <w:t>The introduction says why we ask, that suitability is our decision, and why complete answers matter. The client is never asked to confirm suitability, and there is no "not a recommendation" note. Wording for Compliance to approve</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Knowledge and experience</w:t>
            </w:r>
          </w:p>
        </w:tc>
        <w:tc>
          <w:tcPr>
            <w:tcW w:type="dxa" w:w="1644"/>
            <w:shd w:val="clear" w:fill="EEF3F9"/>
          </w:tcPr>
          <w:p>
            <w:pPr>
              <w:spacing w:after="20"/>
            </w:pPr>
            <w:r/>
            <w:r>
              <w:rPr>
                <w:sz w:val="19"/>
              </w:rPr>
              <w:t>IDD Art 30; ESMA 30, 46–47, 52</w:t>
            </w:r>
          </w:p>
        </w:tc>
        <w:tc>
          <w:tcPr>
            <w:tcW w:type="dxa" w:w="4706"/>
            <w:shd w:val="clear" w:fill="EEF3F9"/>
          </w:tcPr>
          <w:p>
            <w:pPr>
              <w:spacing w:after="20"/>
            </w:pPr>
            <w:r/>
            <w:r>
              <w:rPr>
                <w:sz w:val="19"/>
              </w:rPr>
              <w:t>Q7 asks what the client has done and how recently. Q8 checks it with a question that has a right answer, and a wrong answer lowers the level. Low knowledge with a high rating is flagged</w:t>
            </w:r>
          </w:p>
        </w:tc>
        <w:tc>
          <w:tcPr>
            <w:tcW w:type="dxa" w:w="1247"/>
            <w:shd w:val="clear" w:fill="D5EBD9"/>
          </w:tcPr>
          <w:p>
            <w:pPr>
              <w:spacing w:after="20"/>
            </w:pPr>
            <w:r/>
            <w:r>
              <w:rPr>
                <w:b/>
                <w:color w:val="1B5E20"/>
                <w:sz w:val="19"/>
              </w:rPr>
              <w:t>Met</w:t>
            </w:r>
          </w:p>
        </w:tc>
      </w:tr>
      <w:tr>
        <w:trPr>
          <w:cantSplit/>
        </w:trPr>
        <w:tc>
          <w:tcPr>
            <w:tcW w:type="dxa" w:w="2041"/>
          </w:tcPr>
          <w:p>
            <w:pPr>
              <w:spacing w:after="20"/>
            </w:pPr>
            <w:r/>
            <w:r>
              <w:rPr>
                <w:b/>
                <w:sz w:val="19"/>
              </w:rPr>
              <w:t>Financial situation, including ability to bear losses</w:t>
            </w:r>
          </w:p>
        </w:tc>
        <w:tc>
          <w:tcPr>
            <w:tcW w:type="dxa" w:w="1644"/>
          </w:tcPr>
          <w:p>
            <w:pPr>
              <w:spacing w:after="20"/>
            </w:pPr>
            <w:r/>
            <w:r>
              <w:rPr>
                <w:sz w:val="19"/>
              </w:rPr>
              <w:t>IDD Art 30; ESMA 12, 80; Code Reg 17</w:t>
            </w:r>
          </w:p>
        </w:tc>
        <w:tc>
          <w:tcPr>
            <w:tcW w:type="dxa" w:w="4706"/>
          </w:tcPr>
          <w:p>
            <w:pPr>
              <w:spacing w:after="20"/>
            </w:pPr>
            <w:r/>
            <w:r>
              <w:rPr>
                <w:sz w:val="19"/>
              </w:rPr>
              <w:t>Q1 and Q2 give capacity for loss. Low capacity limits the rating to 4, so a client who cannot bear losses cannot be given a high rating, whatever their attitude</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Objectives, including risk tolerance</w:t>
            </w:r>
          </w:p>
        </w:tc>
        <w:tc>
          <w:tcPr>
            <w:tcW w:type="dxa" w:w="1644"/>
            <w:shd w:val="clear" w:fill="EEF3F9"/>
          </w:tcPr>
          <w:p>
            <w:pPr>
              <w:spacing w:after="20"/>
            </w:pPr>
            <w:r/>
            <w:r>
              <w:rPr>
                <w:sz w:val="19"/>
              </w:rPr>
              <w:t>IDD Art 30; ESMA 46, 48</w:t>
            </w:r>
          </w:p>
        </w:tc>
        <w:tc>
          <w:tcPr>
            <w:tcW w:type="dxa" w:w="4706"/>
            <w:shd w:val="clear" w:fill="EEF3F9"/>
          </w:tcPr>
          <w:p>
            <w:pPr>
              <w:spacing w:after="20"/>
            </w:pPr>
            <w:r/>
            <w:r>
              <w:rPr>
                <w:sz w:val="19"/>
              </w:rPr>
              <w:t>Q4 asks the largest € loss over 12 months the client would accept, which is ESMA's own example. Q5 asks what they would do after a 20% fall, and Q6 asks the objective. The loss answer anchors the rating</w:t>
            </w:r>
          </w:p>
        </w:tc>
        <w:tc>
          <w:tcPr>
            <w:tcW w:type="dxa" w:w="1247"/>
            <w:shd w:val="clear" w:fill="D5EBD9"/>
          </w:tcPr>
          <w:p>
            <w:pPr>
              <w:spacing w:after="20"/>
            </w:pPr>
            <w:r/>
            <w:r>
              <w:rPr>
                <w:b/>
                <w:color w:val="1B5E20"/>
                <w:sz w:val="19"/>
              </w:rPr>
              <w:t>Met</w:t>
            </w:r>
          </w:p>
        </w:tc>
      </w:tr>
      <w:tr>
        <w:trPr>
          <w:cantSplit/>
        </w:trPr>
        <w:tc>
          <w:tcPr>
            <w:tcW w:type="dxa" w:w="2041"/>
          </w:tcPr>
          <w:p>
            <w:pPr>
              <w:spacing w:after="20"/>
            </w:pPr>
            <w:r/>
            <w:r>
              <w:rPr>
                <w:b/>
                <w:sz w:val="19"/>
              </w:rPr>
              <w:t>Holding period</w:t>
            </w:r>
          </w:p>
        </w:tc>
        <w:tc>
          <w:tcPr>
            <w:tcW w:type="dxa" w:w="1644"/>
          </w:tcPr>
          <w:p>
            <w:pPr>
              <w:spacing w:after="20"/>
            </w:pPr>
            <w:r/>
            <w:r>
              <w:rPr>
                <w:sz w:val="19"/>
              </w:rPr>
              <w:t>ESMA 24, 37, 80</w:t>
            </w:r>
          </w:p>
        </w:tc>
        <w:tc>
          <w:tcPr>
            <w:tcW w:type="dxa" w:w="4706"/>
          </w:tcPr>
          <w:p>
            <w:pPr>
              <w:spacing w:after="20"/>
            </w:pPr>
            <w:r/>
            <w:r>
              <w:rPr>
                <w:sz w:val="19"/>
              </w:rPr>
              <w:t>Q3. Horizons under 5 years cap the rating</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Objective questions, not self-assessment</w:t>
            </w:r>
          </w:p>
        </w:tc>
        <w:tc>
          <w:tcPr>
            <w:tcW w:type="dxa" w:w="1644"/>
            <w:shd w:val="clear" w:fill="EEF3F9"/>
          </w:tcPr>
          <w:p>
            <w:pPr>
              <w:spacing w:after="20"/>
            </w:pPr>
            <w:r/>
            <w:r>
              <w:rPr>
                <w:sz w:val="19"/>
              </w:rPr>
              <w:t>ESMA 44–48</w:t>
            </w:r>
          </w:p>
        </w:tc>
        <w:tc>
          <w:tcPr>
            <w:tcW w:type="dxa" w:w="4706"/>
            <w:shd w:val="clear" w:fill="EEF3F9"/>
          </w:tcPr>
          <w:p>
            <w:pPr>
              <w:spacing w:after="20"/>
            </w:pPr>
            <w:r/>
            <w:r>
              <w:rPr>
                <w:sz w:val="19"/>
              </w:rPr>
              <w:t>Every scored question asks for a fact, an amount, an action or past experience. None asks the client to rate themselves</w:t>
            </w:r>
          </w:p>
        </w:tc>
        <w:tc>
          <w:tcPr>
            <w:tcW w:type="dxa" w:w="1247"/>
            <w:shd w:val="clear" w:fill="D5EBD9"/>
          </w:tcPr>
          <w:p>
            <w:pPr>
              <w:spacing w:after="20"/>
            </w:pPr>
            <w:r/>
            <w:r>
              <w:rPr>
                <w:b/>
                <w:color w:val="1B5E20"/>
                <w:sz w:val="19"/>
              </w:rPr>
              <w:t>Met</w:t>
            </w:r>
          </w:p>
        </w:tc>
      </w:tr>
      <w:tr>
        <w:trPr>
          <w:cantSplit/>
        </w:trPr>
        <w:tc>
          <w:tcPr>
            <w:tcW w:type="dxa" w:w="2041"/>
          </w:tcPr>
          <w:p>
            <w:pPr>
              <w:spacing w:after="20"/>
            </w:pPr>
            <w:r/>
            <w:r>
              <w:rPr>
                <w:b/>
                <w:sz w:val="19"/>
              </w:rPr>
              <w:t>Clear questions, one topic each</w:t>
            </w:r>
          </w:p>
        </w:tc>
        <w:tc>
          <w:tcPr>
            <w:tcW w:type="dxa" w:w="1644"/>
          </w:tcPr>
          <w:p>
            <w:pPr>
              <w:spacing w:after="20"/>
            </w:pPr>
            <w:r/>
            <w:r>
              <w:rPr>
                <w:sz w:val="19"/>
              </w:rPr>
              <w:t>ESMA 21–22; Code Regs 47, 64</w:t>
            </w:r>
          </w:p>
        </w:tc>
        <w:tc>
          <w:tcPr>
            <w:tcW w:type="dxa" w:w="4706"/>
          </w:tcPr>
          <w:p>
            <w:pPr>
              <w:spacing w:after="20"/>
            </w:pPr>
            <w:r/>
            <w:r>
              <w:rPr>
                <w:sz w:val="19"/>
              </w:rPr>
              <w:t>Plain language, one topic per question. Q8 is one ordering task with one right answer, not the grid of self-ratings that ESMA 22 warns against. Not yet tested with clients</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Layout must not steer; nothing preselected</w:t>
            </w:r>
          </w:p>
        </w:tc>
        <w:tc>
          <w:tcPr>
            <w:tcW w:type="dxa" w:w="1644"/>
            <w:shd w:val="clear" w:fill="EEF3F9"/>
          </w:tcPr>
          <w:p>
            <w:pPr>
              <w:spacing w:after="20"/>
            </w:pPr>
            <w:r/>
            <w:r>
              <w:rPr>
                <w:sz w:val="19"/>
              </w:rPr>
              <w:t>ESMA 22; Code Reg 39</w:t>
            </w:r>
          </w:p>
        </w:tc>
        <w:tc>
          <w:tcPr>
            <w:tcW w:type="dxa" w:w="4706"/>
            <w:shd w:val="clear" w:fill="EEF3F9"/>
          </w:tcPr>
          <w:p>
            <w:pPr>
              <w:spacing w:after="20"/>
            </w:pPr>
            <w:r/>
            <w:r>
              <w:rPr>
                <w:sz w:val="19"/>
              </w:rPr>
              <w:t>Build rules: no answer preselected, the Q4 slider starts empty, Q8 starts in a mixed order</w:t>
            </w:r>
          </w:p>
        </w:tc>
        <w:tc>
          <w:tcPr>
            <w:tcW w:type="dxa" w:w="1247"/>
            <w:shd w:val="clear" w:fill="D5EBD9"/>
          </w:tcPr>
          <w:p>
            <w:pPr>
              <w:spacing w:after="20"/>
            </w:pPr>
            <w:r/>
            <w:r>
              <w:rPr>
                <w:b/>
                <w:color w:val="1B5E20"/>
                <w:sz w:val="19"/>
              </w:rPr>
              <w:t>Met</w:t>
            </w:r>
          </w:p>
        </w:tc>
      </w:tr>
      <w:tr>
        <w:trPr>
          <w:cantSplit/>
        </w:trPr>
        <w:tc>
          <w:tcPr>
            <w:tcW w:type="dxa" w:w="2041"/>
          </w:tcPr>
          <w:p>
            <w:pPr>
              <w:spacing w:after="20"/>
            </w:pPr>
            <w:r/>
            <w:r>
              <w:rPr>
                <w:b/>
                <w:sz w:val="19"/>
              </w:rPr>
              <w:t>No skipping</w:t>
            </w:r>
          </w:p>
        </w:tc>
        <w:tc>
          <w:tcPr>
            <w:tcW w:type="dxa" w:w="1644"/>
          </w:tcPr>
          <w:p>
            <w:pPr>
              <w:spacing w:after="20"/>
            </w:pPr>
            <w:r/>
            <w:r>
              <w:rPr>
                <w:sz w:val="19"/>
              </w:rPr>
              <w:t>ESMA 22</w:t>
            </w:r>
          </w:p>
        </w:tc>
        <w:tc>
          <w:tcPr>
            <w:tcW w:type="dxa" w:w="4706"/>
          </w:tcPr>
          <w:p>
            <w:pPr>
              <w:spacing w:after="20"/>
            </w:pPr>
            <w:r/>
            <w:r>
              <w:rPr>
                <w:sz w:val="19"/>
              </w:rPr>
              <w:t>Every question must be answered; there is no "prefer not to say"</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Contradictions and over-confidence</w:t>
            </w:r>
          </w:p>
        </w:tc>
        <w:tc>
          <w:tcPr>
            <w:tcW w:type="dxa" w:w="1644"/>
            <w:shd w:val="clear" w:fill="EEF3F9"/>
          </w:tcPr>
          <w:p>
            <w:pPr>
              <w:spacing w:after="20"/>
            </w:pPr>
            <w:r/>
            <w:r>
              <w:rPr>
                <w:sz w:val="19"/>
              </w:rPr>
              <w:t>ESMA 32, 49, 51–52</w:t>
            </w:r>
          </w:p>
        </w:tc>
        <w:tc>
          <w:tcPr>
            <w:tcW w:type="dxa" w:w="4706"/>
            <w:shd w:val="clear" w:fill="EEF3F9"/>
          </w:tcPr>
          <w:p>
            <w:pPr>
              <w:spacing w:after="20"/>
            </w:pPr>
            <w:r/>
            <w:r>
              <w:rPr>
                <w:sz w:val="19"/>
              </w:rPr>
              <w:t>Flags F1 to F5 (section 3)</w:t>
            </w:r>
          </w:p>
        </w:tc>
        <w:tc>
          <w:tcPr>
            <w:tcW w:type="dxa" w:w="1247"/>
            <w:shd w:val="clear" w:fill="D5EBD9"/>
          </w:tcPr>
          <w:p>
            <w:pPr>
              <w:spacing w:after="20"/>
            </w:pPr>
            <w:r/>
            <w:r>
              <w:rPr>
                <w:b/>
                <w:color w:val="1B5E20"/>
                <w:sz w:val="19"/>
              </w:rPr>
              <w:t>Met</w:t>
            </w:r>
          </w:p>
        </w:tc>
      </w:tr>
      <w:tr>
        <w:trPr>
          <w:cantSplit/>
        </w:trPr>
        <w:tc>
          <w:tcPr>
            <w:tcW w:type="dxa" w:w="2041"/>
          </w:tcPr>
          <w:p>
            <w:pPr>
              <w:spacing w:after="20"/>
            </w:pPr>
            <w:r/>
            <w:r>
              <w:rPr>
                <w:b/>
                <w:sz w:val="19"/>
              </w:rPr>
              <w:t>Answers changed to reach a product</w:t>
            </w:r>
          </w:p>
        </w:tc>
        <w:tc>
          <w:tcPr>
            <w:tcW w:type="dxa" w:w="1644"/>
          </w:tcPr>
          <w:p>
            <w:pPr>
              <w:spacing w:after="20"/>
            </w:pPr>
            <w:r/>
            <w:r>
              <w:rPr>
                <w:sz w:val="19"/>
              </w:rPr>
              <w:t>ESMA 50, 58</w:t>
            </w:r>
          </w:p>
        </w:tc>
        <w:tc>
          <w:tcPr>
            <w:tcW w:type="dxa" w:w="4706"/>
          </w:tcPr>
          <w:p>
            <w:pPr>
              <w:spacing w:after="20"/>
            </w:pPr>
            <w:r/>
            <w:r>
              <w:rPr>
                <w:sz w:val="19"/>
              </w:rPr>
              <w:t>F6 flags answers changed after the result was shown</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Records</w:t>
            </w:r>
          </w:p>
        </w:tc>
        <w:tc>
          <w:tcPr>
            <w:tcW w:type="dxa" w:w="1644"/>
            <w:shd w:val="clear" w:fill="EEF3F9"/>
          </w:tcPr>
          <w:p>
            <w:pPr>
              <w:spacing w:after="20"/>
            </w:pPr>
            <w:r/>
            <w:r>
              <w:rPr>
                <w:sz w:val="19"/>
              </w:rPr>
              <w:t>ESMA 109–111</w:t>
            </w:r>
          </w:p>
        </w:tc>
        <w:tc>
          <w:tcPr>
            <w:tcW w:type="dxa" w:w="4706"/>
            <w:shd w:val="clear" w:fill="EEF3F9"/>
          </w:tcPr>
          <w:p>
            <w:pPr>
              <w:spacing w:after="20"/>
            </w:pPr>
            <w:r/>
            <w:r>
              <w:rPr>
                <w:sz w:val="19"/>
              </w:rPr>
              <w:t>The record holds the answers, ratings, limits applied, flags, any adviser override and its reason, the questionnaire version and the date</w:t>
            </w:r>
          </w:p>
        </w:tc>
        <w:tc>
          <w:tcPr>
            <w:tcW w:type="dxa" w:w="1247"/>
            <w:shd w:val="clear" w:fill="D5EBD9"/>
          </w:tcPr>
          <w:p>
            <w:pPr>
              <w:spacing w:after="20"/>
            </w:pPr>
            <w:r/>
            <w:r>
              <w:rPr>
                <w:b/>
                <w:color w:val="1B5E20"/>
                <w:sz w:val="19"/>
              </w:rPr>
              <w:t>Met</w:t>
            </w:r>
          </w:p>
        </w:tc>
      </w:tr>
      <w:tr>
        <w:trPr>
          <w:cantSplit/>
        </w:trPr>
        <w:tc>
          <w:tcPr>
            <w:tcW w:type="dxa" w:w="2041"/>
          </w:tcPr>
          <w:p>
            <w:pPr>
              <w:spacing w:after="20"/>
            </w:pPr>
            <w:r/>
            <w:r>
              <w:rPr>
                <w:b/>
                <w:sz w:val="19"/>
              </w:rPr>
              <w:t>Understanding of risk and return</w:t>
            </w:r>
          </w:p>
        </w:tc>
        <w:tc>
          <w:tcPr>
            <w:tcW w:type="dxa" w:w="1644"/>
          </w:tcPr>
          <w:p>
            <w:pPr>
              <w:spacing w:after="20"/>
            </w:pPr>
            <w:r/>
            <w:r>
              <w:rPr>
                <w:sz w:val="19"/>
              </w:rPr>
              <w:t>ESMA 23, 31, 80</w:t>
            </w:r>
          </w:p>
        </w:tc>
        <w:tc>
          <w:tcPr>
            <w:tcW w:type="dxa" w:w="4706"/>
          </w:tcPr>
          <w:p>
            <w:pPr>
              <w:spacing w:after="20"/>
            </w:pPr>
            <w:r/>
            <w:r>
              <w:rPr>
                <w:sz w:val="19"/>
              </w:rPr>
              <w:t>Q4 and Q5 show what losses look like in €. Q8 tests the order of risk and concentration. Nothing tests that a higher return needs more risk</w:t>
            </w:r>
          </w:p>
        </w:tc>
        <w:tc>
          <w:tcPr>
            <w:tcW w:type="dxa" w:w="1247"/>
            <w:shd w:val="clear" w:fill="FFEFC2"/>
          </w:tcPr>
          <w:p>
            <w:pPr>
              <w:spacing w:after="20"/>
            </w:pPr>
            <w:r/>
            <w:r>
              <w:rPr>
                <w:b/>
                <w:color w:val="7A5200"/>
                <w:sz w:val="19"/>
              </w:rPr>
              <w:t>Partly met</w:t>
            </w:r>
          </w:p>
        </w:tc>
      </w:tr>
      <w:tr>
        <w:trPr>
          <w:cantSplit/>
        </w:trPr>
        <w:tc>
          <w:tcPr>
            <w:tcW w:type="dxa" w:w="2041"/>
            <w:shd w:val="clear" w:fill="EEF3F9"/>
          </w:tcPr>
          <w:p>
            <w:pPr>
              <w:spacing w:after="20"/>
            </w:pPr>
            <w:r/>
            <w:r>
              <w:rPr>
                <w:b/>
                <w:sz w:val="19"/>
              </w:rPr>
              <w:t>Tool documented and tested</w:t>
            </w:r>
          </w:p>
        </w:tc>
        <w:tc>
          <w:tcPr>
            <w:tcW w:type="dxa" w:w="1644"/>
            <w:shd w:val="clear" w:fill="EEF3F9"/>
          </w:tcPr>
          <w:p>
            <w:pPr>
              <w:spacing w:after="20"/>
            </w:pPr>
            <w:r/>
            <w:r>
              <w:rPr>
                <w:sz w:val="19"/>
              </w:rPr>
              <w:t>ESMA 78–79, 90; Code Reg 38</w:t>
            </w:r>
          </w:p>
        </w:tc>
        <w:tc>
          <w:tcPr>
            <w:tcW w:type="dxa" w:w="4706"/>
            <w:shd w:val="clear" w:fill="EEF3F9"/>
          </w:tcPr>
          <w:p>
            <w:pPr>
              <w:spacing w:after="20"/>
            </w:pPr>
            <w:r/>
            <w:r>
              <w:rPr>
                <w:sz w:val="19"/>
              </w:rPr>
              <w:t>This document sets out every rule, and 18 test clients were compared with Aviva and Zurich (section 5). Still needed: a test plan, version control, error handling and a named sign-off</w:t>
            </w:r>
          </w:p>
        </w:tc>
        <w:tc>
          <w:tcPr>
            <w:tcW w:type="dxa" w:w="1247"/>
            <w:shd w:val="clear" w:fill="FFEFC2"/>
          </w:tcPr>
          <w:p>
            <w:pPr>
              <w:spacing w:after="20"/>
            </w:pPr>
            <w:r/>
            <w:r>
              <w:rPr>
                <w:b/>
                <w:color w:val="7A5200"/>
                <w:sz w:val="19"/>
              </w:rPr>
              <w:t>Partly met</w:t>
            </w:r>
          </w:p>
        </w:tc>
      </w:tr>
      <w:tr>
        <w:trPr>
          <w:cantSplit/>
        </w:trPr>
        <w:tc>
          <w:tcPr>
            <w:tcW w:type="dxa" w:w="2041"/>
          </w:tcPr>
          <w:p>
            <w:pPr>
              <w:spacing w:after="20"/>
            </w:pPr>
            <w:r/>
            <w:r>
              <w:rPr>
                <w:b/>
                <w:sz w:val="19"/>
              </w:rPr>
              <w:t>Sustainability preferences</w:t>
            </w:r>
          </w:p>
        </w:tc>
        <w:tc>
          <w:tcPr>
            <w:tcW w:type="dxa" w:w="1644"/>
          </w:tcPr>
          <w:p>
            <w:pPr>
              <w:spacing w:after="20"/>
            </w:pPr>
            <w:r/>
            <w:r>
              <w:rPr>
                <w:sz w:val="19"/>
              </w:rPr>
              <w:t>Delegated Reg 2017/2359 as amended (from memory); Code Reg 16(3); ESMA 26–28, 81–83</w:t>
            </w:r>
          </w:p>
        </w:tc>
        <w:tc>
          <w:tcPr>
            <w:tcW w:type="dxa" w:w="4706"/>
          </w:tcPr>
          <w:p>
            <w:pPr>
              <w:spacing w:after="20"/>
            </w:pPr>
            <w:r/>
            <w:r>
              <w:rPr>
                <w:sz w:val="19"/>
              </w:rPr>
              <w:t>Part E asks whether the client has preferences, which of the three types, a minimum share for the first two, and which negative effects matter. It is asked after the rating, in a neutral way, and only narrows the fund list. The minimum-share bands are to be set against the funds offered</w:t>
            </w:r>
          </w:p>
        </w:tc>
        <w:tc>
          <w:tcPr>
            <w:tcW w:type="dxa" w:w="1247"/>
            <w:shd w:val="clear" w:fill="D5EBD9"/>
          </w:tcPr>
          <w:p>
            <w:pPr>
              <w:spacing w:after="20"/>
            </w:pPr>
            <w:r/>
            <w:r>
              <w:rPr>
                <w:b/>
                <w:color w:val="1B5E20"/>
                <w:sz w:val="19"/>
              </w:rPr>
              <w:t>Met</w:t>
            </w:r>
          </w:p>
        </w:tc>
      </w:tr>
      <w:tr>
        <w:trPr>
          <w:cantSplit/>
        </w:trPr>
        <w:tc>
          <w:tcPr>
            <w:tcW w:type="dxa" w:w="2041"/>
            <w:shd w:val="clear" w:fill="EEF3F9"/>
          </w:tcPr>
          <w:p>
            <w:pPr>
              <w:spacing w:after="20"/>
            </w:pPr>
            <w:r/>
            <w:r>
              <w:rPr>
                <w:b/>
                <w:sz w:val="19"/>
              </w:rPr>
              <w:t>Illiquid products</w:t>
            </w:r>
          </w:p>
        </w:tc>
        <w:tc>
          <w:tcPr>
            <w:tcW w:type="dxa" w:w="1644"/>
            <w:shd w:val="clear" w:fill="EEF3F9"/>
          </w:tcPr>
          <w:p>
            <w:pPr>
              <w:spacing w:after="20"/>
            </w:pPr>
            <w:r/>
            <w:r>
              <w:rPr>
                <w:sz w:val="19"/>
              </w:rPr>
              <w:t>ESMA 36–37, 80</w:t>
            </w:r>
          </w:p>
        </w:tc>
        <w:tc>
          <w:tcPr>
            <w:tcW w:type="dxa" w:w="4706"/>
            <w:shd w:val="clear" w:fill="EEF3F9"/>
          </w:tcPr>
          <w:p>
            <w:pPr>
              <w:spacing w:after="20"/>
            </w:pPr>
            <w:r/>
            <w:r>
              <w:rPr>
                <w:sz w:val="19"/>
              </w:rPr>
              <w:t>No complex products are offered. Whether PRSA lock-in, ARF terms or bond exit charges make a product illiquid is not settled. If they do, Q3 must be checked against them</w:t>
            </w:r>
          </w:p>
        </w:tc>
        <w:tc>
          <w:tcPr>
            <w:tcW w:type="dxa" w:w="1247"/>
            <w:shd w:val="clear" w:fill="F6C9C9"/>
          </w:tcPr>
          <w:p>
            <w:pPr>
              <w:spacing w:after="20"/>
            </w:pPr>
            <w:r/>
            <w:r>
              <w:rPr>
                <w:b/>
                <w:color w:val="8B0000"/>
                <w:sz w:val="19"/>
              </w:rPr>
              <w:t>Open</w:t>
            </w:r>
          </w:p>
        </w:tc>
      </w:tr>
    </w:tbl>
    <w:p>
      <w:pPr>
        <w:spacing w:after="40"/>
      </w:pPr>
    </w:p>
    <w:p>
      <w:pPr>
        <w:pStyle w:val="Heading2"/>
      </w:pPr>
      <w:r>
        <w:t>Covered outside this tool</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3784"/>
            <w:shd w:val="clear" w:fill="003781"/>
          </w:tcPr>
          <w:p>
            <w:pPr>
              <w:keepNext/>
              <w:spacing w:after="20"/>
            </w:pPr>
            <w:r/>
            <w:r>
              <w:rPr>
                <w:b/>
                <w:color w:val="FFFFFF"/>
                <w:sz w:val="19"/>
              </w:rPr>
              <w:t>Requirement</w:t>
            </w:r>
          </w:p>
        </w:tc>
        <w:tc>
          <w:tcPr>
            <w:tcW w:type="dxa" w:w="1883"/>
            <w:shd w:val="clear" w:fill="003781"/>
          </w:tcPr>
          <w:p>
            <w:pPr>
              <w:keepNext/>
              <w:spacing w:after="20"/>
            </w:pPr>
            <w:r/>
            <w:r>
              <w:rPr>
                <w:b/>
                <w:color w:val="FFFFFF"/>
                <w:sz w:val="19"/>
              </w:rPr>
              <w:t>Source</w:t>
            </w:r>
          </w:p>
        </w:tc>
        <w:tc>
          <w:tcPr>
            <w:tcW w:type="dxa" w:w="3971"/>
            <w:shd w:val="clear" w:fill="003781"/>
          </w:tcPr>
          <w:p>
            <w:pPr>
              <w:keepNext/>
              <w:spacing w:after="20"/>
            </w:pPr>
            <w:r/>
            <w:r>
              <w:rPr>
                <w:b/>
                <w:color w:val="FFFFFF"/>
                <w:sz w:val="19"/>
              </w:rPr>
              <w:t>Where it is covered</w:t>
            </w:r>
          </w:p>
        </w:tc>
      </w:tr>
      <w:tr>
        <w:trPr>
          <w:cantSplit/>
        </w:trPr>
        <w:tc>
          <w:tcPr>
            <w:tcW w:type="dxa" w:w="3784"/>
          </w:tcPr>
          <w:p>
            <w:pPr>
              <w:keepNext/>
              <w:spacing w:after="20"/>
            </w:pPr>
            <w:r/>
            <w:r>
              <w:rPr>
                <w:b/>
                <w:sz w:val="19"/>
              </w:rPr>
              <w:t>Income and its source, assets, debts, employment, dependants, health, marital status</w:t>
            </w:r>
          </w:p>
        </w:tc>
        <w:tc>
          <w:tcPr>
            <w:tcW w:type="dxa" w:w="1883"/>
          </w:tcPr>
          <w:p>
            <w:pPr>
              <w:keepNext/>
              <w:spacing w:after="20"/>
            </w:pPr>
            <w:r/>
            <w:r>
              <w:rPr>
                <w:sz w:val="19"/>
              </w:rPr>
              <w:t>Code Reg 16(4)–(7); ESMA 24, 37</w:t>
            </w:r>
          </w:p>
        </w:tc>
        <w:tc>
          <w:tcPr>
            <w:tcW w:type="dxa" w:w="3971"/>
          </w:tcPr>
          <w:p>
            <w:pPr>
              <w:keepNext/>
              <w:spacing w:after="20"/>
            </w:pPr>
            <w:r/>
            <w:r>
              <w:rPr>
                <w:sz w:val="19"/>
              </w:rPr>
              <w:t>The application form. Aviva, Zurich, Standard Life and Irish Life do not ask these in their risk tools either</w:t>
            </w:r>
          </w:p>
        </w:tc>
      </w:tr>
      <w:tr>
        <w:trPr>
          <w:cantSplit/>
        </w:trPr>
        <w:tc>
          <w:tcPr>
            <w:tcW w:type="dxa" w:w="3784"/>
            <w:shd w:val="clear" w:fill="EEF3F9"/>
          </w:tcPr>
          <w:p>
            <w:pPr>
              <w:keepNext/>
              <w:spacing w:after="20"/>
            </w:pPr>
            <w:r/>
            <w:r>
              <w:rPr>
                <w:b/>
                <w:sz w:val="19"/>
              </w:rPr>
              <w:t>Other investments and the portfolio as a whole</w:t>
            </w:r>
          </w:p>
        </w:tc>
        <w:tc>
          <w:tcPr>
            <w:tcW w:type="dxa" w:w="1883"/>
            <w:shd w:val="clear" w:fill="EEF3F9"/>
          </w:tcPr>
          <w:p>
            <w:pPr>
              <w:keepNext/>
              <w:spacing w:after="20"/>
            </w:pPr>
            <w:r/>
            <w:r>
              <w:rPr>
                <w:sz w:val="19"/>
              </w:rPr>
              <w:t>ESMA 39, 43</w:t>
            </w:r>
          </w:p>
        </w:tc>
        <w:tc>
          <w:tcPr>
            <w:tcW w:type="dxa" w:w="3971"/>
            <w:shd w:val="clear" w:fill="EEF3F9"/>
          </w:tcPr>
          <w:p>
            <w:pPr>
              <w:keepNext/>
              <w:spacing w:after="20"/>
            </w:pPr>
            <w:r/>
            <w:r>
              <w:rPr>
                <w:sz w:val="19"/>
              </w:rPr>
              <w:t>The application form and the adviser</w:t>
            </w:r>
          </w:p>
        </w:tc>
      </w:tr>
      <w:tr>
        <w:trPr>
          <w:cantSplit/>
        </w:trPr>
        <w:tc>
          <w:tcPr>
            <w:tcW w:type="dxa" w:w="3784"/>
          </w:tcPr>
          <w:p>
            <w:pPr>
              <w:keepNext/>
              <w:spacing w:after="20"/>
            </w:pPr>
            <w:r/>
            <w:r>
              <w:rPr>
                <w:b/>
                <w:sz w:val="19"/>
              </w:rPr>
              <w:t>Identifying and helping clients in vulnerable circumstances</w:t>
            </w:r>
          </w:p>
        </w:tc>
        <w:tc>
          <w:tcPr>
            <w:tcW w:type="dxa" w:w="1883"/>
          </w:tcPr>
          <w:p>
            <w:pPr>
              <w:keepNext/>
              <w:spacing w:after="20"/>
            </w:pPr>
            <w:r/>
            <w:r>
              <w:rPr>
                <w:sz w:val="19"/>
              </w:rPr>
              <w:t>Code Regs 34–37; ESMA 40</w:t>
            </w:r>
          </w:p>
        </w:tc>
        <w:tc>
          <w:tcPr>
            <w:tcW w:type="dxa" w:w="3971"/>
          </w:tcPr>
          <w:p>
            <w:pPr>
              <w:keepNext/>
              <w:spacing w:after="20"/>
            </w:pPr>
            <w:r/>
            <w:r>
              <w:rPr>
                <w:sz w:val="19"/>
              </w:rPr>
              <w:t>The adviser. The tool adds the age and knowledge flags</w:t>
            </w:r>
          </w:p>
        </w:tc>
      </w:tr>
      <w:tr>
        <w:trPr>
          <w:cantSplit/>
        </w:trPr>
        <w:tc>
          <w:tcPr>
            <w:tcW w:type="dxa" w:w="3784"/>
            <w:shd w:val="clear" w:fill="EEF3F9"/>
          </w:tcPr>
          <w:p>
            <w:pPr>
              <w:keepNext/>
              <w:spacing w:after="20"/>
            </w:pPr>
            <w:r/>
            <w:r>
              <w:rPr>
                <w:b/>
                <w:sz w:val="19"/>
              </w:rPr>
              <w:t>Updating the profile and re-profiling</w:t>
            </w:r>
          </w:p>
        </w:tc>
        <w:tc>
          <w:tcPr>
            <w:tcW w:type="dxa" w:w="1883"/>
            <w:shd w:val="clear" w:fill="EEF3F9"/>
          </w:tcPr>
          <w:p>
            <w:pPr>
              <w:keepNext/>
              <w:spacing w:after="20"/>
            </w:pPr>
            <w:r/>
            <w:r>
              <w:rPr>
                <w:sz w:val="19"/>
              </w:rPr>
              <w:t>ESMA 53–59</w:t>
            </w:r>
          </w:p>
        </w:tc>
        <w:tc>
          <w:tcPr>
            <w:tcW w:type="dxa" w:w="3971"/>
            <w:shd w:val="clear" w:fill="EEF3F9"/>
          </w:tcPr>
          <w:p>
            <w:pPr>
              <w:keepNext/>
              <w:spacing w:after="20"/>
            </w:pPr>
            <w:r/>
            <w:r>
              <w:rPr>
                <w:sz w:val="19"/>
              </w:rPr>
              <w:t>The adviser. The tool records the date and version of each profile</w:t>
            </w:r>
          </w:p>
        </w:tc>
      </w:tr>
      <w:tr>
        <w:trPr>
          <w:cantSplit/>
        </w:trPr>
        <w:tc>
          <w:tcPr>
            <w:tcW w:type="dxa" w:w="3784"/>
          </w:tcPr>
          <w:p>
            <w:pPr>
              <w:keepNext/>
              <w:spacing w:after="20"/>
            </w:pPr>
            <w:r/>
            <w:r>
              <w:rPr>
                <w:b/>
                <w:sz w:val="19"/>
              </w:rPr>
              <w:t>Joint applicants and legal entities</w:t>
            </w:r>
          </w:p>
        </w:tc>
        <w:tc>
          <w:tcPr>
            <w:tcW w:type="dxa" w:w="1883"/>
          </w:tcPr>
          <w:p>
            <w:pPr>
              <w:keepNext/>
              <w:spacing w:after="20"/>
            </w:pPr>
            <w:r/>
            <w:r>
              <w:rPr>
                <w:sz w:val="19"/>
              </w:rPr>
              <w:t>ESMA 60–70</w:t>
            </w:r>
          </w:p>
        </w:tc>
        <w:tc>
          <w:tcPr>
            <w:tcW w:type="dxa" w:w="3971"/>
          </w:tcPr>
          <w:p>
            <w:pPr>
              <w:keepNext/>
              <w:spacing w:after="20"/>
            </w:pPr>
            <w:r/>
            <w:r>
              <w:rPr>
                <w:sz w:val="19"/>
              </w:rPr>
              <w:t>A firm policy is needed if joint policies are sold</w:t>
            </w:r>
          </w:p>
        </w:tc>
      </w:tr>
      <w:tr>
        <w:trPr>
          <w:cantSplit/>
        </w:trPr>
        <w:tc>
          <w:tcPr>
            <w:tcW w:type="dxa" w:w="3784"/>
            <w:shd w:val="clear" w:fill="EEF3F9"/>
          </w:tcPr>
          <w:p>
            <w:pPr>
              <w:spacing w:after="20"/>
            </w:pPr>
            <w:r/>
            <w:r>
              <w:rPr>
                <w:b/>
                <w:sz w:val="19"/>
              </w:rPr>
              <w:t>Staff training</w:t>
            </w:r>
          </w:p>
        </w:tc>
        <w:tc>
          <w:tcPr>
            <w:tcW w:type="dxa" w:w="1883"/>
            <w:shd w:val="clear" w:fill="EEF3F9"/>
          </w:tcPr>
          <w:p>
            <w:pPr>
              <w:spacing w:after="20"/>
            </w:pPr>
            <w:r/>
            <w:r>
              <w:rPr>
                <w:sz w:val="19"/>
              </w:rPr>
              <w:t>ESMA 104–108; Code Reg 35</w:t>
            </w:r>
          </w:p>
        </w:tc>
        <w:tc>
          <w:tcPr>
            <w:tcW w:type="dxa" w:w="3971"/>
            <w:shd w:val="clear" w:fill="EEF3F9"/>
          </w:tcPr>
          <w:p>
            <w:pPr>
              <w:spacing w:after="20"/>
            </w:pPr>
            <w:r/>
            <w:r>
              <w:rPr>
                <w:sz w:val="19"/>
              </w:rPr>
              <w:t>The firm</w:t>
            </w:r>
          </w:p>
        </w:tc>
      </w:tr>
    </w:tbl>
    <w:p>
      <w:pPr>
        <w:spacing w:after="40"/>
      </w:pPr>
    </w:p>
    <w:p>
      <w:pPr>
        <w:pStyle w:val="Heading2"/>
      </w:pPr>
      <w:r>
        <w:t>Open points for Compliance</w:t>
      </w:r>
    </w:p>
    <w:p>
      <w:r>
        <w:t xml:space="preserve">1. </w:t>
      </w:r>
      <w:r>
        <w:rPr>
          <w:b/>
        </w:rPr>
        <w:t>Sustainability preferences (Part E):</w:t>
      </w:r>
      <w:r>
        <w:t xml:space="preserve"> Approve the wording, and set the minimum-share bands (S3) against the funds offered. Check that the application form does not ask them again.</w:t>
      </w:r>
    </w:p>
    <w:p>
      <w:r>
        <w:t xml:space="preserve">2. </w:t>
      </w:r>
      <w:r>
        <w:rPr>
          <w:b/>
        </w:rPr>
        <w:t>Which rules apply to PRSA and ARF,</w:t>
      </w:r>
      <w:r>
        <w:t xml:space="preserve"> and whether any product counts as illiquid.</w:t>
      </w:r>
    </w:p>
    <w:p>
      <w:r>
        <w:t xml:space="preserve">3. </w:t>
      </w:r>
      <w:r>
        <w:rPr>
          <w:b/>
        </w:rPr>
        <w:t>Capacity limit of 4:</w:t>
      </w:r>
      <w:r>
        <w:t xml:space="preserve"> This makes us stricter than Aviva and Zurich, which both give 6 to client P7.</w:t>
      </w:r>
    </w:p>
    <w:p>
      <w:r>
        <w:t xml:space="preserve">4. </w:t>
      </w:r>
      <w:r>
        <w:rPr>
          <w:b/>
        </w:rPr>
        <w:t>Loss figures (Q4):</w:t>
      </w:r>
      <w:r>
        <w:t xml:space="preserve"> Test them against our funds' worst 12-month falls and KID stress scenarios, and confirm the slider step and rounding.</w:t>
      </w:r>
    </w:p>
    <w:p>
      <w:r>
        <w:t xml:space="preserve">5. </w:t>
      </w:r>
      <w:r>
        <w:rPr>
          <w:b/>
        </w:rPr>
        <w:t>Time limits (Q3):</w:t>
      </w:r>
      <w:r>
        <w:t xml:space="preserve"> Check them against the recommended holding periods of the funds offered.</w:t>
      </w:r>
    </w:p>
    <w:p>
      <w:r>
        <w:t xml:space="preserve">6. </w:t>
      </w:r>
      <w:r>
        <w:rPr>
          <w:b/>
        </w:rPr>
        <w:t>Introduction wording:</w:t>
      </w:r>
      <w:r>
        <w:t xml:space="preserve"> Approve it.</w:t>
      </w:r>
    </w:p>
    <w:p>
      <w:r>
        <w:t xml:space="preserve">7. </w:t>
      </w:r>
      <w:r>
        <w:rPr>
          <w:b/>
        </w:rPr>
        <w:t>Application form:</w:t>
      </w:r>
      <w:r>
        <w:t xml:space="preserve"> Confirm it covers the Code Reg 16 items listed above.</w:t>
      </w:r>
    </w:p>
    <w:p>
      <w:r>
        <w:t xml:space="preserve">8. </w:t>
      </w:r>
      <w:r>
        <w:rPr>
          <w:b/>
        </w:rPr>
        <w:t>Governance:</w:t>
      </w:r>
      <w:r>
        <w:t xml:space="preserve"> Add a test plan, version control, error handling and a named sign-off.</w:t>
      </w:r>
    </w:p>
    <w:p>
      <w:r>
        <w:t xml:space="preserve">9. </w:t>
      </w:r>
      <w:r>
        <w:rPr>
          <w:b/>
        </w:rPr>
        <w:t>Legal texts:</w:t>
      </w:r>
      <w:r>
        <w:t xml:space="preserve"> Check the IDD and Delegated Regulation references against the texts.</w:t>
      </w:r>
    </w:p>
    <w:p>
      <w:pPr>
        <w:pStyle w:val="Heading1"/>
      </w:pPr>
      <w:r>
        <w:t>5. Testing against Aviva and Zurich</w:t>
      </w:r>
    </w:p>
    <w:p>
      <w:r>
        <w:t>18 example clients were run through the proposed questions, Aviva's tool and Zurich's tool. Aviva's results come from its published scoring code. Zurich's come from its live tool, run on 15/10/2026. The proposal was last re-run on 19/10/2026, with the Q1, Q2 and Q6 changes.</w:t>
      </w:r>
    </w:p>
    <w:tbl>
      <w:tblPr>
        <w:tblStyle w:val="TableGrid"/>
        <w:tblW w:type="auto" w:w="0"/>
        <w:tblLayout w:type="fixed"/>
        <w:tblLook w:firstColumn="1" w:firstRow="1" w:lastColumn="0" w:lastRow="0" w:noHBand="0" w:noVBand="1" w:val="04A0"/>
      </w:tblPr>
      <w:tblGrid>
        <w:gridCol w:w="3324"/>
        <w:gridCol w:w="3324"/>
        <w:gridCol w:w="3324"/>
      </w:tblGrid>
      <w:tr>
        <w:trPr>
          <w:cantSplit/>
          <w:tblHeader/>
        </w:trPr>
        <w:tc>
          <w:tcPr>
            <w:tcW w:type="dxa" w:w="4613"/>
            <w:shd w:val="clear" w:fill="003781"/>
          </w:tcPr>
          <w:p>
            <w:pPr>
              <w:keepNext/>
              <w:spacing w:after="20"/>
            </w:pPr>
            <w:r/>
          </w:p>
        </w:tc>
        <w:tc>
          <w:tcPr>
            <w:tcW w:type="dxa" w:w="2185"/>
            <w:shd w:val="clear" w:fill="003781"/>
          </w:tcPr>
          <w:p>
            <w:pPr>
              <w:keepNext/>
              <w:spacing w:after="20"/>
            </w:pPr>
            <w:r/>
            <w:r>
              <w:rPr>
                <w:b/>
                <w:color w:val="FFFFFF"/>
                <w:sz w:val="19"/>
              </w:rPr>
              <w:t>Same rating</w:t>
            </w:r>
          </w:p>
        </w:tc>
        <w:tc>
          <w:tcPr>
            <w:tcW w:type="dxa" w:w="2840"/>
            <w:shd w:val="clear" w:fill="003781"/>
          </w:tcPr>
          <w:p>
            <w:pPr>
              <w:keepNext/>
              <w:spacing w:after="20"/>
            </w:pPr>
            <w:r/>
            <w:r>
              <w:rPr>
                <w:b/>
                <w:color w:val="FFFFFF"/>
                <w:sz w:val="19"/>
              </w:rPr>
              <w:t>Within one level</w:t>
            </w:r>
          </w:p>
        </w:tc>
      </w:tr>
      <w:tr>
        <w:trPr>
          <w:cantSplit/>
        </w:trPr>
        <w:tc>
          <w:tcPr>
            <w:tcW w:type="dxa" w:w="4613"/>
          </w:tcPr>
          <w:p>
            <w:pPr>
              <w:keepNext/>
              <w:spacing w:after="20"/>
            </w:pPr>
            <w:r/>
            <w:r>
              <w:rPr>
                <w:b/>
                <w:sz w:val="19"/>
              </w:rPr>
              <w:t>Proposed and Aviva</w:t>
            </w:r>
          </w:p>
        </w:tc>
        <w:tc>
          <w:tcPr>
            <w:tcW w:type="dxa" w:w="2185"/>
          </w:tcPr>
          <w:p>
            <w:pPr>
              <w:keepNext/>
              <w:spacing w:after="20"/>
            </w:pPr>
            <w:r/>
            <w:r>
              <w:rPr>
                <w:sz w:val="19"/>
              </w:rPr>
              <w:t>11 of 18</w:t>
            </w:r>
          </w:p>
        </w:tc>
        <w:tc>
          <w:tcPr>
            <w:tcW w:type="dxa" w:w="2840"/>
          </w:tcPr>
          <w:p>
            <w:pPr>
              <w:keepNext/>
              <w:spacing w:after="20"/>
            </w:pPr>
            <w:r/>
            <w:r>
              <w:rPr>
                <w:sz w:val="19"/>
              </w:rPr>
              <w:t>15 of 18</w:t>
            </w:r>
          </w:p>
        </w:tc>
      </w:tr>
      <w:tr>
        <w:trPr>
          <w:cantSplit/>
        </w:trPr>
        <w:tc>
          <w:tcPr>
            <w:tcW w:type="dxa" w:w="4613"/>
            <w:shd w:val="clear" w:fill="EEF3F9"/>
          </w:tcPr>
          <w:p>
            <w:pPr>
              <w:keepNext/>
              <w:spacing w:after="20"/>
            </w:pPr>
            <w:r/>
            <w:r>
              <w:rPr>
                <w:b/>
                <w:sz w:val="19"/>
              </w:rPr>
              <w:t>Proposed and Zurich</w:t>
            </w:r>
          </w:p>
        </w:tc>
        <w:tc>
          <w:tcPr>
            <w:tcW w:type="dxa" w:w="2185"/>
            <w:shd w:val="clear" w:fill="EEF3F9"/>
          </w:tcPr>
          <w:p>
            <w:pPr>
              <w:keepNext/>
              <w:spacing w:after="20"/>
            </w:pPr>
            <w:r/>
            <w:r>
              <w:rPr>
                <w:sz w:val="19"/>
              </w:rPr>
              <w:t>8 of 18</w:t>
            </w:r>
          </w:p>
        </w:tc>
        <w:tc>
          <w:tcPr>
            <w:tcW w:type="dxa" w:w="2840"/>
            <w:shd w:val="clear" w:fill="EEF3F9"/>
          </w:tcPr>
          <w:p>
            <w:pPr>
              <w:keepNext/>
              <w:spacing w:after="20"/>
            </w:pPr>
            <w:r/>
            <w:r>
              <w:rPr>
                <w:sz w:val="19"/>
              </w:rPr>
              <w:t>17 of 18</w:t>
            </w:r>
          </w:p>
        </w:tc>
      </w:tr>
      <w:tr>
        <w:trPr>
          <w:cantSplit/>
        </w:trPr>
        <w:tc>
          <w:tcPr>
            <w:tcW w:type="dxa" w:w="4613"/>
          </w:tcPr>
          <w:p>
            <w:pPr>
              <w:spacing w:after="20"/>
            </w:pPr>
            <w:r/>
            <w:r>
              <w:rPr>
                <w:b/>
                <w:sz w:val="19"/>
              </w:rPr>
              <w:t>Aviva and Zurich (for reference)</w:t>
            </w:r>
          </w:p>
        </w:tc>
        <w:tc>
          <w:tcPr>
            <w:tcW w:type="dxa" w:w="2185"/>
          </w:tcPr>
          <w:p>
            <w:pPr>
              <w:spacing w:after="20"/>
            </w:pPr>
            <w:r/>
            <w:r>
              <w:rPr>
                <w:sz w:val="19"/>
              </w:rPr>
              <w:t>7 of 18</w:t>
            </w:r>
          </w:p>
        </w:tc>
        <w:tc>
          <w:tcPr>
            <w:tcW w:type="dxa" w:w="2840"/>
          </w:tcPr>
          <w:p>
            <w:pPr>
              <w:spacing w:after="20"/>
            </w:pPr>
            <w:r/>
            <w:r>
              <w:rPr>
                <w:sz w:val="19"/>
              </w:rPr>
              <w:t>16 of 18</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9"/>
              </w:rPr>
              <w:t xml:space="preserve">Overall  </w:t>
            </w:r>
            <w:r>
              <w:rPr>
                <w:sz w:val="19"/>
              </w:rPr>
              <w:t>The proposal agrees with each competitor more often than the two agree with each other.</w:t>
            </w:r>
          </w:p>
          <w:p>
            <w:pPr>
              <w:spacing w:after="40"/>
            </w:pPr>
            <w:r>
              <w:rPr>
                <w:b/>
                <w:color w:val="003781"/>
                <w:sz w:val="19"/>
              </w:rPr>
              <w:t xml:space="preserve">Where we are stricter  </w:t>
            </w:r>
            <w:r>
              <w:rPr>
                <w:sz w:val="19"/>
              </w:rPr>
              <w:t>P7 (temporary job, no savings, relies on the money) gets 4 from us and 6 from both competitors, because of the capacity limit. P17 has a 4-year horizon: we give 4, Zurich 5 and Aviva 6, because Aviva ignores the horizon.</w:t>
            </w:r>
          </w:p>
          <w:p>
            <w:pPr>
              <w:spacing w:after="40"/>
            </w:pPr>
            <w:r>
              <w:rPr>
                <w:b/>
                <w:color w:val="003781"/>
                <w:sz w:val="19"/>
              </w:rPr>
              <w:t xml:space="preserve">Where Zurich is lower  </w:t>
            </w:r>
            <w:r>
              <w:rPr>
                <w:sz w:val="19"/>
              </w:rPr>
              <w:t>Six clients (P2, P10, P11, P13, P14, P16). Zurich deducts points for age over 50, terms under 10 years and little knowledge; we use limits and flags instead.</w:t>
            </w:r>
          </w:p>
          <w:p>
            <w:pPr>
              <w:spacing w:after="40"/>
            </w:pPr>
            <w:r>
              <w:rPr>
                <w:b/>
                <w:color w:val="003781"/>
                <w:sz w:val="19"/>
              </w:rPr>
              <w:t xml:space="preserve">Changes on 19/10/2026  </w:t>
            </w:r>
            <w:r>
              <w:rPr>
                <w:sz w:val="19"/>
              </w:rPr>
              <w:t>The new Q1 and Q2 wording does not change any test client's answers. Q6 now has a level-3 answer. No test client was described with that objective, so no result changed. P10 (first-time investor who would accept 7%) could plausibly choose it: P10 would then get 3, the same as Aviva and Zurich, instead of 4.</w:t>
            </w:r>
          </w:p>
          <w:p>
            <w:pPr>
              <w:spacing w:after="40"/>
            </w:pPr>
            <w:r>
              <w:rPr>
                <w:b/>
                <w:color w:val="003781"/>
                <w:sz w:val="19"/>
              </w:rPr>
              <w:t xml:space="preserve">Translation caveat  </w:t>
            </w:r>
            <w:r>
              <w:rPr>
                <w:sz w:val="19"/>
              </w:rPr>
              <w:t>Each client's description was translated into each tool's answers by us, so a one-level difference can come from that translation.</w:t>
            </w:r>
          </w:p>
        </w:tc>
      </w:tr>
    </w:tbl>
    <w:p>
      <w:pPr>
        <w:spacing w:after="40"/>
      </w:pPr>
    </w:p>
    <w:p>
      <w:r>
        <w:t>Results for each client are in Appendix A.</w:t>
      </w:r>
    </w:p>
    <w:p>
      <w:r>
        <w:br w:type="page"/>
      </w:r>
    </w:p>
    <w:p>
      <w:pPr>
        <w:pStyle w:val="Heading1"/>
      </w:pPr>
      <w:r>
        <w:t>Appendix A. Test results by client</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rPr>
          <w:cantSplit/>
          <w:tblHeader/>
        </w:trPr>
        <w:tc>
          <w:tcPr>
            <w:tcW w:type="dxa" w:w="2529"/>
            <w:shd w:val="clear" w:fill="003781"/>
          </w:tcPr>
          <w:p>
            <w:pPr>
              <w:keepNext/>
              <w:spacing w:after="20"/>
            </w:pPr>
            <w:r/>
            <w:r>
              <w:rPr>
                <w:b/>
                <w:color w:val="FFFFFF"/>
                <w:sz w:val="17"/>
              </w:rPr>
              <w:t>Client</w:t>
            </w:r>
          </w:p>
        </w:tc>
        <w:tc>
          <w:tcPr>
            <w:tcW w:type="dxa" w:w="1529"/>
            <w:shd w:val="clear" w:fill="003781"/>
          </w:tcPr>
          <w:p>
            <w:pPr>
              <w:keepNext/>
              <w:spacing w:after="20"/>
            </w:pPr>
            <w:r/>
            <w:r>
              <w:rPr>
                <w:b/>
                <w:color w:val="FFFFFF"/>
                <w:sz w:val="17"/>
              </w:rPr>
              <w:t>Proposed</w:t>
            </w:r>
          </w:p>
        </w:tc>
        <w:tc>
          <w:tcPr>
            <w:tcW w:type="dxa" w:w="1360"/>
            <w:shd w:val="clear" w:fill="003781"/>
          </w:tcPr>
          <w:p>
            <w:pPr>
              <w:keepNext/>
              <w:spacing w:after="20"/>
            </w:pPr>
            <w:r/>
            <w:r>
              <w:rPr>
                <w:b/>
                <w:color w:val="FFFFFF"/>
                <w:sz w:val="17"/>
              </w:rPr>
              <w:t>Aviva</w:t>
            </w:r>
          </w:p>
        </w:tc>
        <w:tc>
          <w:tcPr>
            <w:tcW w:type="dxa" w:w="1474"/>
            <w:shd w:val="clear" w:fill="003781"/>
          </w:tcPr>
          <w:p>
            <w:pPr>
              <w:keepNext/>
              <w:spacing w:after="20"/>
            </w:pPr>
            <w:r/>
            <w:r>
              <w:rPr>
                <w:b/>
                <w:color w:val="FFFFFF"/>
                <w:sz w:val="17"/>
              </w:rPr>
              <w:t>Zurich</w:t>
            </w:r>
          </w:p>
        </w:tc>
        <w:tc>
          <w:tcPr>
            <w:tcW w:type="dxa" w:w="2746"/>
            <w:shd w:val="clear" w:fill="003781"/>
          </w:tcPr>
          <w:p>
            <w:pPr>
              <w:keepNext/>
              <w:spacing w:after="20"/>
            </w:pPr>
            <w:r/>
            <w:r>
              <w:rPr>
                <w:b/>
                <w:color w:val="FFFFFF"/>
                <w:sz w:val="17"/>
              </w:rPr>
              <w:t>What it shows</w:t>
            </w:r>
          </w:p>
        </w:tc>
      </w:tr>
      <w:tr>
        <w:trPr>
          <w:cantSplit/>
        </w:trPr>
        <w:tc>
          <w:tcPr>
            <w:tcW w:type="dxa" w:w="2529"/>
          </w:tcPr>
          <w:p>
            <w:pPr>
              <w:spacing w:after="20"/>
            </w:pPr>
            <w:r/>
            <w:r>
              <w:rPr>
                <w:b/>
                <w:sz w:val="17"/>
              </w:rPr>
              <w:t>P1. Retired, 72; needs the money in 4 years; would accept about 2%</w:t>
            </w:r>
          </w:p>
        </w:tc>
        <w:tc>
          <w:tcPr>
            <w:tcW w:type="dxa" w:w="1529"/>
          </w:tcPr>
          <w:p>
            <w:pPr>
              <w:spacing w:after="20"/>
            </w:pPr>
            <w:r/>
            <w:r>
              <w:rPr>
                <w:sz w:val="17"/>
              </w:rPr>
              <w:t>1</w:t>
            </w:r>
          </w:p>
          <w:p>
            <w:pPr>
              <w:spacing w:after="20"/>
            </w:pPr>
            <w:r>
              <w:rPr>
                <w:sz w:val="17"/>
              </w:rPr>
              <w:t>Capacity High</w:t>
            </w:r>
          </w:p>
        </w:tc>
        <w:tc>
          <w:tcPr>
            <w:tcW w:type="dxa" w:w="1360"/>
          </w:tcPr>
          <w:p>
            <w:pPr>
              <w:spacing w:after="20"/>
            </w:pPr>
            <w:r/>
            <w:r>
              <w:rPr>
                <w:sz w:val="17"/>
              </w:rPr>
              <w:t>0 (no-risk)</w:t>
            </w:r>
          </w:p>
        </w:tc>
        <w:tc>
          <w:tcPr>
            <w:tcW w:type="dxa" w:w="1474"/>
          </w:tcPr>
          <w:p>
            <w:pPr>
              <w:spacing w:after="20"/>
            </w:pPr>
            <w:r/>
            <w:r>
              <w:rPr>
                <w:sz w:val="17"/>
              </w:rPr>
              <w:t>1</w:t>
            </w:r>
          </w:p>
          <w:p>
            <w:pPr>
              <w:spacing w:after="20"/>
            </w:pPr>
            <w:r>
              <w:rPr>
                <w:sz w:val="17"/>
              </w:rPr>
              <w:t>Capacity High</w:t>
            </w:r>
          </w:p>
        </w:tc>
        <w:tc>
          <w:tcPr>
            <w:tcW w:type="dxa" w:w="2746"/>
          </w:tcPr>
          <w:p>
            <w:pPr>
              <w:spacing w:after="20"/>
            </w:pPr>
            <w:r/>
            <w:r>
              <w:rPr>
                <w:sz w:val="17"/>
              </w:rPr>
              <w:t>Consistent. Aviva's 0 means deposit-type only.</w:t>
            </w:r>
          </w:p>
        </w:tc>
      </w:tr>
      <w:tr>
        <w:trPr>
          <w:cantSplit/>
        </w:trPr>
        <w:tc>
          <w:tcPr>
            <w:tcW w:type="dxa" w:w="2529"/>
            <w:shd w:val="clear" w:fill="EEF3F9"/>
          </w:tcPr>
          <w:p>
            <w:pPr>
              <w:spacing w:after="20"/>
            </w:pPr>
            <w:r/>
            <w:r>
              <w:rPr>
                <w:b/>
                <w:sz w:val="17"/>
              </w:rPr>
              <w:t>P2. Retired, 66; 7 years; about 8%</w:t>
            </w:r>
          </w:p>
        </w:tc>
        <w:tc>
          <w:tcPr>
            <w:tcW w:type="dxa" w:w="1529"/>
            <w:shd w:val="clear" w:fill="EEF3F9"/>
          </w:tcPr>
          <w:p>
            <w:pPr>
              <w:spacing w:after="20"/>
            </w:pPr>
            <w:r/>
            <w:r>
              <w:rPr>
                <w:sz w:val="17"/>
              </w:rPr>
              <w:t>3</w:t>
            </w:r>
          </w:p>
          <w:p>
            <w:pPr>
              <w:spacing w:after="20"/>
            </w:pPr>
            <w:r>
              <w:rPr>
                <w:sz w:val="17"/>
              </w:rPr>
              <w:t>Capacity High</w:t>
            </w:r>
          </w:p>
        </w:tc>
        <w:tc>
          <w:tcPr>
            <w:tcW w:type="dxa" w:w="1360"/>
            <w:shd w:val="clear" w:fill="EEF3F9"/>
          </w:tcPr>
          <w:p>
            <w:pPr>
              <w:spacing w:after="20"/>
            </w:pPr>
            <w:r/>
            <w:r>
              <w:rPr>
                <w:sz w:val="17"/>
              </w:rPr>
              <w:t>3</w:t>
            </w:r>
          </w:p>
        </w:tc>
        <w:tc>
          <w:tcPr>
            <w:tcW w:type="dxa" w:w="1474"/>
            <w:shd w:val="clear" w:fill="EEF3F9"/>
          </w:tcPr>
          <w:p>
            <w:pPr>
              <w:spacing w:after="20"/>
            </w:pPr>
            <w:r/>
            <w:r>
              <w:rPr>
                <w:sz w:val="17"/>
              </w:rPr>
              <w:t>2</w:t>
            </w:r>
          </w:p>
          <w:p>
            <w:pPr>
              <w:spacing w:after="20"/>
            </w:pPr>
            <w:r>
              <w:rPr>
                <w:sz w:val="17"/>
              </w:rPr>
              <w:t>Capacity Medium</w:t>
            </w:r>
          </w:p>
        </w:tc>
        <w:tc>
          <w:tcPr>
            <w:tcW w:type="dxa" w:w="2746"/>
            <w:shd w:val="clear" w:fill="EEF3F9"/>
          </w:tcPr>
          <w:p>
            <w:pPr>
              <w:spacing w:after="20"/>
            </w:pPr>
            <w:r/>
            <w:r>
              <w:rPr>
                <w:sz w:val="17"/>
              </w:rPr>
              <w:t>Zurich one lower: it deducts for age.</w:t>
            </w:r>
          </w:p>
        </w:tc>
      </w:tr>
      <w:tr>
        <w:trPr>
          <w:cantSplit/>
        </w:trPr>
        <w:tc>
          <w:tcPr>
            <w:tcW w:type="dxa" w:w="2529"/>
          </w:tcPr>
          <w:p>
            <w:pPr>
              <w:spacing w:after="20"/>
            </w:pPr>
            <w:r/>
            <w:r>
              <w:rPr>
                <w:b/>
                <w:sz w:val="17"/>
              </w:rPr>
              <w:t>P3. 45, balanced; 15 years; about 15%</w:t>
            </w:r>
          </w:p>
        </w:tc>
        <w:tc>
          <w:tcPr>
            <w:tcW w:type="dxa" w:w="1529"/>
          </w:tcPr>
          <w:p>
            <w:pPr>
              <w:spacing w:after="20"/>
            </w:pPr>
            <w:r/>
            <w:r>
              <w:rPr>
                <w:sz w:val="17"/>
              </w:rPr>
              <w:t>4</w:t>
            </w:r>
          </w:p>
          <w:p>
            <w:pPr>
              <w:spacing w:after="20"/>
            </w:pPr>
            <w:r>
              <w:rPr>
                <w:sz w:val="17"/>
              </w:rPr>
              <w:t>Capacity Medium</w:t>
            </w:r>
          </w:p>
        </w:tc>
        <w:tc>
          <w:tcPr>
            <w:tcW w:type="dxa" w:w="1360"/>
          </w:tcPr>
          <w:p>
            <w:pPr>
              <w:spacing w:after="20"/>
            </w:pPr>
            <w:r/>
            <w:r>
              <w:rPr>
                <w:sz w:val="17"/>
              </w:rPr>
              <w:t>4</w:t>
            </w:r>
          </w:p>
        </w:tc>
        <w:tc>
          <w:tcPr>
            <w:tcW w:type="dxa" w:w="1474"/>
          </w:tcPr>
          <w:p>
            <w:pPr>
              <w:spacing w:after="20"/>
            </w:pPr>
            <w:r/>
            <w:r>
              <w:rPr>
                <w:sz w:val="17"/>
              </w:rPr>
              <w:t>4</w:t>
            </w:r>
          </w:p>
          <w:p>
            <w:pPr>
              <w:spacing w:after="20"/>
            </w:pPr>
            <w:r>
              <w:rPr>
                <w:sz w:val="17"/>
              </w:rPr>
              <w:t>Capacity Medium</w:t>
            </w:r>
          </w:p>
        </w:tc>
        <w:tc>
          <w:tcPr>
            <w:tcW w:type="dxa" w:w="2746"/>
          </w:tcPr>
          <w:p>
            <w:pPr>
              <w:spacing w:after="20"/>
            </w:pPr>
            <w:r/>
            <w:r>
              <w:rPr>
                <w:sz w:val="17"/>
              </w:rPr>
              <w:t>Same.</w:t>
            </w:r>
          </w:p>
        </w:tc>
      </w:tr>
      <w:tr>
        <w:trPr>
          <w:cantSplit/>
        </w:trPr>
        <w:tc>
          <w:tcPr>
            <w:tcW w:type="dxa" w:w="2529"/>
            <w:shd w:val="clear" w:fill="EEF3F9"/>
          </w:tcPr>
          <w:p>
            <w:pPr>
              <w:spacing w:after="20"/>
            </w:pPr>
            <w:r/>
            <w:r>
              <w:rPr>
                <w:b/>
                <w:sz w:val="17"/>
              </w:rPr>
              <w:t>P4. 32, growth; 15 years; about 25%</w:t>
            </w:r>
          </w:p>
        </w:tc>
        <w:tc>
          <w:tcPr>
            <w:tcW w:type="dxa" w:w="1529"/>
            <w:shd w:val="clear" w:fill="EEF3F9"/>
          </w:tcPr>
          <w:p>
            <w:pPr>
              <w:spacing w:after="20"/>
            </w:pPr>
            <w:r/>
            <w:r>
              <w:rPr>
                <w:sz w:val="17"/>
              </w:rPr>
              <w:t>5</w:t>
            </w:r>
          </w:p>
          <w:p>
            <w:pPr>
              <w:spacing w:after="20"/>
            </w:pPr>
            <w:r>
              <w:rPr>
                <w:sz w:val="17"/>
              </w:rPr>
              <w:t>Capacity High</w:t>
            </w:r>
          </w:p>
        </w:tc>
        <w:tc>
          <w:tcPr>
            <w:tcW w:type="dxa" w:w="1360"/>
            <w:shd w:val="clear" w:fill="EEF3F9"/>
          </w:tcPr>
          <w:p>
            <w:pPr>
              <w:spacing w:after="20"/>
            </w:pPr>
            <w:r/>
            <w:r>
              <w:rPr>
                <w:sz w:val="17"/>
              </w:rPr>
              <w:t>5</w:t>
            </w:r>
          </w:p>
        </w:tc>
        <w:tc>
          <w:tcPr>
            <w:tcW w:type="dxa" w:w="1474"/>
            <w:shd w:val="clear" w:fill="EEF3F9"/>
          </w:tcPr>
          <w:p>
            <w:pPr>
              <w:spacing w:after="20"/>
            </w:pPr>
            <w:r/>
            <w:r>
              <w:rPr>
                <w:sz w:val="17"/>
              </w:rPr>
              <w:t>5</w:t>
            </w:r>
          </w:p>
          <w:p>
            <w:pPr>
              <w:spacing w:after="20"/>
            </w:pPr>
            <w:r>
              <w:rPr>
                <w:sz w:val="17"/>
              </w:rPr>
              <w:t>Capacity Medium</w:t>
            </w:r>
          </w:p>
        </w:tc>
        <w:tc>
          <w:tcPr>
            <w:tcW w:type="dxa" w:w="2746"/>
            <w:shd w:val="clear" w:fill="EEF3F9"/>
          </w:tcPr>
          <w:p>
            <w:pPr>
              <w:spacing w:after="20"/>
            </w:pPr>
            <w:r/>
            <w:r>
              <w:rPr>
                <w:sz w:val="17"/>
              </w:rPr>
              <w:t>Same.</w:t>
            </w:r>
          </w:p>
        </w:tc>
      </w:tr>
      <w:tr>
        <w:trPr>
          <w:cantSplit/>
        </w:trPr>
        <w:tc>
          <w:tcPr>
            <w:tcW w:type="dxa" w:w="2529"/>
          </w:tcPr>
          <w:p>
            <w:pPr>
              <w:spacing w:after="20"/>
            </w:pPr>
            <w:r/>
            <w:r>
              <w:rPr>
                <w:b/>
                <w:sz w:val="17"/>
              </w:rPr>
              <w:t>P5. 50, adventurous, wealthy; about 40%</w:t>
            </w:r>
          </w:p>
        </w:tc>
        <w:tc>
          <w:tcPr>
            <w:tcW w:type="dxa" w:w="1529"/>
          </w:tcPr>
          <w:p>
            <w:pPr>
              <w:spacing w:after="20"/>
            </w:pPr>
            <w:r/>
            <w:r>
              <w:rPr>
                <w:sz w:val="17"/>
              </w:rPr>
              <w:t>6</w:t>
            </w:r>
          </w:p>
          <w:p>
            <w:pPr>
              <w:spacing w:after="20"/>
            </w:pPr>
            <w:r>
              <w:rPr>
                <w:sz w:val="17"/>
              </w:rPr>
              <w:t>Capacity High</w:t>
            </w:r>
          </w:p>
        </w:tc>
        <w:tc>
          <w:tcPr>
            <w:tcW w:type="dxa" w:w="1360"/>
          </w:tcPr>
          <w:p>
            <w:pPr>
              <w:spacing w:after="20"/>
            </w:pPr>
            <w:r/>
            <w:r>
              <w:rPr>
                <w:sz w:val="17"/>
              </w:rPr>
              <w:t>6</w:t>
            </w:r>
          </w:p>
        </w:tc>
        <w:tc>
          <w:tcPr>
            <w:tcW w:type="dxa" w:w="1474"/>
          </w:tcPr>
          <w:p>
            <w:pPr>
              <w:spacing w:after="20"/>
            </w:pPr>
            <w:r/>
            <w:r>
              <w:rPr>
                <w:sz w:val="17"/>
              </w:rPr>
              <w:t>6</w:t>
            </w:r>
          </w:p>
          <w:p>
            <w:pPr>
              <w:spacing w:after="20"/>
            </w:pPr>
            <w:r>
              <w:rPr>
                <w:sz w:val="17"/>
              </w:rPr>
              <w:t>Capacity High</w:t>
            </w:r>
          </w:p>
        </w:tc>
        <w:tc>
          <w:tcPr>
            <w:tcW w:type="dxa" w:w="2746"/>
          </w:tcPr>
          <w:p>
            <w:pPr>
              <w:spacing w:after="20"/>
            </w:pPr>
            <w:r/>
            <w:r>
              <w:rPr>
                <w:sz w:val="17"/>
              </w:rPr>
              <w:t>Same.</w:t>
            </w:r>
          </w:p>
        </w:tc>
      </w:tr>
      <w:tr>
        <w:trPr>
          <w:cantSplit/>
        </w:trPr>
        <w:tc>
          <w:tcPr>
            <w:tcW w:type="dxa" w:w="2529"/>
            <w:shd w:val="clear" w:fill="EEF3F9"/>
          </w:tcPr>
          <w:p>
            <w:pPr>
              <w:spacing w:after="20"/>
            </w:pPr>
            <w:r/>
            <w:r>
              <w:rPr>
                <w:b/>
                <w:sz w:val="17"/>
              </w:rPr>
              <w:t>P6. 40, wealthy expert; would accept more than 50%</w:t>
            </w:r>
          </w:p>
        </w:tc>
        <w:tc>
          <w:tcPr>
            <w:tcW w:type="dxa" w:w="1529"/>
            <w:shd w:val="clear" w:fill="EEF3F9"/>
          </w:tcPr>
          <w:p>
            <w:pPr>
              <w:spacing w:after="20"/>
            </w:pPr>
            <w:r/>
            <w:r>
              <w:rPr>
                <w:sz w:val="17"/>
              </w:rPr>
              <w:t>6</w:t>
            </w:r>
          </w:p>
          <w:p>
            <w:pPr>
              <w:spacing w:after="20"/>
            </w:pPr>
            <w:r>
              <w:rPr>
                <w:sz w:val="17"/>
              </w:rPr>
              <w:t>Capacity High</w:t>
            </w:r>
          </w:p>
        </w:tc>
        <w:tc>
          <w:tcPr>
            <w:tcW w:type="dxa" w:w="1360"/>
            <w:shd w:val="clear" w:fill="EEF3F9"/>
          </w:tcPr>
          <w:p>
            <w:pPr>
              <w:spacing w:after="20"/>
            </w:pPr>
            <w:r/>
            <w:r>
              <w:rPr>
                <w:sz w:val="17"/>
              </w:rPr>
              <w:t>6</w:t>
            </w:r>
          </w:p>
        </w:tc>
        <w:tc>
          <w:tcPr>
            <w:tcW w:type="dxa" w:w="1474"/>
            <w:shd w:val="clear" w:fill="EEF3F9"/>
          </w:tcPr>
          <w:p>
            <w:pPr>
              <w:spacing w:after="20"/>
            </w:pPr>
            <w:r/>
            <w:r>
              <w:rPr>
                <w:sz w:val="17"/>
              </w:rPr>
              <w:t>7</w:t>
            </w:r>
          </w:p>
          <w:p>
            <w:pPr>
              <w:spacing w:after="20"/>
            </w:pPr>
            <w:r>
              <w:rPr>
                <w:sz w:val="17"/>
              </w:rPr>
              <w:t>Capacity High</w:t>
            </w:r>
          </w:p>
        </w:tc>
        <w:tc>
          <w:tcPr>
            <w:tcW w:type="dxa" w:w="2746"/>
            <w:shd w:val="clear" w:fill="EEF3F9"/>
          </w:tcPr>
          <w:p>
            <w:pPr>
              <w:spacing w:after="20"/>
            </w:pPr>
            <w:r/>
            <w:r>
              <w:rPr>
                <w:sz w:val="17"/>
              </w:rPr>
              <w:t>Zurich gives 7; we and Aviva stop at 6.</w:t>
            </w:r>
          </w:p>
        </w:tc>
      </w:tr>
      <w:tr>
        <w:trPr>
          <w:cantSplit/>
        </w:trPr>
        <w:tc>
          <w:tcPr>
            <w:tcW w:type="dxa" w:w="2529"/>
          </w:tcPr>
          <w:p>
            <w:pPr>
              <w:spacing w:after="20"/>
            </w:pPr>
            <w:r/>
            <w:r>
              <w:rPr>
                <w:b/>
                <w:sz w:val="17"/>
              </w:rPr>
              <w:t>P7. 25, very keen; temporary job, no savings, relies on the money</w:t>
            </w:r>
          </w:p>
        </w:tc>
        <w:tc>
          <w:tcPr>
            <w:tcW w:type="dxa" w:w="1529"/>
          </w:tcPr>
          <w:p>
            <w:pPr>
              <w:spacing w:after="20"/>
            </w:pPr>
            <w:r/>
            <w:r>
              <w:rPr>
                <w:sz w:val="17"/>
              </w:rPr>
              <w:t>4</w:t>
            </w:r>
          </w:p>
          <w:p>
            <w:pPr>
              <w:spacing w:after="20"/>
            </w:pPr>
            <w:r>
              <w:rPr>
                <w:sz w:val="17"/>
              </w:rPr>
              <w:t>Capacity Low</w:t>
            </w:r>
          </w:p>
          <w:p>
            <w:pPr>
              <w:spacing w:after="20"/>
            </w:pPr>
            <w:r>
              <w:rPr>
                <w:sz w:val="17"/>
              </w:rPr>
              <w:t>Flags: capacity limit</w:t>
            </w:r>
          </w:p>
        </w:tc>
        <w:tc>
          <w:tcPr>
            <w:tcW w:type="dxa" w:w="1360"/>
          </w:tcPr>
          <w:p>
            <w:pPr>
              <w:spacing w:after="20"/>
            </w:pPr>
            <w:r/>
            <w:r>
              <w:rPr>
                <w:sz w:val="17"/>
              </w:rPr>
              <w:t>6</w:t>
            </w:r>
          </w:p>
          <w:p>
            <w:pPr>
              <w:spacing w:after="20"/>
            </w:pPr>
            <w:r>
              <w:rPr>
                <w:sz w:val="17"/>
              </w:rPr>
              <w:t>Prompts: reliance, expectations</w:t>
            </w:r>
          </w:p>
        </w:tc>
        <w:tc>
          <w:tcPr>
            <w:tcW w:type="dxa" w:w="1474"/>
          </w:tcPr>
          <w:p>
            <w:pPr>
              <w:spacing w:after="20"/>
            </w:pPr>
            <w:r/>
            <w:r>
              <w:rPr>
                <w:sz w:val="17"/>
              </w:rPr>
              <w:t>6</w:t>
            </w:r>
          </w:p>
          <w:p>
            <w:pPr>
              <w:spacing w:after="20"/>
            </w:pPr>
            <w:r>
              <w:rPr>
                <w:sz w:val="17"/>
              </w:rPr>
              <w:t>Capacity Low</w:t>
            </w:r>
          </w:p>
        </w:tc>
        <w:tc>
          <w:tcPr>
            <w:tcW w:type="dxa" w:w="2746"/>
          </w:tcPr>
          <w:p>
            <w:pPr>
              <w:spacing w:after="20"/>
            </w:pPr>
            <w:r/>
            <w:r>
              <w:rPr>
                <w:sz w:val="17"/>
              </w:rPr>
              <w:t>Ours two lower: the capacity limit. The others report the problem but still give 6.</w:t>
            </w:r>
          </w:p>
        </w:tc>
      </w:tr>
      <w:tr>
        <w:trPr>
          <w:cantSplit/>
        </w:trPr>
        <w:tc>
          <w:tcPr>
            <w:tcW w:type="dxa" w:w="2529"/>
            <w:shd w:val="clear" w:fill="EEF3F9"/>
          </w:tcPr>
          <w:p>
            <w:pPr>
              <w:spacing w:after="20"/>
            </w:pPr>
            <w:r/>
            <w:r>
              <w:rPr>
                <w:b/>
                <w:sz w:val="17"/>
              </w:rPr>
              <w:t>P8. 55, growth attitude; needs the money in 3 years</w:t>
            </w:r>
          </w:p>
        </w:tc>
        <w:tc>
          <w:tcPr>
            <w:tcW w:type="dxa" w:w="1529"/>
            <w:shd w:val="clear" w:fill="EEF3F9"/>
          </w:tcPr>
          <w:p>
            <w:pPr>
              <w:spacing w:after="20"/>
            </w:pPr>
            <w:r/>
            <w:r>
              <w:rPr>
                <w:sz w:val="17"/>
              </w:rPr>
              <w:t>4</w:t>
            </w:r>
          </w:p>
          <w:p>
            <w:pPr>
              <w:spacing w:after="20"/>
            </w:pPr>
            <w:r>
              <w:rPr>
                <w:sz w:val="17"/>
              </w:rPr>
              <w:t>Capacity High</w:t>
            </w:r>
          </w:p>
          <w:p>
            <w:pPr>
              <w:spacing w:after="20"/>
            </w:pPr>
            <w:r>
              <w:rPr>
                <w:sz w:val="17"/>
              </w:rPr>
              <w:t>Flags: short horizon</w:t>
            </w:r>
          </w:p>
        </w:tc>
        <w:tc>
          <w:tcPr>
            <w:tcW w:type="dxa" w:w="1360"/>
            <w:shd w:val="clear" w:fill="EEF3F9"/>
          </w:tcPr>
          <w:p>
            <w:pPr>
              <w:spacing w:after="20"/>
            </w:pPr>
            <w:r/>
            <w:r>
              <w:rPr>
                <w:sz w:val="17"/>
              </w:rPr>
              <w:t>5</w:t>
            </w:r>
          </w:p>
        </w:tc>
        <w:tc>
          <w:tcPr>
            <w:tcW w:type="dxa" w:w="1474"/>
            <w:shd w:val="clear" w:fill="EEF3F9"/>
          </w:tcPr>
          <w:p>
            <w:pPr>
              <w:spacing w:after="20"/>
            </w:pPr>
            <w:r/>
            <w:r>
              <w:rPr>
                <w:sz w:val="17"/>
              </w:rPr>
              <w:t>4</w:t>
            </w:r>
          </w:p>
          <w:p>
            <w:pPr>
              <w:spacing w:after="20"/>
            </w:pPr>
            <w:r>
              <w:rPr>
                <w:sz w:val="17"/>
              </w:rPr>
              <w:t>Capacity High</w:t>
            </w:r>
          </w:p>
          <w:p>
            <w:pPr>
              <w:spacing w:after="20"/>
            </w:pPr>
            <w:r>
              <w:rPr>
                <w:sz w:val="17"/>
              </w:rPr>
              <w:t>short-horizon warning</w:t>
            </w:r>
          </w:p>
        </w:tc>
        <w:tc>
          <w:tcPr>
            <w:tcW w:type="dxa" w:w="2746"/>
            <w:shd w:val="clear" w:fill="EEF3F9"/>
          </w:tcPr>
          <w:p>
            <w:pPr>
              <w:spacing w:after="20"/>
            </w:pPr>
            <w:r/>
            <w:r>
              <w:rPr>
                <w:sz w:val="17"/>
              </w:rPr>
              <w:t>Same as Zurich; Aviva ignores the horizon.</w:t>
            </w:r>
          </w:p>
        </w:tc>
      </w:tr>
      <w:tr>
        <w:trPr>
          <w:cantSplit/>
        </w:trPr>
        <w:tc>
          <w:tcPr>
            <w:tcW w:type="dxa" w:w="2529"/>
          </w:tcPr>
          <w:p>
            <w:pPr>
              <w:spacing w:after="20"/>
            </w:pPr>
            <w:r/>
            <w:r>
              <w:rPr>
                <w:b/>
                <w:sz w:val="17"/>
              </w:rPr>
              <w:t>P9. 40, wants strong growth but accepts only 7% and would sell</w:t>
            </w:r>
          </w:p>
        </w:tc>
        <w:tc>
          <w:tcPr>
            <w:tcW w:type="dxa" w:w="1529"/>
          </w:tcPr>
          <w:p>
            <w:pPr>
              <w:spacing w:after="20"/>
            </w:pPr>
            <w:r/>
            <w:r>
              <w:rPr>
                <w:sz w:val="17"/>
              </w:rPr>
              <w:t>3</w:t>
            </w:r>
          </w:p>
          <w:p>
            <w:pPr>
              <w:spacing w:after="20"/>
            </w:pPr>
            <w:r>
              <w:rPr>
                <w:sz w:val="17"/>
              </w:rPr>
              <w:t>Capacity Medium</w:t>
            </w:r>
          </w:p>
          <w:p>
            <w:pPr>
              <w:spacing w:after="20"/>
            </w:pPr>
            <w:r>
              <w:rPr>
                <w:sz w:val="17"/>
              </w:rPr>
              <w:t>Flags: mixed attitude</w:t>
            </w:r>
          </w:p>
        </w:tc>
        <w:tc>
          <w:tcPr>
            <w:tcW w:type="dxa" w:w="1360"/>
          </w:tcPr>
          <w:p>
            <w:pPr>
              <w:spacing w:after="20"/>
            </w:pPr>
            <w:r/>
            <w:r>
              <w:rPr>
                <w:sz w:val="17"/>
              </w:rPr>
              <w:t>3</w:t>
            </w:r>
          </w:p>
          <w:p>
            <w:pPr>
              <w:spacing w:after="20"/>
            </w:pPr>
            <w:r>
              <w:rPr>
                <w:sz w:val="17"/>
              </w:rPr>
              <w:t>Prompts: loss</w:t>
            </w:r>
          </w:p>
        </w:tc>
        <w:tc>
          <w:tcPr>
            <w:tcW w:type="dxa" w:w="1474"/>
          </w:tcPr>
          <w:p>
            <w:pPr>
              <w:spacing w:after="20"/>
            </w:pPr>
            <w:r/>
            <w:r>
              <w:rPr>
                <w:sz w:val="17"/>
              </w:rPr>
              <w:t>3</w:t>
            </w:r>
          </w:p>
          <w:p>
            <w:pPr>
              <w:spacing w:after="20"/>
            </w:pPr>
            <w:r>
              <w:rPr>
                <w:sz w:val="17"/>
              </w:rPr>
              <w:t>Capacity Medium</w:t>
            </w:r>
          </w:p>
          <w:p>
            <w:pPr>
              <w:spacing w:after="20"/>
            </w:pPr>
            <w:r>
              <w:rPr>
                <w:sz w:val="17"/>
              </w:rPr>
              <w:t>3 conflict warnings</w:t>
            </w:r>
          </w:p>
        </w:tc>
        <w:tc>
          <w:tcPr>
            <w:tcW w:type="dxa" w:w="2746"/>
          </w:tcPr>
          <w:p>
            <w:pPr>
              <w:spacing w:after="20"/>
            </w:pPr>
            <w:r/>
            <w:r>
              <w:rPr>
                <w:sz w:val="17"/>
              </w:rPr>
              <w:t>Same; all three flag the contradiction.</w:t>
            </w:r>
          </w:p>
        </w:tc>
      </w:tr>
      <w:tr>
        <w:trPr>
          <w:cantSplit/>
        </w:trPr>
        <w:tc>
          <w:tcPr>
            <w:tcW w:type="dxa" w:w="2529"/>
            <w:shd w:val="clear" w:fill="EEF3F9"/>
          </w:tcPr>
          <w:p>
            <w:pPr>
              <w:spacing w:after="20"/>
            </w:pPr>
            <w:r/>
            <w:r>
              <w:rPr>
                <w:b/>
                <w:sz w:val="17"/>
              </w:rPr>
              <w:t>P10. 28, first-time investor; 20 years; about 7%</w:t>
            </w:r>
          </w:p>
        </w:tc>
        <w:tc>
          <w:tcPr>
            <w:tcW w:type="dxa" w:w="1529"/>
            <w:shd w:val="clear" w:fill="EEF3F9"/>
          </w:tcPr>
          <w:p>
            <w:pPr>
              <w:spacing w:after="20"/>
            </w:pPr>
            <w:r/>
            <w:r>
              <w:rPr>
                <w:sz w:val="17"/>
              </w:rPr>
              <w:t>4</w:t>
            </w:r>
          </w:p>
          <w:p>
            <w:pPr>
              <w:spacing w:after="20"/>
            </w:pPr>
            <w:r>
              <w:rPr>
                <w:sz w:val="17"/>
              </w:rPr>
              <w:t>Capacity Medium</w:t>
            </w:r>
          </w:p>
        </w:tc>
        <w:tc>
          <w:tcPr>
            <w:tcW w:type="dxa" w:w="1360"/>
            <w:shd w:val="clear" w:fill="EEF3F9"/>
          </w:tcPr>
          <w:p>
            <w:pPr>
              <w:spacing w:after="20"/>
            </w:pPr>
            <w:r/>
            <w:r>
              <w:rPr>
                <w:sz w:val="17"/>
              </w:rPr>
              <w:t>3</w:t>
            </w:r>
          </w:p>
        </w:tc>
        <w:tc>
          <w:tcPr>
            <w:tcW w:type="dxa" w:w="1474"/>
            <w:shd w:val="clear" w:fill="EEF3F9"/>
          </w:tcPr>
          <w:p>
            <w:pPr>
              <w:spacing w:after="20"/>
            </w:pPr>
            <w:r/>
            <w:r>
              <w:rPr>
                <w:sz w:val="17"/>
              </w:rPr>
              <w:t>3</w:t>
            </w:r>
          </w:p>
          <w:p>
            <w:pPr>
              <w:spacing w:after="20"/>
            </w:pPr>
            <w:r>
              <w:rPr>
                <w:sz w:val="17"/>
              </w:rPr>
              <w:t>Capacity Medium</w:t>
            </w:r>
          </w:p>
          <w:p>
            <w:pPr>
              <w:spacing w:after="20"/>
            </w:pPr>
            <w:r>
              <w:rPr>
                <w:sz w:val="17"/>
              </w:rPr>
              <w:t>1 conflict warning</w:t>
            </w:r>
          </w:p>
        </w:tc>
        <w:tc>
          <w:tcPr>
            <w:tcW w:type="dxa" w:w="2746"/>
            <w:shd w:val="clear" w:fill="EEF3F9"/>
          </w:tcPr>
          <w:p>
            <w:pPr>
              <w:spacing w:after="20"/>
            </w:pPr>
            <w:r/>
            <w:r>
              <w:rPr>
                <w:sz w:val="17"/>
              </w:rPr>
              <w:t>Ours one higher: the reaction and objective answers lift it one level above the loss answer.</w:t>
            </w:r>
          </w:p>
        </w:tc>
      </w:tr>
      <w:tr>
        <w:trPr>
          <w:cantSplit/>
        </w:trPr>
        <w:tc>
          <w:tcPr>
            <w:tcW w:type="dxa" w:w="2529"/>
          </w:tcPr>
          <w:p>
            <w:pPr>
              <w:spacing w:after="20"/>
            </w:pPr>
            <w:r/>
            <w:r>
              <w:rPr>
                <w:b/>
                <w:sz w:val="17"/>
              </w:rPr>
              <w:t>P11. 60, near retirement, balanced; 6 years; about 15%</w:t>
            </w:r>
          </w:p>
        </w:tc>
        <w:tc>
          <w:tcPr>
            <w:tcW w:type="dxa" w:w="1529"/>
          </w:tcPr>
          <w:p>
            <w:pPr>
              <w:spacing w:after="20"/>
            </w:pPr>
            <w:r/>
            <w:r>
              <w:rPr>
                <w:sz w:val="17"/>
              </w:rPr>
              <w:t>4</w:t>
            </w:r>
          </w:p>
          <w:p>
            <w:pPr>
              <w:spacing w:after="20"/>
            </w:pPr>
            <w:r>
              <w:rPr>
                <w:sz w:val="17"/>
              </w:rPr>
              <w:t>Capacity High</w:t>
            </w:r>
          </w:p>
        </w:tc>
        <w:tc>
          <w:tcPr>
            <w:tcW w:type="dxa" w:w="1360"/>
          </w:tcPr>
          <w:p>
            <w:pPr>
              <w:spacing w:after="20"/>
            </w:pPr>
            <w:r/>
            <w:r>
              <w:rPr>
                <w:sz w:val="17"/>
              </w:rPr>
              <w:t>4</w:t>
            </w:r>
          </w:p>
        </w:tc>
        <w:tc>
          <w:tcPr>
            <w:tcW w:type="dxa" w:w="1474"/>
          </w:tcPr>
          <w:p>
            <w:pPr>
              <w:spacing w:after="20"/>
            </w:pPr>
            <w:r/>
            <w:r>
              <w:rPr>
                <w:sz w:val="17"/>
              </w:rPr>
              <w:t>3</w:t>
            </w:r>
          </w:p>
          <w:p>
            <w:pPr>
              <w:spacing w:after="20"/>
            </w:pPr>
            <w:r>
              <w:rPr>
                <w:sz w:val="17"/>
              </w:rPr>
              <w:t>Capacity Medium</w:t>
            </w:r>
          </w:p>
        </w:tc>
        <w:tc>
          <w:tcPr>
            <w:tcW w:type="dxa" w:w="2746"/>
          </w:tcPr>
          <w:p>
            <w:pPr>
              <w:spacing w:after="20"/>
            </w:pPr>
            <w:r/>
            <w:r>
              <w:rPr>
                <w:sz w:val="17"/>
              </w:rPr>
              <w:t>Zurich one lower: it deducts for age 60 and a 6-year term.</w:t>
            </w:r>
          </w:p>
        </w:tc>
      </w:tr>
      <w:tr>
        <w:trPr>
          <w:cantSplit/>
        </w:trPr>
        <w:tc>
          <w:tcPr>
            <w:tcW w:type="dxa" w:w="2529"/>
            <w:shd w:val="clear" w:fill="EEF3F9"/>
          </w:tcPr>
          <w:p>
            <w:pPr>
              <w:spacing w:after="20"/>
            </w:pPr>
            <w:r/>
            <w:r>
              <w:rPr>
                <w:b/>
                <w:sz w:val="17"/>
              </w:rPr>
              <w:t>P12. 42, self-employed, growth; 15 years; about 25%</w:t>
            </w:r>
          </w:p>
        </w:tc>
        <w:tc>
          <w:tcPr>
            <w:tcW w:type="dxa" w:w="1529"/>
            <w:shd w:val="clear" w:fill="EEF3F9"/>
          </w:tcPr>
          <w:p>
            <w:pPr>
              <w:spacing w:after="20"/>
            </w:pPr>
            <w:r/>
            <w:r>
              <w:rPr>
                <w:sz w:val="17"/>
              </w:rPr>
              <w:t>5</w:t>
            </w:r>
          </w:p>
          <w:p>
            <w:pPr>
              <w:spacing w:after="20"/>
            </w:pPr>
            <w:r>
              <w:rPr>
                <w:sz w:val="17"/>
              </w:rPr>
              <w:t>Capacity Medium</w:t>
            </w:r>
          </w:p>
        </w:tc>
        <w:tc>
          <w:tcPr>
            <w:tcW w:type="dxa" w:w="1360"/>
            <w:shd w:val="clear" w:fill="EEF3F9"/>
          </w:tcPr>
          <w:p>
            <w:pPr>
              <w:spacing w:after="20"/>
            </w:pPr>
            <w:r/>
            <w:r>
              <w:rPr>
                <w:sz w:val="17"/>
              </w:rPr>
              <w:t>5</w:t>
            </w:r>
          </w:p>
        </w:tc>
        <w:tc>
          <w:tcPr>
            <w:tcW w:type="dxa" w:w="1474"/>
            <w:shd w:val="clear" w:fill="EEF3F9"/>
          </w:tcPr>
          <w:p>
            <w:pPr>
              <w:spacing w:after="20"/>
            </w:pPr>
            <w:r/>
            <w:r>
              <w:rPr>
                <w:sz w:val="17"/>
              </w:rPr>
              <w:t>5</w:t>
            </w:r>
          </w:p>
          <w:p>
            <w:pPr>
              <w:spacing w:after="20"/>
            </w:pPr>
            <w:r>
              <w:rPr>
                <w:sz w:val="17"/>
              </w:rPr>
              <w:t>Capacity Medium</w:t>
            </w:r>
          </w:p>
        </w:tc>
        <w:tc>
          <w:tcPr>
            <w:tcW w:type="dxa" w:w="2746"/>
            <w:shd w:val="clear" w:fill="EEF3F9"/>
          </w:tcPr>
          <w:p>
            <w:pPr>
              <w:spacing w:after="20"/>
            </w:pPr>
            <w:r/>
            <w:r>
              <w:rPr>
                <w:sz w:val="17"/>
              </w:rPr>
              <w:t>Same.</w:t>
            </w:r>
          </w:p>
        </w:tc>
      </w:tr>
      <w:tr>
        <w:trPr>
          <w:cantSplit/>
        </w:trPr>
        <w:tc>
          <w:tcPr>
            <w:tcW w:type="dxa" w:w="2529"/>
          </w:tcPr>
          <w:p>
            <w:pPr>
              <w:spacing w:after="20"/>
            </w:pPr>
            <w:r/>
            <w:r>
              <w:rPr>
                <w:b/>
                <w:sz w:val="17"/>
              </w:rPr>
              <w:t>P13. 67, drawing income in 2 years, relies on it; about 7%</w:t>
            </w:r>
          </w:p>
        </w:tc>
        <w:tc>
          <w:tcPr>
            <w:tcW w:type="dxa" w:w="1529"/>
          </w:tcPr>
          <w:p>
            <w:pPr>
              <w:spacing w:after="20"/>
            </w:pPr>
            <w:r/>
            <w:r>
              <w:rPr>
                <w:sz w:val="17"/>
              </w:rPr>
              <w:t>2</w:t>
            </w:r>
          </w:p>
          <w:p>
            <w:pPr>
              <w:spacing w:after="20"/>
            </w:pPr>
            <w:r>
              <w:rPr>
                <w:sz w:val="17"/>
              </w:rPr>
              <w:t>Capacity Medium</w:t>
            </w:r>
          </w:p>
          <w:p>
            <w:pPr>
              <w:spacing w:after="20"/>
            </w:pPr>
            <w:r>
              <w:rPr>
                <w:sz w:val="17"/>
              </w:rPr>
              <w:t>Flags: short horizon</w:t>
            </w:r>
          </w:p>
        </w:tc>
        <w:tc>
          <w:tcPr>
            <w:tcW w:type="dxa" w:w="1360"/>
          </w:tcPr>
          <w:p>
            <w:pPr>
              <w:spacing w:after="20"/>
            </w:pPr>
            <w:r/>
            <w:r>
              <w:rPr>
                <w:sz w:val="17"/>
              </w:rPr>
              <w:t>3</w:t>
            </w:r>
          </w:p>
        </w:tc>
        <w:tc>
          <w:tcPr>
            <w:tcW w:type="dxa" w:w="1474"/>
          </w:tcPr>
          <w:p>
            <w:pPr>
              <w:spacing w:after="20"/>
            </w:pPr>
            <w:r/>
            <w:r>
              <w:rPr>
                <w:sz w:val="17"/>
              </w:rPr>
              <w:t>1</w:t>
            </w:r>
          </w:p>
          <w:p>
            <w:pPr>
              <w:spacing w:after="20"/>
            </w:pPr>
            <w:r>
              <w:rPr>
                <w:sz w:val="17"/>
              </w:rPr>
              <w:t>Capacity Medium</w:t>
            </w:r>
          </w:p>
        </w:tc>
        <w:tc>
          <w:tcPr>
            <w:tcW w:type="dxa" w:w="2746"/>
          </w:tcPr>
          <w:p>
            <w:pPr>
              <w:spacing w:after="20"/>
            </w:pPr>
            <w:r/>
            <w:r>
              <w:rPr>
                <w:sz w:val="17"/>
              </w:rPr>
              <w:t>Ours between the two.</w:t>
            </w:r>
          </w:p>
        </w:tc>
      </w:tr>
      <w:tr>
        <w:trPr>
          <w:cantSplit/>
        </w:trPr>
        <w:tc>
          <w:tcPr>
            <w:tcW w:type="dxa" w:w="2529"/>
            <w:shd w:val="clear" w:fill="EEF3F9"/>
          </w:tcPr>
          <w:p>
            <w:pPr>
              <w:spacing w:after="20"/>
            </w:pPr>
            <w:r/>
            <w:r>
              <w:rPr>
                <w:b/>
                <w:sz w:val="17"/>
              </w:rPr>
              <w:t>P14. 35, inheritance, no experience but keen; 10 years; about 25%</w:t>
            </w:r>
          </w:p>
        </w:tc>
        <w:tc>
          <w:tcPr>
            <w:tcW w:type="dxa" w:w="1529"/>
            <w:shd w:val="clear" w:fill="EEF3F9"/>
          </w:tcPr>
          <w:p>
            <w:pPr>
              <w:spacing w:after="20"/>
            </w:pPr>
            <w:r/>
            <w:r>
              <w:rPr>
                <w:sz w:val="17"/>
              </w:rPr>
              <w:t>5</w:t>
            </w:r>
          </w:p>
          <w:p>
            <w:pPr>
              <w:spacing w:after="20"/>
            </w:pPr>
            <w:r>
              <w:rPr>
                <w:sz w:val="17"/>
              </w:rPr>
              <w:t>Capacity High</w:t>
            </w:r>
          </w:p>
          <w:p>
            <w:pPr>
              <w:spacing w:after="20"/>
            </w:pPr>
            <w:r>
              <w:rPr>
                <w:sz w:val="17"/>
              </w:rPr>
              <w:t>Flags: knowledge</w:t>
            </w:r>
          </w:p>
        </w:tc>
        <w:tc>
          <w:tcPr>
            <w:tcW w:type="dxa" w:w="1360"/>
            <w:shd w:val="clear" w:fill="EEF3F9"/>
          </w:tcPr>
          <w:p>
            <w:pPr>
              <w:spacing w:after="20"/>
            </w:pPr>
            <w:r/>
            <w:r>
              <w:rPr>
                <w:sz w:val="17"/>
              </w:rPr>
              <w:t>5</w:t>
            </w:r>
          </w:p>
        </w:tc>
        <w:tc>
          <w:tcPr>
            <w:tcW w:type="dxa" w:w="1474"/>
            <w:shd w:val="clear" w:fill="EEF3F9"/>
          </w:tcPr>
          <w:p>
            <w:pPr>
              <w:spacing w:after="20"/>
            </w:pPr>
            <w:r/>
            <w:r>
              <w:rPr>
                <w:sz w:val="17"/>
              </w:rPr>
              <w:t>4</w:t>
            </w:r>
          </w:p>
          <w:p>
            <w:pPr>
              <w:spacing w:after="20"/>
            </w:pPr>
            <w:r>
              <w:rPr>
                <w:sz w:val="17"/>
              </w:rPr>
              <w:t>Capacity High</w:t>
            </w:r>
          </w:p>
        </w:tc>
        <w:tc>
          <w:tcPr>
            <w:tcW w:type="dxa" w:w="2746"/>
            <w:shd w:val="clear" w:fill="EEF3F9"/>
          </w:tcPr>
          <w:p>
            <w:pPr>
              <w:spacing w:after="20"/>
            </w:pPr>
            <w:r/>
            <w:r>
              <w:rPr>
                <w:sz w:val="17"/>
              </w:rPr>
              <w:t>Zurich deducts for no knowledge; we flag it.</w:t>
            </w:r>
          </w:p>
        </w:tc>
      </w:tr>
      <w:tr>
        <w:trPr>
          <w:cantSplit/>
        </w:trPr>
        <w:tc>
          <w:tcPr>
            <w:tcW w:type="dxa" w:w="2529"/>
          </w:tcPr>
          <w:p>
            <w:pPr>
              <w:spacing w:after="20"/>
            </w:pPr>
            <w:r/>
            <w:r>
              <w:rPr>
                <w:b/>
                <w:sz w:val="17"/>
              </w:rPr>
              <w:t>P15. 30, very cautious despite 25 years; about 2.5%</w:t>
            </w:r>
          </w:p>
        </w:tc>
        <w:tc>
          <w:tcPr>
            <w:tcW w:type="dxa" w:w="1529"/>
          </w:tcPr>
          <w:p>
            <w:pPr>
              <w:spacing w:after="20"/>
            </w:pPr>
            <w:r/>
            <w:r>
              <w:rPr>
                <w:sz w:val="17"/>
              </w:rPr>
              <w:t>2</w:t>
            </w:r>
          </w:p>
          <w:p>
            <w:pPr>
              <w:spacing w:after="20"/>
            </w:pPr>
            <w:r>
              <w:rPr>
                <w:sz w:val="17"/>
              </w:rPr>
              <w:t>Capacity High</w:t>
            </w:r>
          </w:p>
        </w:tc>
        <w:tc>
          <w:tcPr>
            <w:tcW w:type="dxa" w:w="1360"/>
          </w:tcPr>
          <w:p>
            <w:pPr>
              <w:spacing w:after="20"/>
            </w:pPr>
            <w:r/>
            <w:r>
              <w:rPr>
                <w:sz w:val="17"/>
              </w:rPr>
              <w:t>0 (no-risk)</w:t>
            </w:r>
          </w:p>
        </w:tc>
        <w:tc>
          <w:tcPr>
            <w:tcW w:type="dxa" w:w="1474"/>
          </w:tcPr>
          <w:p>
            <w:pPr>
              <w:spacing w:after="20"/>
            </w:pPr>
            <w:r/>
            <w:r>
              <w:rPr>
                <w:sz w:val="17"/>
              </w:rPr>
              <w:t>2</w:t>
            </w:r>
          </w:p>
          <w:p>
            <w:pPr>
              <w:spacing w:after="20"/>
            </w:pPr>
            <w:r>
              <w:rPr>
                <w:sz w:val="17"/>
              </w:rPr>
              <w:t>Capacity Medium</w:t>
            </w:r>
          </w:p>
        </w:tc>
        <w:tc>
          <w:tcPr>
            <w:tcW w:type="dxa" w:w="2746"/>
          </w:tcPr>
          <w:p>
            <w:pPr>
              <w:spacing w:after="20"/>
            </w:pPr>
            <w:r/>
            <w:r>
              <w:rPr>
                <w:sz w:val="17"/>
              </w:rPr>
              <w:t>Same as Zurich. Aviva's 0 means deposit-type only.</w:t>
            </w:r>
          </w:p>
        </w:tc>
      </w:tr>
      <w:tr>
        <w:trPr>
          <w:cantSplit/>
        </w:trPr>
        <w:tc>
          <w:tcPr>
            <w:tcW w:type="dxa" w:w="2529"/>
            <w:shd w:val="clear" w:fill="EEF3F9"/>
          </w:tcPr>
          <w:p>
            <w:pPr>
              <w:spacing w:after="20"/>
            </w:pPr>
            <w:r/>
            <w:r>
              <w:rPr>
                <w:b/>
                <w:sz w:val="17"/>
              </w:rPr>
              <w:t>P16. 38, balanced, but heavy commitments and little savings; 12 years; about 15%</w:t>
            </w:r>
          </w:p>
        </w:tc>
        <w:tc>
          <w:tcPr>
            <w:tcW w:type="dxa" w:w="1529"/>
            <w:shd w:val="clear" w:fill="EEF3F9"/>
          </w:tcPr>
          <w:p>
            <w:pPr>
              <w:spacing w:after="20"/>
            </w:pPr>
            <w:r/>
            <w:r>
              <w:rPr>
                <w:sz w:val="17"/>
              </w:rPr>
              <w:t>4</w:t>
            </w:r>
          </w:p>
          <w:p>
            <w:pPr>
              <w:spacing w:after="20"/>
            </w:pPr>
            <w:r>
              <w:rPr>
                <w:sz w:val="17"/>
              </w:rPr>
              <w:t>Capacity Low</w:t>
            </w:r>
          </w:p>
        </w:tc>
        <w:tc>
          <w:tcPr>
            <w:tcW w:type="dxa" w:w="1360"/>
            <w:shd w:val="clear" w:fill="EEF3F9"/>
          </w:tcPr>
          <w:p>
            <w:pPr>
              <w:spacing w:after="20"/>
            </w:pPr>
            <w:r/>
            <w:r>
              <w:rPr>
                <w:sz w:val="17"/>
              </w:rPr>
              <w:t>4</w:t>
            </w:r>
          </w:p>
        </w:tc>
        <w:tc>
          <w:tcPr>
            <w:tcW w:type="dxa" w:w="1474"/>
            <w:shd w:val="clear" w:fill="EEF3F9"/>
          </w:tcPr>
          <w:p>
            <w:pPr>
              <w:spacing w:after="20"/>
            </w:pPr>
            <w:r/>
            <w:r>
              <w:rPr>
                <w:sz w:val="17"/>
              </w:rPr>
              <w:t>3</w:t>
            </w:r>
          </w:p>
          <w:p>
            <w:pPr>
              <w:spacing w:after="20"/>
            </w:pPr>
            <w:r>
              <w:rPr>
                <w:sz w:val="17"/>
              </w:rPr>
              <w:t>Capacity Low</w:t>
            </w:r>
          </w:p>
        </w:tc>
        <w:tc>
          <w:tcPr>
            <w:tcW w:type="dxa" w:w="2746"/>
            <w:shd w:val="clear" w:fill="EEF3F9"/>
          </w:tcPr>
          <w:p>
            <w:pPr>
              <w:spacing w:after="20"/>
            </w:pPr>
            <w:r/>
            <w:r>
              <w:rPr>
                <w:sz w:val="17"/>
              </w:rPr>
              <w:t>Zurich one lower. Both rate capacity Low.</w:t>
            </w:r>
          </w:p>
        </w:tc>
      </w:tr>
      <w:tr>
        <w:trPr>
          <w:cantSplit/>
        </w:trPr>
        <w:tc>
          <w:tcPr>
            <w:tcW w:type="dxa" w:w="2529"/>
          </w:tcPr>
          <w:p>
            <w:pPr>
              <w:spacing w:after="20"/>
            </w:pPr>
            <w:r/>
            <w:r>
              <w:rPr>
                <w:b/>
                <w:sz w:val="17"/>
              </w:rPr>
              <w:t>P17. 48, adventurous, but needs the money in 4 years; about 40%</w:t>
            </w:r>
          </w:p>
        </w:tc>
        <w:tc>
          <w:tcPr>
            <w:tcW w:type="dxa" w:w="1529"/>
          </w:tcPr>
          <w:p>
            <w:pPr>
              <w:spacing w:after="20"/>
            </w:pPr>
            <w:r/>
            <w:r>
              <w:rPr>
                <w:sz w:val="17"/>
              </w:rPr>
              <w:t>4</w:t>
            </w:r>
          </w:p>
          <w:p>
            <w:pPr>
              <w:spacing w:after="20"/>
            </w:pPr>
            <w:r>
              <w:rPr>
                <w:sz w:val="17"/>
              </w:rPr>
              <w:t>Capacity High</w:t>
            </w:r>
          </w:p>
          <w:p>
            <w:pPr>
              <w:spacing w:after="20"/>
            </w:pPr>
            <w:r>
              <w:rPr>
                <w:sz w:val="17"/>
              </w:rPr>
              <w:t>Flags: short horizon</w:t>
            </w:r>
          </w:p>
        </w:tc>
        <w:tc>
          <w:tcPr>
            <w:tcW w:type="dxa" w:w="1360"/>
          </w:tcPr>
          <w:p>
            <w:pPr>
              <w:spacing w:after="20"/>
            </w:pPr>
            <w:r/>
            <w:r>
              <w:rPr>
                <w:sz w:val="17"/>
              </w:rPr>
              <w:t>6</w:t>
            </w:r>
          </w:p>
        </w:tc>
        <w:tc>
          <w:tcPr>
            <w:tcW w:type="dxa" w:w="1474"/>
          </w:tcPr>
          <w:p>
            <w:pPr>
              <w:spacing w:after="20"/>
            </w:pPr>
            <w:r/>
            <w:r>
              <w:rPr>
                <w:sz w:val="17"/>
              </w:rPr>
              <w:t>5</w:t>
            </w:r>
          </w:p>
          <w:p>
            <w:pPr>
              <w:spacing w:after="20"/>
            </w:pPr>
            <w:r>
              <w:rPr>
                <w:sz w:val="17"/>
              </w:rPr>
              <w:t>Capacity High</w:t>
            </w:r>
          </w:p>
          <w:p>
            <w:pPr>
              <w:spacing w:after="20"/>
            </w:pPr>
            <w:r>
              <w:rPr>
                <w:sz w:val="17"/>
              </w:rPr>
              <w:t>short-horizon warning</w:t>
            </w:r>
          </w:p>
        </w:tc>
        <w:tc>
          <w:tcPr>
            <w:tcW w:type="dxa" w:w="2746"/>
          </w:tcPr>
          <w:p>
            <w:pPr>
              <w:spacing w:after="20"/>
            </w:pPr>
            <w:r/>
            <w:r>
              <w:rPr>
                <w:sz w:val="17"/>
              </w:rPr>
              <w:t>Ours the strictest on a 4-year horizon.</w:t>
            </w:r>
          </w:p>
        </w:tc>
      </w:tr>
      <w:tr>
        <w:trPr>
          <w:cantSplit/>
        </w:trPr>
        <w:tc>
          <w:tcPr>
            <w:tcW w:type="dxa" w:w="2529"/>
            <w:shd w:val="clear" w:fill="EEF3F9"/>
          </w:tcPr>
          <w:p>
            <w:pPr>
              <w:spacing w:after="20"/>
            </w:pPr>
            <w:r/>
            <w:r>
              <w:rPr>
                <w:b/>
                <w:sz w:val="17"/>
              </w:rPr>
              <w:t>P18. 33, accepts only 2.5% but would invest more and wants maximum return</w:t>
            </w:r>
          </w:p>
        </w:tc>
        <w:tc>
          <w:tcPr>
            <w:tcW w:type="dxa" w:w="1529"/>
            <w:shd w:val="clear" w:fill="EEF3F9"/>
          </w:tcPr>
          <w:p>
            <w:pPr>
              <w:spacing w:after="20"/>
            </w:pPr>
            <w:r/>
            <w:r>
              <w:rPr>
                <w:sz w:val="17"/>
              </w:rPr>
              <w:t>3</w:t>
            </w:r>
          </w:p>
          <w:p>
            <w:pPr>
              <w:spacing w:after="20"/>
            </w:pPr>
            <w:r>
              <w:rPr>
                <w:sz w:val="17"/>
              </w:rPr>
              <w:t>Capacity High</w:t>
            </w:r>
          </w:p>
          <w:p>
            <w:pPr>
              <w:spacing w:after="20"/>
            </w:pPr>
            <w:r>
              <w:rPr>
                <w:sz w:val="17"/>
              </w:rPr>
              <w:t>Flags: mixed attitude</w:t>
            </w:r>
          </w:p>
        </w:tc>
        <w:tc>
          <w:tcPr>
            <w:tcW w:type="dxa" w:w="1360"/>
            <w:shd w:val="clear" w:fill="EEF3F9"/>
          </w:tcPr>
          <w:p>
            <w:pPr>
              <w:spacing w:after="20"/>
            </w:pPr>
            <w:r/>
            <w:r>
              <w:rPr>
                <w:sz w:val="17"/>
              </w:rPr>
              <w:t>3</w:t>
            </w:r>
          </w:p>
          <w:p>
            <w:pPr>
              <w:spacing w:after="20"/>
            </w:pPr>
            <w:r>
              <w:rPr>
                <w:sz w:val="17"/>
              </w:rPr>
              <w:t>Prompts: loss</w:t>
            </w:r>
          </w:p>
        </w:tc>
        <w:tc>
          <w:tcPr>
            <w:tcW w:type="dxa" w:w="1474"/>
            <w:shd w:val="clear" w:fill="EEF3F9"/>
          </w:tcPr>
          <w:p>
            <w:pPr>
              <w:spacing w:after="20"/>
            </w:pPr>
            <w:r/>
            <w:r>
              <w:rPr>
                <w:sz w:val="17"/>
              </w:rPr>
              <w:t>4</w:t>
            </w:r>
          </w:p>
          <w:p>
            <w:pPr>
              <w:spacing w:after="20"/>
            </w:pPr>
            <w:r>
              <w:rPr>
                <w:sz w:val="17"/>
              </w:rPr>
              <w:t>Capacity Medium</w:t>
            </w:r>
          </w:p>
          <w:p>
            <w:pPr>
              <w:spacing w:after="20"/>
            </w:pPr>
            <w:r>
              <w:rPr>
                <w:sz w:val="17"/>
              </w:rPr>
              <w:t>4 conflict warnings</w:t>
            </w:r>
          </w:p>
        </w:tc>
        <w:tc>
          <w:tcPr>
            <w:tcW w:type="dxa" w:w="2746"/>
            <w:shd w:val="clear" w:fill="EEF3F9"/>
          </w:tcPr>
          <w:p>
            <w:pPr>
              <w:spacing w:after="20"/>
            </w:pPr>
            <w:r/>
            <w:r>
              <w:rPr>
                <w:sz w:val="17"/>
              </w:rPr>
              <w:t>Same as Aviva: the loss answer anchors the rating.</w:t>
            </w:r>
          </w:p>
        </w:tc>
      </w:tr>
    </w:tbl>
    <w:p>
      <w:pPr>
        <w:spacing w:after="40"/>
      </w:pPr>
    </w:p>
    <w:p>
      <w:r>
        <w:br w:type="page"/>
      </w:r>
    </w:p>
    <w:p>
      <w:pPr>
        <w:pStyle w:val="Heading1"/>
      </w:pPr>
      <w:r>
        <w:t>Appendix B. Where the Q4 loss figures come from</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rPr>
          <w:cantSplit/>
          <w:tblHeader/>
        </w:trPr>
        <w:tc>
          <w:tcPr>
            <w:tcW w:type="dxa" w:w="989"/>
            <w:shd w:val="clear" w:fill="003781"/>
          </w:tcPr>
          <w:p>
            <w:pPr>
              <w:keepNext/>
              <w:spacing w:after="20"/>
            </w:pPr>
            <w:r/>
            <w:r>
              <w:rPr>
                <w:b/>
                <w:color w:val="FFFFFF"/>
                <w:sz w:val="18"/>
              </w:rPr>
              <w:t>Rating</w:t>
            </w:r>
          </w:p>
        </w:tc>
        <w:tc>
          <w:tcPr>
            <w:tcW w:type="dxa" w:w="1878"/>
            <w:shd w:val="clear" w:fill="003781"/>
          </w:tcPr>
          <w:p>
            <w:pPr>
              <w:keepNext/>
              <w:spacing w:after="20"/>
            </w:pPr>
            <w:r/>
            <w:r>
              <w:rPr>
                <w:b/>
                <w:color w:val="FFFFFF"/>
                <w:sz w:val="18"/>
              </w:rPr>
              <w:t>Volatility band</w:t>
            </w:r>
          </w:p>
        </w:tc>
        <w:tc>
          <w:tcPr>
            <w:tcW w:type="dxa" w:w="1789"/>
            <w:shd w:val="clear" w:fill="003781"/>
          </w:tcPr>
          <w:p>
            <w:pPr>
              <w:keepNext/>
              <w:spacing w:after="20"/>
            </w:pPr>
            <w:r/>
            <w:r>
              <w:rPr>
                <w:b/>
                <w:color w:val="FFFFFF"/>
                <w:sz w:val="18"/>
              </w:rPr>
              <w:t>Middle of band</w:t>
            </w:r>
          </w:p>
        </w:tc>
        <w:tc>
          <w:tcPr>
            <w:tcW w:type="dxa" w:w="2297"/>
            <w:shd w:val="clear" w:fill="003781"/>
          </w:tcPr>
          <w:p>
            <w:pPr>
              <w:keepNext/>
              <w:spacing w:after="20"/>
            </w:pPr>
            <w:r/>
            <w:r>
              <w:rPr>
                <w:b/>
                <w:color w:val="FFFFFF"/>
                <w:sz w:val="18"/>
              </w:rPr>
              <w:t>Q4 mark (2 × middle)</w:t>
            </w:r>
          </w:p>
        </w:tc>
        <w:tc>
          <w:tcPr>
            <w:tcW w:type="dxa" w:w="2685"/>
            <w:shd w:val="clear" w:fill="003781"/>
          </w:tcPr>
          <w:p>
            <w:pPr>
              <w:keepNext/>
              <w:spacing w:after="20"/>
            </w:pPr>
            <w:r/>
            <w:r>
              <w:rPr>
                <w:b/>
                <w:color w:val="FFFFFF"/>
                <w:sz w:val="18"/>
              </w:rPr>
              <w:t>Aviva 12-month worst case</w:t>
            </w:r>
          </w:p>
        </w:tc>
      </w:tr>
      <w:tr>
        <w:trPr>
          <w:cantSplit/>
        </w:trPr>
        <w:tc>
          <w:tcPr>
            <w:tcW w:type="dxa" w:w="989"/>
          </w:tcPr>
          <w:p>
            <w:pPr>
              <w:keepNext/>
              <w:spacing w:after="20"/>
            </w:pPr>
            <w:r/>
            <w:r>
              <w:rPr>
                <w:b/>
                <w:sz w:val="18"/>
              </w:rPr>
              <w:t>1</w:t>
            </w:r>
          </w:p>
        </w:tc>
        <w:tc>
          <w:tcPr>
            <w:tcW w:type="dxa" w:w="1878"/>
          </w:tcPr>
          <w:p>
            <w:pPr>
              <w:keepNext/>
              <w:spacing w:after="20"/>
            </w:pPr>
            <w:r/>
            <w:r>
              <w:rPr>
                <w:sz w:val="18"/>
              </w:rPr>
              <w:t>0–0.5%</w:t>
            </w:r>
          </w:p>
        </w:tc>
        <w:tc>
          <w:tcPr>
            <w:tcW w:type="dxa" w:w="1789"/>
          </w:tcPr>
          <w:p>
            <w:pPr>
              <w:keepNext/>
              <w:spacing w:after="20"/>
            </w:pPr>
            <w:r/>
            <w:r>
              <w:rPr>
                <w:sz w:val="18"/>
              </w:rPr>
              <w:t>0.25%</w:t>
            </w:r>
          </w:p>
        </w:tc>
        <w:tc>
          <w:tcPr>
            <w:tcW w:type="dxa" w:w="2297"/>
          </w:tcPr>
          <w:p>
            <w:pPr>
              <w:keepNext/>
              <w:spacing w:after="20"/>
            </w:pPr>
            <w:r/>
            <w:r>
              <w:rPr>
                <w:sz w:val="18"/>
              </w:rPr>
              <w:t>No fall</w:t>
            </w:r>
          </w:p>
        </w:tc>
        <w:tc>
          <w:tcPr>
            <w:tcW w:type="dxa" w:w="2685"/>
          </w:tcPr>
          <w:p>
            <w:pPr>
              <w:keepNext/>
              <w:spacing w:after="20"/>
            </w:pPr>
            <w:r/>
            <w:r>
              <w:rPr>
                <w:sz w:val="18"/>
              </w:rPr>
              <w:t>none</w:t>
            </w:r>
          </w:p>
        </w:tc>
      </w:tr>
      <w:tr>
        <w:trPr>
          <w:cantSplit/>
        </w:trPr>
        <w:tc>
          <w:tcPr>
            <w:tcW w:type="dxa" w:w="989"/>
            <w:shd w:val="clear" w:fill="EEF3F9"/>
          </w:tcPr>
          <w:p>
            <w:pPr>
              <w:keepNext/>
              <w:spacing w:after="20"/>
            </w:pPr>
            <w:r/>
            <w:r>
              <w:rPr>
                <w:b/>
                <w:sz w:val="18"/>
              </w:rPr>
              <w:t>2</w:t>
            </w:r>
          </w:p>
        </w:tc>
        <w:tc>
          <w:tcPr>
            <w:tcW w:type="dxa" w:w="1878"/>
            <w:shd w:val="clear" w:fill="EEF3F9"/>
          </w:tcPr>
          <w:p>
            <w:pPr>
              <w:keepNext/>
              <w:spacing w:after="20"/>
            </w:pPr>
            <w:r/>
            <w:r>
              <w:rPr>
                <w:sz w:val="18"/>
              </w:rPr>
              <w:t>0.5–2%</w:t>
            </w:r>
          </w:p>
        </w:tc>
        <w:tc>
          <w:tcPr>
            <w:tcW w:type="dxa" w:w="1789"/>
            <w:shd w:val="clear" w:fill="EEF3F9"/>
          </w:tcPr>
          <w:p>
            <w:pPr>
              <w:keepNext/>
              <w:spacing w:after="20"/>
            </w:pPr>
            <w:r/>
            <w:r>
              <w:rPr>
                <w:sz w:val="18"/>
              </w:rPr>
              <w:t>1.25%</w:t>
            </w:r>
          </w:p>
        </w:tc>
        <w:tc>
          <w:tcPr>
            <w:tcW w:type="dxa" w:w="2297"/>
            <w:shd w:val="clear" w:fill="EEF3F9"/>
          </w:tcPr>
          <w:p>
            <w:pPr>
              <w:keepNext/>
              <w:spacing w:after="20"/>
            </w:pPr>
            <w:r/>
            <w:r>
              <w:rPr>
                <w:sz w:val="18"/>
              </w:rPr>
              <w:t>2.5%</w:t>
            </w:r>
          </w:p>
        </w:tc>
        <w:tc>
          <w:tcPr>
            <w:tcW w:type="dxa" w:w="2685"/>
            <w:shd w:val="clear" w:fill="EEF3F9"/>
          </w:tcPr>
          <w:p>
            <w:pPr>
              <w:keepNext/>
              <w:spacing w:after="20"/>
            </w:pPr>
            <w:r/>
            <w:r>
              <w:rPr>
                <w:sz w:val="18"/>
              </w:rPr>
              <w:t>0%</w:t>
            </w:r>
          </w:p>
        </w:tc>
      </w:tr>
      <w:tr>
        <w:trPr>
          <w:cantSplit/>
        </w:trPr>
        <w:tc>
          <w:tcPr>
            <w:tcW w:type="dxa" w:w="989"/>
          </w:tcPr>
          <w:p>
            <w:pPr>
              <w:keepNext/>
              <w:spacing w:after="20"/>
            </w:pPr>
            <w:r/>
            <w:r>
              <w:rPr>
                <w:b/>
                <w:sz w:val="18"/>
              </w:rPr>
              <w:t>3</w:t>
            </w:r>
          </w:p>
        </w:tc>
        <w:tc>
          <w:tcPr>
            <w:tcW w:type="dxa" w:w="1878"/>
          </w:tcPr>
          <w:p>
            <w:pPr>
              <w:keepNext/>
              <w:spacing w:after="20"/>
            </w:pPr>
            <w:r/>
            <w:r>
              <w:rPr>
                <w:sz w:val="18"/>
              </w:rPr>
              <w:t>2–5%</w:t>
            </w:r>
          </w:p>
        </w:tc>
        <w:tc>
          <w:tcPr>
            <w:tcW w:type="dxa" w:w="1789"/>
          </w:tcPr>
          <w:p>
            <w:pPr>
              <w:keepNext/>
              <w:spacing w:after="20"/>
            </w:pPr>
            <w:r/>
            <w:r>
              <w:rPr>
                <w:sz w:val="18"/>
              </w:rPr>
              <w:t>3.5%</w:t>
            </w:r>
          </w:p>
        </w:tc>
        <w:tc>
          <w:tcPr>
            <w:tcW w:type="dxa" w:w="2297"/>
          </w:tcPr>
          <w:p>
            <w:pPr>
              <w:keepNext/>
              <w:spacing w:after="20"/>
            </w:pPr>
            <w:r/>
            <w:r>
              <w:rPr>
                <w:sz w:val="18"/>
              </w:rPr>
              <w:t>7%</w:t>
            </w:r>
          </w:p>
        </w:tc>
        <w:tc>
          <w:tcPr>
            <w:tcW w:type="dxa" w:w="2685"/>
          </w:tcPr>
          <w:p>
            <w:pPr>
              <w:keepNext/>
              <w:spacing w:after="20"/>
            </w:pPr>
            <w:r/>
            <w:r>
              <w:rPr>
                <w:sz w:val="18"/>
              </w:rPr>
              <w:t>4.3%</w:t>
            </w:r>
          </w:p>
        </w:tc>
      </w:tr>
      <w:tr>
        <w:trPr>
          <w:cantSplit/>
        </w:trPr>
        <w:tc>
          <w:tcPr>
            <w:tcW w:type="dxa" w:w="989"/>
            <w:shd w:val="clear" w:fill="EEF3F9"/>
          </w:tcPr>
          <w:p>
            <w:pPr>
              <w:keepNext/>
              <w:spacing w:after="20"/>
            </w:pPr>
            <w:r/>
            <w:r>
              <w:rPr>
                <w:b/>
                <w:sz w:val="18"/>
              </w:rPr>
              <w:t>4</w:t>
            </w:r>
          </w:p>
        </w:tc>
        <w:tc>
          <w:tcPr>
            <w:tcW w:type="dxa" w:w="1878"/>
            <w:shd w:val="clear" w:fill="EEF3F9"/>
          </w:tcPr>
          <w:p>
            <w:pPr>
              <w:keepNext/>
              <w:spacing w:after="20"/>
            </w:pPr>
            <w:r/>
            <w:r>
              <w:rPr>
                <w:sz w:val="18"/>
              </w:rPr>
              <w:t>5–10%</w:t>
            </w:r>
          </w:p>
        </w:tc>
        <w:tc>
          <w:tcPr>
            <w:tcW w:type="dxa" w:w="1789"/>
            <w:shd w:val="clear" w:fill="EEF3F9"/>
          </w:tcPr>
          <w:p>
            <w:pPr>
              <w:keepNext/>
              <w:spacing w:after="20"/>
            </w:pPr>
            <w:r/>
            <w:r>
              <w:rPr>
                <w:sz w:val="18"/>
              </w:rPr>
              <w:t>7.5%</w:t>
            </w:r>
          </w:p>
        </w:tc>
        <w:tc>
          <w:tcPr>
            <w:tcW w:type="dxa" w:w="2297"/>
            <w:shd w:val="clear" w:fill="EEF3F9"/>
          </w:tcPr>
          <w:p>
            <w:pPr>
              <w:keepNext/>
              <w:spacing w:after="20"/>
            </w:pPr>
            <w:r/>
            <w:r>
              <w:rPr>
                <w:sz w:val="18"/>
              </w:rPr>
              <w:t>15%</w:t>
            </w:r>
          </w:p>
        </w:tc>
        <w:tc>
          <w:tcPr>
            <w:tcW w:type="dxa" w:w="2685"/>
            <w:shd w:val="clear" w:fill="EEF3F9"/>
          </w:tcPr>
          <w:p>
            <w:pPr>
              <w:keepNext/>
              <w:spacing w:after="20"/>
            </w:pPr>
            <w:r/>
            <w:r>
              <w:rPr>
                <w:sz w:val="18"/>
              </w:rPr>
              <w:t>11.5%</w:t>
            </w:r>
          </w:p>
        </w:tc>
      </w:tr>
      <w:tr>
        <w:trPr>
          <w:cantSplit/>
        </w:trPr>
        <w:tc>
          <w:tcPr>
            <w:tcW w:type="dxa" w:w="989"/>
          </w:tcPr>
          <w:p>
            <w:pPr>
              <w:keepNext/>
              <w:spacing w:after="20"/>
            </w:pPr>
            <w:r/>
            <w:r>
              <w:rPr>
                <w:b/>
                <w:sz w:val="18"/>
              </w:rPr>
              <w:t>5</w:t>
            </w:r>
          </w:p>
        </w:tc>
        <w:tc>
          <w:tcPr>
            <w:tcW w:type="dxa" w:w="1878"/>
          </w:tcPr>
          <w:p>
            <w:pPr>
              <w:keepNext/>
              <w:spacing w:after="20"/>
            </w:pPr>
            <w:r/>
            <w:r>
              <w:rPr>
                <w:sz w:val="18"/>
              </w:rPr>
              <w:t>10–15%</w:t>
            </w:r>
          </w:p>
        </w:tc>
        <w:tc>
          <w:tcPr>
            <w:tcW w:type="dxa" w:w="1789"/>
          </w:tcPr>
          <w:p>
            <w:pPr>
              <w:keepNext/>
              <w:spacing w:after="20"/>
            </w:pPr>
            <w:r/>
            <w:r>
              <w:rPr>
                <w:sz w:val="18"/>
              </w:rPr>
              <w:t>12.5%</w:t>
            </w:r>
          </w:p>
        </w:tc>
        <w:tc>
          <w:tcPr>
            <w:tcW w:type="dxa" w:w="2297"/>
          </w:tcPr>
          <w:p>
            <w:pPr>
              <w:keepNext/>
              <w:spacing w:after="20"/>
            </w:pPr>
            <w:r/>
            <w:r>
              <w:rPr>
                <w:sz w:val="18"/>
              </w:rPr>
              <w:t>25%</w:t>
            </w:r>
          </w:p>
        </w:tc>
        <w:tc>
          <w:tcPr>
            <w:tcW w:type="dxa" w:w="2685"/>
          </w:tcPr>
          <w:p>
            <w:pPr>
              <w:keepNext/>
              <w:spacing w:after="20"/>
            </w:pPr>
            <w:r/>
            <w:r>
              <w:rPr>
                <w:sz w:val="18"/>
              </w:rPr>
              <w:t>20.8%</w:t>
            </w:r>
          </w:p>
        </w:tc>
      </w:tr>
      <w:tr>
        <w:trPr>
          <w:cantSplit/>
        </w:trPr>
        <w:tc>
          <w:tcPr>
            <w:tcW w:type="dxa" w:w="989"/>
            <w:shd w:val="clear" w:fill="EEF3F9"/>
          </w:tcPr>
          <w:p>
            <w:pPr>
              <w:spacing w:after="20"/>
            </w:pPr>
            <w:r/>
            <w:r>
              <w:rPr>
                <w:b/>
                <w:sz w:val="18"/>
              </w:rPr>
              <w:t>6</w:t>
            </w:r>
          </w:p>
        </w:tc>
        <w:tc>
          <w:tcPr>
            <w:tcW w:type="dxa" w:w="1878"/>
            <w:shd w:val="clear" w:fill="EEF3F9"/>
          </w:tcPr>
          <w:p>
            <w:pPr>
              <w:spacing w:after="20"/>
            </w:pPr>
            <w:r/>
            <w:r>
              <w:rPr>
                <w:sz w:val="18"/>
              </w:rPr>
              <w:t>15–25%</w:t>
            </w:r>
          </w:p>
        </w:tc>
        <w:tc>
          <w:tcPr>
            <w:tcW w:type="dxa" w:w="1789"/>
            <w:shd w:val="clear" w:fill="EEF3F9"/>
          </w:tcPr>
          <w:p>
            <w:pPr>
              <w:spacing w:after="20"/>
            </w:pPr>
            <w:r/>
            <w:r>
              <w:rPr>
                <w:sz w:val="18"/>
              </w:rPr>
              <w:t>20%</w:t>
            </w:r>
          </w:p>
        </w:tc>
        <w:tc>
          <w:tcPr>
            <w:tcW w:type="dxa" w:w="2297"/>
            <w:shd w:val="clear" w:fill="EEF3F9"/>
          </w:tcPr>
          <w:p>
            <w:pPr>
              <w:spacing w:after="20"/>
            </w:pPr>
            <w:r/>
            <w:r>
              <w:rPr>
                <w:sz w:val="18"/>
              </w:rPr>
              <w:t>40% or more</w:t>
            </w:r>
          </w:p>
        </w:tc>
        <w:tc>
          <w:tcPr>
            <w:tcW w:type="dxa" w:w="2685"/>
            <w:shd w:val="clear" w:fill="EEF3F9"/>
          </w:tcPr>
          <w:p>
            <w:pPr>
              <w:spacing w:after="20"/>
            </w:pPr>
            <w:r/>
            <w:r>
              <w:rPr>
                <w:sz w:val="18"/>
              </w:rPr>
              <w:t>35.3%</w:t>
            </w:r>
          </w:p>
        </w:tc>
      </w:tr>
    </w:tbl>
    <w:p>
      <w:pPr>
        <w:spacing w:after="40"/>
      </w:pPr>
    </w:p>
    <w:tbl>
      <w:tblPr>
        <w:tblW w:type="auto" w:w="0"/>
        <w:tblLayout w:type="fixed"/>
        <w:tblLook w:firstColumn="1" w:firstRow="1" w:lastColumn="0" w:lastRow="0" w:noHBand="0" w:noVBand="1" w:val="04A0"/>
      </w:tblPr>
      <w:tblGrid>
        <w:gridCol w:w="9972"/>
      </w:tblGrid>
      <w:tr>
        <w:trPr>
          <w:cantSplit/>
        </w:trPr>
        <w:tc>
          <w:tcPr>
            <w:tcW w:type="dxa" w:w="9638"/>
            <w:shd w:val="clear" w:fill="F2F2F2"/>
          </w:tcPr>
          <w:p>
            <w:pPr>
              <w:spacing w:after="40"/>
            </w:pPr>
            <w:r/>
            <w:r>
              <w:rPr>
                <w:b/>
                <w:color w:val="003781"/>
                <w:sz w:val="19"/>
              </w:rPr>
              <w:t xml:space="preserve">The rule  </w:t>
            </w:r>
            <w:r>
              <w:rPr>
                <w:sz w:val="19"/>
              </w:rPr>
              <w:t>A bad year is a fall of twice a fund's volatility, about 1 year in 40. Each mark is twice the middle of the ESMA band.</w:t>
            </w:r>
          </w:p>
          <w:p>
            <w:pPr>
              <w:spacing w:after="40"/>
            </w:pPr>
            <w:r>
              <w:rPr>
                <w:b/>
                <w:color w:val="003781"/>
                <w:sz w:val="19"/>
              </w:rPr>
              <w:t xml:space="preserve">Against competitors  </w:t>
            </w:r>
            <w:r>
              <w:rPr>
                <w:sz w:val="19"/>
              </w:rPr>
              <w:t>Aviva uses the same rule but deducts its expected return, so its figures are a few points lower. Zurich's 5-year worst cases (11%, 21%, 32%, 37%) are higher. Ours sit between the two.</w:t>
            </w:r>
          </w:p>
          <w:p>
            <w:pPr>
              <w:spacing w:after="40"/>
            </w:pPr>
            <w:r>
              <w:rPr>
                <w:b/>
                <w:color w:val="003781"/>
                <w:sz w:val="19"/>
              </w:rPr>
              <w:t xml:space="preserve">To test  </w:t>
            </w:r>
            <w:r>
              <w:rPr>
                <w:sz w:val="19"/>
              </w:rPr>
              <w:t>Real markets can fall further than this assumes. Test against our funds' worst 12-month falls and KID stress scenarios before sign-off.</w:t>
            </w:r>
          </w:p>
        </w:tc>
      </w:tr>
    </w:tbl>
    <w:p>
      <w:pPr>
        <w:spacing w:after="40"/>
      </w:pPr>
    </w:p>
    <w:p>
      <w:r>
        <w:br w:type="page"/>
      </w:r>
    </w:p>
    <w:p>
      <w:pPr>
        <w:pStyle w:val="Heading1"/>
      </w:pPr>
      <w:r>
        <w:t>Appendix C. How competitors rate clients</w:t>
      </w:r>
    </w:p>
    <w:tbl>
      <w:tblPr>
        <w:tblStyle w:val="TableGrid"/>
        <w:tblW w:type="auto" w:w="0"/>
        <w:tblLayout w:type="fixed"/>
        <w:tblLook w:firstColumn="1" w:firstRow="1" w:lastColumn="0" w:lastRow="0" w:noHBand="0" w:noVBand="1" w:val="04A0"/>
      </w:tblPr>
      <w:tblGrid>
        <w:gridCol w:w="1662"/>
        <w:gridCol w:w="1662"/>
        <w:gridCol w:w="1662"/>
        <w:gridCol w:w="1662"/>
        <w:gridCol w:w="1662"/>
        <w:gridCol w:w="1662"/>
      </w:tblGrid>
      <w:tr>
        <w:trPr>
          <w:cantSplit/>
          <w:tblHeader/>
        </w:trPr>
        <w:tc>
          <w:tcPr>
            <w:tcW w:type="dxa" w:w="1413"/>
            <w:shd w:val="clear" w:fill="003781"/>
          </w:tcPr>
          <w:p>
            <w:pPr>
              <w:keepNext/>
              <w:spacing w:after="20"/>
            </w:pPr>
            <w:r/>
            <w:r>
              <w:rPr>
                <w:b/>
                <w:color w:val="FFFFFF"/>
                <w:sz w:val="18"/>
              </w:rPr>
              <w:t>Provider</w:t>
            </w:r>
          </w:p>
        </w:tc>
        <w:tc>
          <w:tcPr>
            <w:tcW w:type="dxa" w:w="1775"/>
            <w:shd w:val="clear" w:fill="003781"/>
          </w:tcPr>
          <w:p>
            <w:pPr>
              <w:keepNext/>
              <w:spacing w:after="20"/>
            </w:pPr>
            <w:r/>
            <w:r>
              <w:rPr>
                <w:b/>
                <w:color w:val="FFFFFF"/>
                <w:sz w:val="18"/>
              </w:rPr>
              <w:t>Questions</w:t>
            </w:r>
          </w:p>
        </w:tc>
        <w:tc>
          <w:tcPr>
            <w:tcW w:type="dxa" w:w="2799"/>
            <w:shd w:val="clear" w:fill="003781"/>
          </w:tcPr>
          <w:p>
            <w:pPr>
              <w:keepNext/>
              <w:spacing w:after="20"/>
            </w:pPr>
            <w:r/>
            <w:r>
              <w:rPr>
                <w:b/>
                <w:color w:val="FFFFFF"/>
                <w:sz w:val="18"/>
              </w:rPr>
              <w:t>How the rating is produced</w:t>
            </w:r>
          </w:p>
        </w:tc>
        <w:tc>
          <w:tcPr>
            <w:tcW w:type="dxa" w:w="1877"/>
            <w:shd w:val="clear" w:fill="003781"/>
          </w:tcPr>
          <w:p>
            <w:pPr>
              <w:keepNext/>
              <w:spacing w:after="20"/>
            </w:pPr>
            <w:r/>
            <w:r>
              <w:rPr>
                <w:b/>
                <w:color w:val="FFFFFF"/>
                <w:sz w:val="18"/>
              </w:rPr>
              <w:t>Capacity for loss</w:t>
            </w:r>
          </w:p>
        </w:tc>
        <w:tc>
          <w:tcPr>
            <w:tcW w:type="dxa" w:w="1050"/>
            <w:shd w:val="clear" w:fill="003781"/>
          </w:tcPr>
          <w:p>
            <w:pPr>
              <w:keepNext/>
              <w:spacing w:after="20"/>
            </w:pPr>
            <w:r/>
            <w:r>
              <w:rPr>
                <w:b/>
                <w:color w:val="FFFFFF"/>
                <w:sz w:val="18"/>
              </w:rPr>
              <w:t>Time horizon</w:t>
            </w:r>
          </w:p>
        </w:tc>
        <w:tc>
          <w:tcPr>
            <w:tcW w:type="dxa" w:w="724"/>
            <w:shd w:val="clear" w:fill="003781"/>
          </w:tcPr>
          <w:p>
            <w:pPr>
              <w:keepNext/>
              <w:spacing w:after="20"/>
            </w:pPr>
            <w:r/>
            <w:r>
              <w:rPr>
                <w:b/>
                <w:color w:val="FFFFFF"/>
                <w:sz w:val="18"/>
              </w:rPr>
              <w:t>Highest</w:t>
            </w:r>
          </w:p>
        </w:tc>
      </w:tr>
      <w:tr>
        <w:trPr>
          <w:cantSplit/>
        </w:trPr>
        <w:tc>
          <w:tcPr>
            <w:tcW w:type="dxa" w:w="1413"/>
          </w:tcPr>
          <w:p>
            <w:pPr>
              <w:keepNext/>
              <w:spacing w:after="20"/>
            </w:pPr>
            <w:r/>
            <w:r>
              <w:rPr>
                <w:b/>
                <w:sz w:val="18"/>
              </w:rPr>
              <w:t>Proposed</w:t>
            </w:r>
          </w:p>
        </w:tc>
        <w:tc>
          <w:tcPr>
            <w:tcW w:type="dxa" w:w="1775"/>
          </w:tcPr>
          <w:p>
            <w:pPr>
              <w:keepNext/>
              <w:spacing w:after="20"/>
            </w:pPr>
            <w:r/>
            <w:r>
              <w:rPr>
                <w:sz w:val="18"/>
              </w:rPr>
              <w:t>8 + date of birth (+ sustainability)</w:t>
            </w:r>
          </w:p>
        </w:tc>
        <w:tc>
          <w:tcPr>
            <w:tcW w:type="dxa" w:w="2799"/>
          </w:tcPr>
          <w:p>
            <w:pPr>
              <w:keepNext/>
              <w:spacing w:after="20"/>
            </w:pPr>
            <w:r/>
            <w:r>
              <w:rPr>
                <w:sz w:val="18"/>
              </w:rPr>
              <w:t>Attitude anchored on the loss answer, limited by horizon and capacity</w:t>
            </w:r>
          </w:p>
        </w:tc>
        <w:tc>
          <w:tcPr>
            <w:tcW w:type="dxa" w:w="1877"/>
          </w:tcPr>
          <w:p>
            <w:pPr>
              <w:keepNext/>
              <w:spacing w:after="20"/>
            </w:pPr>
            <w:r/>
            <w:r>
              <w:rPr>
                <w:sz w:val="18"/>
              </w:rPr>
              <w:t>2 questions; Low limits the rating to 4</w:t>
            </w:r>
          </w:p>
        </w:tc>
        <w:tc>
          <w:tcPr>
            <w:tcW w:type="dxa" w:w="1050"/>
          </w:tcPr>
          <w:p>
            <w:pPr>
              <w:keepNext/>
              <w:spacing w:after="20"/>
            </w:pPr>
            <w:r/>
            <w:r>
              <w:rPr>
                <w:sz w:val="18"/>
              </w:rPr>
              <w:t>Limits the rating</w:t>
            </w:r>
          </w:p>
        </w:tc>
        <w:tc>
          <w:tcPr>
            <w:tcW w:type="dxa" w:w="724"/>
          </w:tcPr>
          <w:p>
            <w:pPr>
              <w:keepNext/>
              <w:spacing w:after="20"/>
            </w:pPr>
            <w:r/>
            <w:r>
              <w:rPr>
                <w:sz w:val="18"/>
              </w:rPr>
              <w:t>6</w:t>
            </w:r>
          </w:p>
        </w:tc>
      </w:tr>
      <w:tr>
        <w:trPr>
          <w:cantSplit/>
        </w:trPr>
        <w:tc>
          <w:tcPr>
            <w:tcW w:type="dxa" w:w="1413"/>
            <w:shd w:val="clear" w:fill="EEF3F9"/>
          </w:tcPr>
          <w:p>
            <w:pPr>
              <w:keepNext/>
              <w:spacing w:after="20"/>
            </w:pPr>
            <w:r/>
            <w:r>
              <w:rPr>
                <w:b/>
                <w:sz w:val="18"/>
              </w:rPr>
              <w:t>Aviva</w:t>
            </w:r>
          </w:p>
        </w:tc>
        <w:tc>
          <w:tcPr>
            <w:tcW w:type="dxa" w:w="1775"/>
            <w:shd w:val="clear" w:fill="EEF3F9"/>
          </w:tcPr>
          <w:p>
            <w:pPr>
              <w:keepNext/>
              <w:spacing w:after="20"/>
            </w:pPr>
            <w:r/>
            <w:r>
              <w:rPr>
                <w:sz w:val="18"/>
              </w:rPr>
              <w:t>5 + term</w:t>
            </w:r>
          </w:p>
        </w:tc>
        <w:tc>
          <w:tcPr>
            <w:tcW w:type="dxa" w:w="2799"/>
            <w:shd w:val="clear" w:fill="EEF3F9"/>
          </w:tcPr>
          <w:p>
            <w:pPr>
              <w:keepNext/>
              <w:spacing w:after="20"/>
            </w:pPr>
            <w:r/>
            <w:r>
              <w:rPr>
                <w:sz w:val="18"/>
              </w:rPr>
              <w:t>Lookup of objective × maximum loss</w:t>
            </w:r>
          </w:p>
        </w:tc>
        <w:tc>
          <w:tcPr>
            <w:tcW w:type="dxa" w:w="1877"/>
            <w:shd w:val="clear" w:fill="EEF3F9"/>
          </w:tcPr>
          <w:p>
            <w:pPr>
              <w:keepNext/>
              <w:spacing w:after="20"/>
            </w:pPr>
            <w:r/>
            <w:r>
              <w:rPr>
                <w:sz w:val="18"/>
              </w:rPr>
              <w:t>Used only for prompts</w:t>
            </w:r>
          </w:p>
        </w:tc>
        <w:tc>
          <w:tcPr>
            <w:tcW w:type="dxa" w:w="1050"/>
            <w:shd w:val="clear" w:fill="EEF3F9"/>
          </w:tcPr>
          <w:p>
            <w:pPr>
              <w:keepNext/>
              <w:spacing w:after="20"/>
            </w:pPr>
            <w:r/>
            <w:r>
              <w:rPr>
                <w:sz w:val="18"/>
              </w:rPr>
              <w:t>Charts only</w:t>
            </w:r>
          </w:p>
        </w:tc>
        <w:tc>
          <w:tcPr>
            <w:tcW w:type="dxa" w:w="724"/>
            <w:shd w:val="clear" w:fill="EEF3F9"/>
          </w:tcPr>
          <w:p>
            <w:pPr>
              <w:keepNext/>
              <w:spacing w:after="20"/>
            </w:pPr>
            <w:r/>
            <w:r>
              <w:rPr>
                <w:sz w:val="18"/>
              </w:rPr>
              <w:t>6</w:t>
            </w:r>
          </w:p>
        </w:tc>
      </w:tr>
      <w:tr>
        <w:trPr>
          <w:cantSplit/>
        </w:trPr>
        <w:tc>
          <w:tcPr>
            <w:tcW w:type="dxa" w:w="1413"/>
          </w:tcPr>
          <w:p>
            <w:pPr>
              <w:keepNext/>
              <w:spacing w:after="20"/>
            </w:pPr>
            <w:r/>
            <w:r>
              <w:rPr>
                <w:b/>
                <w:sz w:val="18"/>
              </w:rPr>
              <w:t>Zurich</w:t>
            </w:r>
          </w:p>
        </w:tc>
        <w:tc>
          <w:tcPr>
            <w:tcW w:type="dxa" w:w="1775"/>
          </w:tcPr>
          <w:p>
            <w:pPr>
              <w:keepNext/>
              <w:spacing w:after="20"/>
            </w:pPr>
            <w:r/>
            <w:r>
              <w:rPr>
                <w:sz w:val="18"/>
              </w:rPr>
              <w:t>9</w:t>
            </w:r>
          </w:p>
        </w:tc>
        <w:tc>
          <w:tcPr>
            <w:tcW w:type="dxa" w:w="2799"/>
          </w:tcPr>
          <w:p>
            <w:pPr>
              <w:keepNext/>
              <w:spacing w:after="20"/>
            </w:pPr>
            <w:r/>
            <w:r>
              <w:rPr>
                <w:sz w:val="18"/>
              </w:rPr>
              <w:t>Points, adjusted for age, term and knowledge</w:t>
            </w:r>
          </w:p>
        </w:tc>
        <w:tc>
          <w:tcPr>
            <w:tcW w:type="dxa" w:w="1877"/>
          </w:tcPr>
          <w:p>
            <w:pPr>
              <w:keepNext/>
              <w:spacing w:after="20"/>
            </w:pPr>
            <w:r/>
            <w:r>
              <w:rPr>
                <w:sz w:val="18"/>
              </w:rPr>
              <w:t>2 questions; shown separately</w:t>
            </w:r>
          </w:p>
        </w:tc>
        <w:tc>
          <w:tcPr>
            <w:tcW w:type="dxa" w:w="1050"/>
          </w:tcPr>
          <w:p>
            <w:pPr>
              <w:keepNext/>
              <w:spacing w:after="20"/>
            </w:pPr>
            <w:r/>
            <w:r>
              <w:rPr>
                <w:sz w:val="18"/>
              </w:rPr>
              <w:t>Adjusts the score</w:t>
            </w:r>
          </w:p>
        </w:tc>
        <w:tc>
          <w:tcPr>
            <w:tcW w:type="dxa" w:w="724"/>
          </w:tcPr>
          <w:p>
            <w:pPr>
              <w:keepNext/>
              <w:spacing w:after="20"/>
            </w:pPr>
            <w:r/>
            <w:r>
              <w:rPr>
                <w:sz w:val="18"/>
              </w:rPr>
              <w:t>7</w:t>
            </w:r>
          </w:p>
        </w:tc>
      </w:tr>
      <w:tr>
        <w:trPr>
          <w:cantSplit/>
        </w:trPr>
        <w:tc>
          <w:tcPr>
            <w:tcW w:type="dxa" w:w="1413"/>
            <w:shd w:val="clear" w:fill="EEF3F9"/>
          </w:tcPr>
          <w:p>
            <w:pPr>
              <w:spacing w:after="20"/>
            </w:pPr>
            <w:r/>
            <w:r>
              <w:rPr>
                <w:b/>
                <w:sz w:val="18"/>
              </w:rPr>
              <w:t>Standard Life / Irish Life</w:t>
            </w:r>
          </w:p>
        </w:tc>
        <w:tc>
          <w:tcPr>
            <w:tcW w:type="dxa" w:w="1775"/>
            <w:shd w:val="clear" w:fill="EEF3F9"/>
          </w:tcPr>
          <w:p>
            <w:pPr>
              <w:spacing w:after="20"/>
            </w:pPr>
            <w:r/>
            <w:r>
              <w:rPr>
                <w:sz w:val="18"/>
              </w:rPr>
              <w:t>13 / 15</w:t>
            </w:r>
          </w:p>
        </w:tc>
        <w:tc>
          <w:tcPr>
            <w:tcW w:type="dxa" w:w="2799"/>
            <w:shd w:val="clear" w:fill="EEF3F9"/>
          </w:tcPr>
          <w:p>
            <w:pPr>
              <w:spacing w:after="20"/>
            </w:pPr>
            <w:r/>
            <w:r>
              <w:rPr>
                <w:sz w:val="18"/>
              </w:rPr>
              <w:t>Total score in bands (EV questionnaire)</w:t>
            </w:r>
          </w:p>
        </w:tc>
        <w:tc>
          <w:tcPr>
            <w:tcW w:type="dxa" w:w="1877"/>
            <w:shd w:val="clear" w:fill="EEF3F9"/>
          </w:tcPr>
          <w:p>
            <w:pPr>
              <w:spacing w:after="20"/>
            </w:pPr>
            <w:r/>
            <w:r>
              <w:rPr>
                <w:sz w:val="18"/>
              </w:rPr>
              <w:t>Not assessed</w:t>
            </w:r>
          </w:p>
        </w:tc>
        <w:tc>
          <w:tcPr>
            <w:tcW w:type="dxa" w:w="1050"/>
            <w:shd w:val="clear" w:fill="EEF3F9"/>
          </w:tcPr>
          <w:p>
            <w:pPr>
              <w:spacing w:after="20"/>
            </w:pPr>
            <w:r/>
            <w:r>
              <w:rPr>
                <w:sz w:val="18"/>
              </w:rPr>
              <w:t>Not assessed</w:t>
            </w:r>
          </w:p>
        </w:tc>
        <w:tc>
          <w:tcPr>
            <w:tcW w:type="dxa" w:w="724"/>
            <w:shd w:val="clear" w:fill="EEF3F9"/>
          </w:tcPr>
          <w:p>
            <w:pPr>
              <w:spacing w:after="20"/>
            </w:pPr>
            <w:r/>
            <w:r>
              <w:rPr>
                <w:sz w:val="18"/>
              </w:rPr>
              <w:t>SL 6; IL 7</w:t>
            </w:r>
          </w:p>
        </w:tc>
      </w:tr>
    </w:tbl>
    <w:p>
      <w:pPr>
        <w:spacing w:after="40"/>
      </w:pPr>
    </w:p>
    <w:p>
      <w:r>
        <w:t xml:space="preserve">The full competitor questions are in </w:t>
      </w:r>
      <w:r>
        <w:t>docs/risk-questionnaires.md</w:t>
      </w:r>
      <w: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7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7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378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