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Risk profiler – proposed questions and scoring</w:t>
      </w:r>
    </w:p>
    <w:p>
      <w:r>
        <w:t>A proposed client risk questionnaire that gives a rating on the ESMA 1 to 7 scale. The highest rating it gives is 6. It has 8 questions and a date of birth. This draft is for discussion. Every cut-off is a proposal for Compliance to confirm.</w:t>
      </w:r>
    </w:p>
    <w:p>
      <w:pPr>
        <w:pStyle w:val="Heading1"/>
      </w:pPr>
      <w:r>
        <w:t>1. At a glance</w:t>
      </w:r>
    </w:p>
    <w:tbl>
      <w:tblPr>
        <w:tblStyle w:val="TableGrid"/>
        <w:tblW w:type="auto" w:w="0"/>
        <w:tblLayout w:type="fixed"/>
        <w:tblLook w:firstColumn="1" w:firstRow="1" w:lastColumn="0" w:lastRow="0" w:noHBand="0" w:noVBand="1" w:val="04A0"/>
      </w:tblPr>
      <w:tblGrid>
        <w:gridCol w:w="2493"/>
        <w:gridCol w:w="2493"/>
        <w:gridCol w:w="2493"/>
        <w:gridCol w:w="2493"/>
      </w:tblGrid>
      <w:tr>
        <w:trPr>
          <w:cantSplit/>
          <w:tblHeader/>
        </w:trPr>
        <w:tc>
          <w:tcPr>
            <w:tcW w:type="dxa" w:w="2261"/>
            <w:shd w:val="clear" w:fill="003781"/>
          </w:tcPr>
          <w:p>
            <w:pPr>
              <w:keepNext/>
              <w:spacing w:after="20"/>
            </w:pPr>
            <w:r/>
            <w:r>
              <w:rPr>
                <w:b/>
                <w:color w:val="FFFFFF"/>
                <w:sz w:val="19"/>
              </w:rPr>
              <w:t>Part</w:t>
            </w:r>
          </w:p>
        </w:tc>
        <w:tc>
          <w:tcPr>
            <w:tcW w:type="dxa" w:w="708"/>
            <w:shd w:val="clear" w:fill="003781"/>
          </w:tcPr>
          <w:p>
            <w:pPr>
              <w:keepNext/>
              <w:spacing w:after="20"/>
            </w:pPr>
            <w:r/>
            <w:r>
              <w:rPr>
                <w:b/>
                <w:color w:val="FFFFFF"/>
                <w:sz w:val="19"/>
              </w:rPr>
              <w:t>#</w:t>
            </w:r>
          </w:p>
        </w:tc>
        <w:tc>
          <w:tcPr>
            <w:tcW w:type="dxa" w:w="3973"/>
            <w:shd w:val="clear" w:fill="003781"/>
          </w:tcPr>
          <w:p>
            <w:pPr>
              <w:keepNext/>
              <w:spacing w:after="20"/>
            </w:pPr>
            <w:r/>
            <w:r>
              <w:rPr>
                <w:b/>
                <w:color w:val="FFFFFF"/>
                <w:sz w:val="19"/>
              </w:rPr>
              <w:t>Question</w:t>
            </w:r>
          </w:p>
        </w:tc>
        <w:tc>
          <w:tcPr>
            <w:tcW w:type="dxa" w:w="2696"/>
            <w:shd w:val="clear" w:fill="003781"/>
          </w:tcPr>
          <w:p>
            <w:pPr>
              <w:keepNext/>
              <w:spacing w:after="20"/>
            </w:pPr>
            <w:r/>
            <w:r>
              <w:rPr>
                <w:b/>
                <w:color w:val="FFFFFF"/>
                <w:sz w:val="19"/>
              </w:rPr>
              <w:t>Feeds</w:t>
            </w:r>
          </w:p>
        </w:tc>
      </w:tr>
      <w:tr>
        <w:trPr>
          <w:cantSplit/>
        </w:trPr>
        <w:tc>
          <w:tcPr>
            <w:tcW w:type="dxa" w:w="2261"/>
          </w:tcPr>
          <w:p>
            <w:pPr>
              <w:keepNext/>
              <w:spacing w:after="20"/>
            </w:pPr>
            <w:r/>
            <w:r>
              <w:rPr>
                <w:sz w:val="19"/>
              </w:rPr>
              <w:t>Your finances</w:t>
            </w:r>
          </w:p>
        </w:tc>
        <w:tc>
          <w:tcPr>
            <w:tcW w:type="dxa" w:w="708"/>
          </w:tcPr>
          <w:p>
            <w:pPr>
              <w:keepNext/>
              <w:spacing w:after="20"/>
            </w:pPr>
            <w:r/>
            <w:r>
              <w:rPr>
                <w:sz w:val="19"/>
              </w:rPr>
              <w:t>Q1</w:t>
            </w:r>
          </w:p>
        </w:tc>
        <w:tc>
          <w:tcPr>
            <w:tcW w:type="dxa" w:w="3973"/>
          </w:tcPr>
          <w:p>
            <w:pPr>
              <w:keepNext/>
              <w:spacing w:after="20"/>
            </w:pPr>
            <w:r/>
            <w:r>
              <w:rPr>
                <w:sz w:val="19"/>
              </w:rPr>
              <w:t>Financial cushion</w:t>
            </w:r>
          </w:p>
        </w:tc>
        <w:tc>
          <w:tcPr>
            <w:tcW w:type="dxa" w:w="2696"/>
          </w:tcPr>
          <w:p>
            <w:pPr>
              <w:keepNext/>
              <w:spacing w:after="20"/>
            </w:pPr>
            <w:r/>
            <w:r>
              <w:rPr>
                <w:sz w:val="19"/>
              </w:rPr>
              <w:t>Capacity for loss</w:t>
            </w:r>
          </w:p>
        </w:tc>
      </w:tr>
      <w:tr>
        <w:trPr>
          <w:cantSplit/>
        </w:trPr>
        <w:tc>
          <w:tcPr>
            <w:tcW w:type="dxa" w:w="2261"/>
            <w:shd w:val="clear" w:fill="EEF3F9"/>
          </w:tcPr>
          <w:p>
            <w:pPr>
              <w:keepNext/>
              <w:spacing w:after="20"/>
            </w:pPr>
            <w:r/>
          </w:p>
        </w:tc>
        <w:tc>
          <w:tcPr>
            <w:tcW w:type="dxa" w:w="708"/>
            <w:shd w:val="clear" w:fill="EEF3F9"/>
          </w:tcPr>
          <w:p>
            <w:pPr>
              <w:keepNext/>
              <w:spacing w:after="20"/>
            </w:pPr>
            <w:r/>
            <w:r>
              <w:rPr>
                <w:sz w:val="19"/>
              </w:rPr>
              <w:t>Q2</w:t>
            </w:r>
          </w:p>
        </w:tc>
        <w:tc>
          <w:tcPr>
            <w:tcW w:type="dxa" w:w="3973"/>
            <w:shd w:val="clear" w:fill="EEF3F9"/>
          </w:tcPr>
          <w:p>
            <w:pPr>
              <w:keepNext/>
              <w:spacing w:after="20"/>
            </w:pPr>
            <w:r/>
            <w:r>
              <w:rPr>
                <w:sz w:val="19"/>
              </w:rPr>
              <w:t>Impact of a loss</w:t>
            </w:r>
          </w:p>
        </w:tc>
        <w:tc>
          <w:tcPr>
            <w:tcW w:type="dxa" w:w="2696"/>
            <w:shd w:val="clear" w:fill="EEF3F9"/>
          </w:tcPr>
          <w:p>
            <w:pPr>
              <w:keepNext/>
              <w:spacing w:after="20"/>
            </w:pPr>
            <w:r/>
            <w:r>
              <w:rPr>
                <w:sz w:val="19"/>
              </w:rPr>
              <w:t>Capacity for loss</w:t>
            </w:r>
          </w:p>
        </w:tc>
      </w:tr>
      <w:tr>
        <w:trPr>
          <w:cantSplit/>
        </w:trPr>
        <w:tc>
          <w:tcPr>
            <w:tcW w:type="dxa" w:w="2261"/>
          </w:tcPr>
          <w:p>
            <w:pPr>
              <w:keepNext/>
              <w:spacing w:after="20"/>
            </w:pPr>
            <w:r/>
            <w:r>
              <w:rPr>
                <w:sz w:val="19"/>
              </w:rPr>
              <w:t>Your timing</w:t>
            </w:r>
          </w:p>
        </w:tc>
        <w:tc>
          <w:tcPr>
            <w:tcW w:type="dxa" w:w="708"/>
          </w:tcPr>
          <w:p>
            <w:pPr>
              <w:keepNext/>
              <w:spacing w:after="20"/>
            </w:pPr>
            <w:r/>
            <w:r>
              <w:rPr>
                <w:sz w:val="19"/>
              </w:rPr>
              <w:t>Q3</w:t>
            </w:r>
          </w:p>
        </w:tc>
        <w:tc>
          <w:tcPr>
            <w:tcW w:type="dxa" w:w="3973"/>
          </w:tcPr>
          <w:p>
            <w:pPr>
              <w:keepNext/>
              <w:spacing w:after="20"/>
            </w:pPr>
            <w:r/>
            <w:r>
              <w:rPr>
                <w:sz w:val="19"/>
              </w:rPr>
              <w:t>Investment horizon</w:t>
            </w:r>
          </w:p>
        </w:tc>
        <w:tc>
          <w:tcPr>
            <w:tcW w:type="dxa" w:w="2696"/>
          </w:tcPr>
          <w:p>
            <w:pPr>
              <w:keepNext/>
              <w:spacing w:after="20"/>
            </w:pPr>
            <w:r/>
            <w:r>
              <w:rPr>
                <w:sz w:val="19"/>
              </w:rPr>
              <w:t>Time limit</w:t>
            </w:r>
          </w:p>
        </w:tc>
      </w:tr>
      <w:tr>
        <w:trPr>
          <w:cantSplit/>
        </w:trPr>
        <w:tc>
          <w:tcPr>
            <w:tcW w:type="dxa" w:w="2261"/>
            <w:shd w:val="clear" w:fill="EEF3F9"/>
          </w:tcPr>
          <w:p>
            <w:pPr>
              <w:keepNext/>
              <w:spacing w:after="20"/>
            </w:pPr>
            <w:r/>
            <w:r>
              <w:rPr>
                <w:sz w:val="19"/>
              </w:rPr>
              <w:t>Your attitude to risk</w:t>
            </w:r>
          </w:p>
        </w:tc>
        <w:tc>
          <w:tcPr>
            <w:tcW w:type="dxa" w:w="708"/>
            <w:shd w:val="clear" w:fill="EEF3F9"/>
          </w:tcPr>
          <w:p>
            <w:pPr>
              <w:keepNext/>
              <w:spacing w:after="20"/>
            </w:pPr>
            <w:r/>
            <w:r>
              <w:rPr>
                <w:sz w:val="19"/>
              </w:rPr>
              <w:t>Q4</w:t>
            </w:r>
          </w:p>
        </w:tc>
        <w:tc>
          <w:tcPr>
            <w:tcW w:type="dxa" w:w="3973"/>
            <w:shd w:val="clear" w:fill="EEF3F9"/>
          </w:tcPr>
          <w:p>
            <w:pPr>
              <w:keepNext/>
              <w:spacing w:after="20"/>
            </w:pPr>
            <w:r/>
            <w:r>
              <w:rPr>
                <w:sz w:val="19"/>
              </w:rPr>
              <w:t>Largest 12-month fall you could accept (slider)</w:t>
            </w:r>
          </w:p>
        </w:tc>
        <w:tc>
          <w:tcPr>
            <w:tcW w:type="dxa" w:w="2696"/>
            <w:shd w:val="clear" w:fill="EEF3F9"/>
          </w:tcPr>
          <w:p>
            <w:pPr>
              <w:keepNext/>
              <w:spacing w:after="20"/>
            </w:pPr>
            <w:r/>
            <w:r>
              <w:rPr>
                <w:sz w:val="19"/>
              </w:rPr>
              <w:t>Attitude rating</w:t>
            </w:r>
          </w:p>
        </w:tc>
      </w:tr>
      <w:tr>
        <w:trPr>
          <w:cantSplit/>
        </w:trPr>
        <w:tc>
          <w:tcPr>
            <w:tcW w:type="dxa" w:w="2261"/>
          </w:tcPr>
          <w:p>
            <w:pPr>
              <w:keepNext/>
              <w:spacing w:after="20"/>
            </w:pPr>
            <w:r/>
          </w:p>
        </w:tc>
        <w:tc>
          <w:tcPr>
            <w:tcW w:type="dxa" w:w="708"/>
          </w:tcPr>
          <w:p>
            <w:pPr>
              <w:keepNext/>
              <w:spacing w:after="20"/>
            </w:pPr>
            <w:r/>
            <w:r>
              <w:rPr>
                <w:sz w:val="19"/>
              </w:rPr>
              <w:t>Q5</w:t>
            </w:r>
          </w:p>
        </w:tc>
        <w:tc>
          <w:tcPr>
            <w:tcW w:type="dxa" w:w="3973"/>
          </w:tcPr>
          <w:p>
            <w:pPr>
              <w:keepNext/>
              <w:spacing w:after="20"/>
            </w:pPr>
            <w:r/>
            <w:r>
              <w:rPr>
                <w:sz w:val="19"/>
              </w:rPr>
              <w:t>What you would do after a 20% fall</w:t>
            </w:r>
          </w:p>
        </w:tc>
        <w:tc>
          <w:tcPr>
            <w:tcW w:type="dxa" w:w="2696"/>
          </w:tcPr>
          <w:p>
            <w:pPr>
              <w:keepNext/>
              <w:spacing w:after="20"/>
            </w:pPr>
            <w:r/>
            <w:r>
              <w:rPr>
                <w:sz w:val="19"/>
              </w:rPr>
              <w:t>Attitude rating</w:t>
            </w:r>
          </w:p>
        </w:tc>
      </w:tr>
      <w:tr>
        <w:trPr>
          <w:cantSplit/>
        </w:trPr>
        <w:tc>
          <w:tcPr>
            <w:tcW w:type="dxa" w:w="2261"/>
            <w:shd w:val="clear" w:fill="EEF3F9"/>
          </w:tcPr>
          <w:p>
            <w:pPr>
              <w:keepNext/>
              <w:spacing w:after="20"/>
            </w:pPr>
            <w:r/>
          </w:p>
        </w:tc>
        <w:tc>
          <w:tcPr>
            <w:tcW w:type="dxa" w:w="708"/>
            <w:shd w:val="clear" w:fill="EEF3F9"/>
          </w:tcPr>
          <w:p>
            <w:pPr>
              <w:keepNext/>
              <w:spacing w:after="20"/>
            </w:pPr>
            <w:r/>
            <w:r>
              <w:rPr>
                <w:sz w:val="19"/>
              </w:rPr>
              <w:t>Q6</w:t>
            </w:r>
          </w:p>
        </w:tc>
        <w:tc>
          <w:tcPr>
            <w:tcW w:type="dxa" w:w="3973"/>
            <w:shd w:val="clear" w:fill="EEF3F9"/>
          </w:tcPr>
          <w:p>
            <w:pPr>
              <w:keepNext/>
              <w:spacing w:after="20"/>
            </w:pPr>
            <w:r/>
            <w:r>
              <w:rPr>
                <w:sz w:val="19"/>
              </w:rPr>
              <w:t>What you want from the investment</w:t>
            </w:r>
          </w:p>
        </w:tc>
        <w:tc>
          <w:tcPr>
            <w:tcW w:type="dxa" w:w="2696"/>
            <w:shd w:val="clear" w:fill="EEF3F9"/>
          </w:tcPr>
          <w:p>
            <w:pPr>
              <w:keepNext/>
              <w:spacing w:after="20"/>
            </w:pPr>
            <w:r/>
            <w:r>
              <w:rPr>
                <w:sz w:val="19"/>
              </w:rPr>
              <w:t>Attitude rating</w:t>
            </w:r>
          </w:p>
        </w:tc>
      </w:tr>
      <w:tr>
        <w:trPr>
          <w:cantSplit/>
        </w:trPr>
        <w:tc>
          <w:tcPr>
            <w:tcW w:type="dxa" w:w="2261"/>
          </w:tcPr>
          <w:p>
            <w:pPr>
              <w:keepNext/>
              <w:spacing w:after="20"/>
            </w:pPr>
            <w:r/>
            <w:r>
              <w:rPr>
                <w:sz w:val="19"/>
              </w:rPr>
              <w:t>Your knowledge</w:t>
            </w:r>
          </w:p>
        </w:tc>
        <w:tc>
          <w:tcPr>
            <w:tcW w:type="dxa" w:w="708"/>
          </w:tcPr>
          <w:p>
            <w:pPr>
              <w:keepNext/>
              <w:spacing w:after="20"/>
            </w:pPr>
            <w:r/>
            <w:r>
              <w:rPr>
                <w:sz w:val="19"/>
              </w:rPr>
              <w:t>Q7</w:t>
            </w:r>
          </w:p>
        </w:tc>
        <w:tc>
          <w:tcPr>
            <w:tcW w:type="dxa" w:w="3973"/>
          </w:tcPr>
          <w:p>
            <w:pPr>
              <w:keepNext/>
              <w:spacing w:after="20"/>
            </w:pPr>
            <w:r/>
            <w:r>
              <w:rPr>
                <w:sz w:val="19"/>
              </w:rPr>
              <w:t>Knowledge and experience</w:t>
            </w:r>
          </w:p>
        </w:tc>
        <w:tc>
          <w:tcPr>
            <w:tcW w:type="dxa" w:w="2696"/>
          </w:tcPr>
          <w:p>
            <w:pPr>
              <w:keepNext/>
              <w:spacing w:after="20"/>
            </w:pPr>
            <w:r/>
            <w:r>
              <w:rPr>
                <w:sz w:val="19"/>
              </w:rPr>
              <w:t>Knowledge level (flag only)</w:t>
            </w:r>
          </w:p>
        </w:tc>
      </w:tr>
      <w:tr>
        <w:trPr>
          <w:cantSplit/>
        </w:trPr>
        <w:tc>
          <w:tcPr>
            <w:tcW w:type="dxa" w:w="2261"/>
            <w:shd w:val="clear" w:fill="EEF3F9"/>
          </w:tcPr>
          <w:p>
            <w:pPr>
              <w:keepNext/>
              <w:spacing w:after="20"/>
            </w:pPr>
            <w:r/>
          </w:p>
        </w:tc>
        <w:tc>
          <w:tcPr>
            <w:tcW w:type="dxa" w:w="708"/>
            <w:shd w:val="clear" w:fill="EEF3F9"/>
          </w:tcPr>
          <w:p>
            <w:pPr>
              <w:keepNext/>
              <w:spacing w:after="20"/>
            </w:pPr>
            <w:r/>
            <w:r>
              <w:rPr>
                <w:sz w:val="19"/>
              </w:rPr>
              <w:t>Q8</w:t>
            </w:r>
          </w:p>
        </w:tc>
        <w:tc>
          <w:tcPr>
            <w:tcW w:type="dxa" w:w="3973"/>
            <w:shd w:val="clear" w:fill="EEF3F9"/>
          </w:tcPr>
          <w:p>
            <w:pPr>
              <w:keepNext/>
              <w:spacing w:after="20"/>
            </w:pPr>
            <w:r/>
            <w:r>
              <w:rPr>
                <w:sz w:val="19"/>
              </w:rPr>
              <w:t>Knowledge check (rank by risk)</w:t>
            </w:r>
          </w:p>
        </w:tc>
        <w:tc>
          <w:tcPr>
            <w:tcW w:type="dxa" w:w="2696"/>
            <w:shd w:val="clear" w:fill="EEF3F9"/>
          </w:tcPr>
          <w:p>
            <w:pPr>
              <w:keepNext/>
              <w:spacing w:after="20"/>
            </w:pPr>
            <w:r/>
            <w:r>
              <w:rPr>
                <w:sz w:val="19"/>
              </w:rPr>
              <w:t>Knowledge level (flag only)</w:t>
            </w:r>
          </w:p>
        </w:tc>
      </w:tr>
      <w:tr>
        <w:trPr>
          <w:cantSplit/>
        </w:trPr>
        <w:tc>
          <w:tcPr>
            <w:tcW w:type="dxa" w:w="2261"/>
          </w:tcPr>
          <w:p>
            <w:pPr>
              <w:spacing w:after="20"/>
            </w:pPr>
            <w:r/>
            <w:r>
              <w:rPr>
                <w:sz w:val="19"/>
              </w:rPr>
              <w:t>About you</w:t>
            </w:r>
          </w:p>
        </w:tc>
        <w:tc>
          <w:tcPr>
            <w:tcW w:type="dxa" w:w="708"/>
          </w:tcPr>
          <w:p>
            <w:pPr>
              <w:spacing w:after="20"/>
            </w:pPr>
            <w:r/>
            <w:r>
              <w:rPr>
                <w:sz w:val="19"/>
              </w:rPr>
              <w:t>DOB</w:t>
            </w:r>
          </w:p>
        </w:tc>
        <w:tc>
          <w:tcPr>
            <w:tcW w:type="dxa" w:w="3973"/>
          </w:tcPr>
          <w:p>
            <w:pPr>
              <w:spacing w:after="20"/>
            </w:pPr>
            <w:r/>
            <w:r>
              <w:rPr>
                <w:sz w:val="19"/>
              </w:rPr>
              <w:t>Date of birth</w:t>
            </w:r>
          </w:p>
        </w:tc>
        <w:tc>
          <w:tcPr>
            <w:tcW w:type="dxa" w:w="2696"/>
          </w:tcPr>
          <w:p>
            <w:pPr>
              <w:spacing w:after="20"/>
            </w:pPr>
            <w:r/>
            <w:r>
              <w:rPr>
                <w:sz w:val="19"/>
              </w:rPr>
              <w:t>Flag only</w:t>
            </w:r>
          </w:p>
        </w:tc>
      </w:tr>
    </w:tbl>
    <w:p>
      <w:pPr>
        <w:spacing w:after="40"/>
      </w:pPr>
    </w:p>
    <w:p>
      <w:pPr>
        <w:pStyle w:val="Heading2"/>
      </w:pPr>
      <w:r>
        <w:t>How the rating is worked out</w:t>
      </w:r>
    </w:p>
    <w:tbl>
      <w:tblPr>
        <w:tblStyle w:val="TableGrid"/>
        <w:tblW w:type="auto" w:w="0"/>
        <w:tblLayout w:type="fixed"/>
        <w:tblLook w:firstColumn="1" w:firstRow="1" w:lastColumn="0" w:lastRow="0" w:noHBand="0" w:noVBand="1" w:val="04A0"/>
      </w:tblPr>
      <w:tblGrid>
        <w:gridCol w:w="2493"/>
        <w:gridCol w:w="2493"/>
        <w:gridCol w:w="2493"/>
        <w:gridCol w:w="2493"/>
      </w:tblGrid>
      <w:tr>
        <w:trPr>
          <w:cantSplit/>
          <w:tblHeader/>
        </w:trPr>
        <w:tc>
          <w:tcPr>
            <w:tcW w:type="dxa" w:w="623"/>
            <w:shd w:val="clear" w:fill="003781"/>
          </w:tcPr>
          <w:p>
            <w:pPr>
              <w:keepNext/>
              <w:spacing w:after="20"/>
            </w:pPr>
            <w:r/>
            <w:r>
              <w:rPr>
                <w:b/>
                <w:color w:val="FFFFFF"/>
                <w:sz w:val="19"/>
              </w:rPr>
              <w:t>Step</w:t>
            </w:r>
          </w:p>
        </w:tc>
        <w:tc>
          <w:tcPr>
            <w:tcW w:type="dxa" w:w="1703"/>
            <w:shd w:val="clear" w:fill="003781"/>
          </w:tcPr>
          <w:p>
            <w:pPr>
              <w:keepNext/>
              <w:spacing w:after="20"/>
            </w:pPr>
            <w:r/>
            <w:r>
              <w:rPr>
                <w:b/>
                <w:color w:val="FFFFFF"/>
                <w:sz w:val="19"/>
              </w:rPr>
              <w:t>What</w:t>
            </w:r>
          </w:p>
        </w:tc>
        <w:tc>
          <w:tcPr>
            <w:tcW w:type="dxa" w:w="5470"/>
            <w:shd w:val="clear" w:fill="003781"/>
          </w:tcPr>
          <w:p>
            <w:pPr>
              <w:keepNext/>
              <w:spacing w:after="20"/>
            </w:pPr>
            <w:r/>
            <w:r>
              <w:rPr>
                <w:b/>
                <w:color w:val="FFFFFF"/>
                <w:sz w:val="19"/>
              </w:rPr>
              <w:t>How</w:t>
            </w:r>
          </w:p>
        </w:tc>
        <w:tc>
          <w:tcPr>
            <w:tcW w:type="dxa" w:w="1841"/>
            <w:shd w:val="clear" w:fill="003781"/>
          </w:tcPr>
          <w:p>
            <w:pPr>
              <w:keepNext/>
              <w:spacing w:after="20"/>
            </w:pPr>
            <w:r/>
            <w:r>
              <w:rPr>
                <w:b/>
                <w:color w:val="FFFFFF"/>
                <w:sz w:val="19"/>
              </w:rPr>
              <w:t>Gives</w:t>
            </w:r>
          </w:p>
        </w:tc>
      </w:tr>
      <w:tr>
        <w:trPr>
          <w:cantSplit/>
        </w:trPr>
        <w:tc>
          <w:tcPr>
            <w:tcW w:type="dxa" w:w="623"/>
          </w:tcPr>
          <w:p>
            <w:pPr>
              <w:keepNext/>
              <w:spacing w:after="20"/>
            </w:pPr>
            <w:r/>
            <w:r>
              <w:rPr>
                <w:sz w:val="19"/>
              </w:rPr>
              <w:t>1</w:t>
            </w:r>
          </w:p>
        </w:tc>
        <w:tc>
          <w:tcPr>
            <w:tcW w:type="dxa" w:w="1703"/>
          </w:tcPr>
          <w:p>
            <w:pPr>
              <w:keepNext/>
              <w:spacing w:after="20"/>
            </w:pPr>
            <w:r/>
            <w:r>
              <w:rPr>
                <w:sz w:val="19"/>
              </w:rPr>
              <w:t>Attitude rating</w:t>
            </w:r>
          </w:p>
        </w:tc>
        <w:tc>
          <w:tcPr>
            <w:tcW w:type="dxa" w:w="5470"/>
          </w:tcPr>
          <w:p>
            <w:pPr>
              <w:keepNext/>
              <w:spacing w:after="20"/>
            </w:pPr>
            <w:r/>
            <w:r>
              <w:rPr>
                <w:sz w:val="19"/>
              </w:rPr>
              <w:t>Middle value (median) of the ratings from Q4, Q5 and Q6, and no more than one level above the Q4 rating</w:t>
            </w:r>
          </w:p>
        </w:tc>
        <w:tc>
          <w:tcPr>
            <w:tcW w:type="dxa" w:w="1841"/>
          </w:tcPr>
          <w:p>
            <w:pPr>
              <w:keepNext/>
              <w:spacing w:after="20"/>
            </w:pPr>
            <w:r/>
            <w:r>
              <w:rPr>
                <w:sz w:val="19"/>
              </w:rPr>
              <w:t>1 to 6</w:t>
            </w:r>
          </w:p>
        </w:tc>
      </w:tr>
      <w:tr>
        <w:trPr>
          <w:cantSplit/>
        </w:trPr>
        <w:tc>
          <w:tcPr>
            <w:tcW w:type="dxa" w:w="623"/>
            <w:shd w:val="clear" w:fill="EEF3F9"/>
          </w:tcPr>
          <w:p>
            <w:pPr>
              <w:keepNext/>
              <w:spacing w:after="20"/>
            </w:pPr>
            <w:r/>
            <w:r>
              <w:rPr>
                <w:sz w:val="19"/>
              </w:rPr>
              <w:t>2</w:t>
            </w:r>
          </w:p>
        </w:tc>
        <w:tc>
          <w:tcPr>
            <w:tcW w:type="dxa" w:w="1703"/>
            <w:shd w:val="clear" w:fill="EEF3F9"/>
          </w:tcPr>
          <w:p>
            <w:pPr>
              <w:keepNext/>
              <w:spacing w:after="20"/>
            </w:pPr>
            <w:r/>
            <w:r>
              <w:rPr>
                <w:sz w:val="19"/>
              </w:rPr>
              <w:t>Time limit</w:t>
            </w:r>
          </w:p>
        </w:tc>
        <w:tc>
          <w:tcPr>
            <w:tcW w:type="dxa" w:w="5470"/>
            <w:shd w:val="clear" w:fill="EEF3F9"/>
          </w:tcPr>
          <w:p>
            <w:pPr>
              <w:keepNext/>
              <w:spacing w:after="20"/>
            </w:pPr>
            <w:r/>
            <w:r>
              <w:rPr>
                <w:sz w:val="19"/>
              </w:rPr>
              <w:t>From Q3</w:t>
            </w:r>
          </w:p>
        </w:tc>
        <w:tc>
          <w:tcPr>
            <w:tcW w:type="dxa" w:w="1841"/>
            <w:shd w:val="clear" w:fill="EEF3F9"/>
          </w:tcPr>
          <w:p>
            <w:pPr>
              <w:keepNext/>
              <w:spacing w:after="20"/>
            </w:pPr>
            <w:r/>
            <w:r>
              <w:rPr>
                <w:sz w:val="19"/>
              </w:rPr>
              <w:t>1, 2, 4, 6 or none</w:t>
            </w:r>
          </w:p>
        </w:tc>
      </w:tr>
      <w:tr>
        <w:trPr>
          <w:cantSplit/>
        </w:trPr>
        <w:tc>
          <w:tcPr>
            <w:tcW w:type="dxa" w:w="623"/>
          </w:tcPr>
          <w:p>
            <w:pPr>
              <w:keepNext/>
              <w:spacing w:after="20"/>
            </w:pPr>
            <w:r/>
          </w:p>
        </w:tc>
        <w:tc>
          <w:tcPr>
            <w:tcW w:type="dxa" w:w="1703"/>
          </w:tcPr>
          <w:p>
            <w:pPr>
              <w:keepNext/>
              <w:spacing w:after="20"/>
            </w:pPr>
            <w:r/>
            <w:r>
              <w:rPr>
                <w:sz w:val="19"/>
              </w:rPr>
              <w:t>Risk rating</w:t>
            </w:r>
          </w:p>
        </w:tc>
        <w:tc>
          <w:tcPr>
            <w:tcW w:type="dxa" w:w="5470"/>
          </w:tcPr>
          <w:p>
            <w:pPr>
              <w:keepNext/>
              <w:spacing w:after="20"/>
            </w:pPr>
            <w:r/>
            <w:r>
              <w:rPr>
                <w:sz w:val="19"/>
              </w:rPr>
              <w:t>The lower of steps 1 and 2, and never above 6. The adviser may lower it, with a recorded reason. When the time limit lowers the result, the client is told why.</w:t>
            </w:r>
          </w:p>
        </w:tc>
        <w:tc>
          <w:tcPr>
            <w:tcW w:type="dxa" w:w="1841"/>
          </w:tcPr>
          <w:p>
            <w:pPr>
              <w:keepNext/>
              <w:spacing w:after="20"/>
            </w:pPr>
            <w:r/>
            <w:r>
              <w:rPr>
                <w:sz w:val="19"/>
              </w:rPr>
              <w:t>1 to 6</w:t>
            </w:r>
          </w:p>
        </w:tc>
      </w:tr>
      <w:tr>
        <w:trPr>
          <w:cantSplit/>
        </w:trPr>
        <w:tc>
          <w:tcPr>
            <w:tcW w:type="dxa" w:w="623"/>
            <w:shd w:val="clear" w:fill="EEF3F9"/>
          </w:tcPr>
          <w:p>
            <w:pPr>
              <w:spacing w:after="20"/>
            </w:pPr>
            <w:r/>
          </w:p>
        </w:tc>
        <w:tc>
          <w:tcPr>
            <w:tcW w:type="dxa" w:w="1703"/>
            <w:shd w:val="clear" w:fill="EEF3F9"/>
          </w:tcPr>
          <w:p>
            <w:pPr>
              <w:spacing w:after="20"/>
            </w:pPr>
            <w:r/>
            <w:r>
              <w:rPr>
                <w:sz w:val="19"/>
              </w:rPr>
              <w:t>Capacity for loss</w:t>
            </w:r>
          </w:p>
        </w:tc>
        <w:tc>
          <w:tcPr>
            <w:tcW w:type="dxa" w:w="5470"/>
            <w:shd w:val="clear" w:fill="EEF3F9"/>
          </w:tcPr>
          <w:p>
            <w:pPr>
              <w:spacing w:after="20"/>
            </w:pPr>
            <w:r/>
            <w:r>
              <w:rPr>
                <w:sz w:val="19"/>
              </w:rPr>
              <w:t>Shown alongside the rating, as Zurich does; it does not change the rating. Q1 + Q2 = 2 to 6: Low (2–3), Medium (4), High (5–6). Less than 3 months' savings (Q1), or relying on the money (Q2), cannot reach High. If capacity is below what the rating needs, the client is asked to confirm, as Aviva does, and the adviser records how it is addressed.</w:t>
            </w:r>
          </w:p>
        </w:tc>
        <w:tc>
          <w:tcPr>
            <w:tcW w:type="dxa" w:w="1841"/>
            <w:shd w:val="clear" w:fill="EEF3F9"/>
          </w:tcPr>
          <w:p>
            <w:pPr>
              <w:spacing w:after="20"/>
            </w:pPr>
            <w:r/>
            <w:r>
              <w:rPr>
                <w:sz w:val="19"/>
              </w:rPr>
              <w:t>Low, Medium or High</w:t>
            </w:r>
          </w:p>
        </w:tc>
      </w:tr>
    </w:tbl>
    <w:p>
      <w:pPr>
        <w:spacing w:after="40"/>
      </w:pPr>
    </w:p>
    <w:p>
      <w:pPr>
        <w:pStyle w:val="Heading2"/>
      </w:pPr>
      <w:r>
        <w:t>The ESMA scale</w:t>
      </w:r>
    </w:p>
    <w:tbl>
      <w:tblPr>
        <w:tblStyle w:val="TableGrid"/>
        <w:tblW w:type="auto" w:w="0"/>
        <w:tblLayout w:type="fixed"/>
        <w:tblLook w:firstColumn="1" w:firstRow="1" w:lastColumn="0" w:lastRow="0" w:noHBand="0" w:noVBand="1" w:val="04A0"/>
      </w:tblPr>
      <w:tblGrid>
        <w:gridCol w:w="1246"/>
        <w:gridCol w:w="1246"/>
        <w:gridCol w:w="1246"/>
        <w:gridCol w:w="1246"/>
        <w:gridCol w:w="1246"/>
        <w:gridCol w:w="1246"/>
        <w:gridCol w:w="1246"/>
        <w:gridCol w:w="1246"/>
      </w:tblGrid>
      <w:tr>
        <w:trPr>
          <w:cantSplit/>
          <w:tblHeader/>
        </w:trPr>
        <w:tc>
          <w:tcPr>
            <w:tcW w:type="dxa" w:w="1311"/>
            <w:shd w:val="clear" w:fill="003781"/>
          </w:tcPr>
          <w:p>
            <w:pPr>
              <w:keepNext/>
              <w:spacing w:after="20"/>
            </w:pPr>
            <w:r/>
            <w:r>
              <w:rPr>
                <w:b/>
                <w:color w:val="FFFFFF"/>
                <w:sz w:val="18"/>
              </w:rPr>
              <w:t>Rating</w:t>
            </w:r>
          </w:p>
        </w:tc>
        <w:tc>
          <w:tcPr>
            <w:tcW w:type="dxa" w:w="1122"/>
            <w:shd w:val="clear" w:fill="003781"/>
          </w:tcPr>
          <w:p>
            <w:pPr>
              <w:keepNext/>
              <w:spacing w:after="20"/>
            </w:pPr>
            <w:r/>
            <w:r>
              <w:rPr>
                <w:b/>
                <w:color w:val="FFFFFF"/>
                <w:sz w:val="18"/>
              </w:rPr>
              <w:t>1</w:t>
            </w:r>
          </w:p>
        </w:tc>
        <w:tc>
          <w:tcPr>
            <w:tcW w:type="dxa" w:w="917"/>
            <w:shd w:val="clear" w:fill="003781"/>
          </w:tcPr>
          <w:p>
            <w:pPr>
              <w:keepNext/>
              <w:spacing w:after="20"/>
            </w:pPr>
            <w:r/>
            <w:r>
              <w:rPr>
                <w:b/>
                <w:color w:val="FFFFFF"/>
                <w:sz w:val="18"/>
              </w:rPr>
              <w:t>2</w:t>
            </w:r>
          </w:p>
        </w:tc>
        <w:tc>
          <w:tcPr>
            <w:tcW w:type="dxa" w:w="1576"/>
            <w:shd w:val="clear" w:fill="003781"/>
          </w:tcPr>
          <w:p>
            <w:pPr>
              <w:keepNext/>
              <w:spacing w:after="20"/>
            </w:pPr>
            <w:r/>
            <w:r>
              <w:rPr>
                <w:b/>
                <w:color w:val="FFFFFF"/>
                <w:sz w:val="18"/>
              </w:rPr>
              <w:t>3</w:t>
            </w:r>
          </w:p>
        </w:tc>
        <w:tc>
          <w:tcPr>
            <w:tcW w:type="dxa" w:w="917"/>
            <w:shd w:val="clear" w:fill="003781"/>
          </w:tcPr>
          <w:p>
            <w:pPr>
              <w:keepNext/>
              <w:spacing w:after="20"/>
            </w:pPr>
            <w:r/>
            <w:r>
              <w:rPr>
                <w:b/>
                <w:color w:val="FFFFFF"/>
                <w:sz w:val="18"/>
              </w:rPr>
              <w:t>4</w:t>
            </w:r>
          </w:p>
        </w:tc>
        <w:tc>
          <w:tcPr>
            <w:tcW w:type="dxa" w:w="1660"/>
            <w:shd w:val="clear" w:fill="003781"/>
          </w:tcPr>
          <w:p>
            <w:pPr>
              <w:keepNext/>
              <w:spacing w:after="20"/>
            </w:pPr>
            <w:r/>
            <w:r>
              <w:rPr>
                <w:b/>
                <w:color w:val="FFFFFF"/>
                <w:sz w:val="18"/>
              </w:rPr>
              <w:t>5</w:t>
            </w:r>
          </w:p>
        </w:tc>
        <w:tc>
          <w:tcPr>
            <w:tcW w:type="dxa" w:w="917"/>
            <w:shd w:val="clear" w:fill="003781"/>
          </w:tcPr>
          <w:p>
            <w:pPr>
              <w:keepNext/>
              <w:spacing w:after="20"/>
            </w:pPr>
            <w:r/>
            <w:r>
              <w:rPr>
                <w:b/>
                <w:color w:val="FFFFFF"/>
                <w:sz w:val="18"/>
              </w:rPr>
              <w:t>6</w:t>
            </w:r>
          </w:p>
        </w:tc>
        <w:tc>
          <w:tcPr>
            <w:tcW w:type="dxa" w:w="1218"/>
            <w:shd w:val="clear" w:fill="003781"/>
          </w:tcPr>
          <w:p>
            <w:pPr>
              <w:keepNext/>
              <w:spacing w:after="20"/>
            </w:pPr>
            <w:r/>
            <w:r>
              <w:rPr>
                <w:b/>
                <w:color w:val="FFFFFF"/>
                <w:sz w:val="18"/>
              </w:rPr>
              <w:t>7</w:t>
            </w:r>
          </w:p>
        </w:tc>
      </w:tr>
      <w:tr>
        <w:trPr>
          <w:cantSplit/>
        </w:trPr>
        <w:tc>
          <w:tcPr>
            <w:tcW w:type="dxa" w:w="1311"/>
          </w:tcPr>
          <w:p>
            <w:pPr>
              <w:keepNext/>
              <w:spacing w:after="20"/>
            </w:pPr>
            <w:r/>
            <w:r>
              <w:rPr>
                <w:b/>
                <w:sz w:val="18"/>
              </w:rPr>
              <w:t>Volatility</w:t>
            </w:r>
          </w:p>
        </w:tc>
        <w:tc>
          <w:tcPr>
            <w:tcW w:type="dxa" w:w="1122"/>
          </w:tcPr>
          <w:p>
            <w:pPr>
              <w:keepNext/>
              <w:spacing w:after="20"/>
            </w:pPr>
            <w:r/>
            <w:r>
              <w:rPr>
                <w:sz w:val="18"/>
              </w:rPr>
              <w:t>0–0.5%</w:t>
            </w:r>
          </w:p>
        </w:tc>
        <w:tc>
          <w:tcPr>
            <w:tcW w:type="dxa" w:w="917"/>
          </w:tcPr>
          <w:p>
            <w:pPr>
              <w:keepNext/>
              <w:spacing w:after="20"/>
            </w:pPr>
            <w:r/>
            <w:r>
              <w:rPr>
                <w:sz w:val="18"/>
              </w:rPr>
              <w:t>0.5–2%</w:t>
            </w:r>
          </w:p>
        </w:tc>
        <w:tc>
          <w:tcPr>
            <w:tcW w:type="dxa" w:w="1576"/>
          </w:tcPr>
          <w:p>
            <w:pPr>
              <w:keepNext/>
              <w:spacing w:after="20"/>
            </w:pPr>
            <w:r/>
            <w:r>
              <w:rPr>
                <w:sz w:val="18"/>
              </w:rPr>
              <w:t>2–5%</w:t>
            </w:r>
          </w:p>
        </w:tc>
        <w:tc>
          <w:tcPr>
            <w:tcW w:type="dxa" w:w="917"/>
          </w:tcPr>
          <w:p>
            <w:pPr>
              <w:keepNext/>
              <w:spacing w:after="20"/>
            </w:pPr>
            <w:r/>
            <w:r>
              <w:rPr>
                <w:sz w:val="18"/>
              </w:rPr>
              <w:t>5–10%</w:t>
            </w:r>
          </w:p>
        </w:tc>
        <w:tc>
          <w:tcPr>
            <w:tcW w:type="dxa" w:w="1660"/>
          </w:tcPr>
          <w:p>
            <w:pPr>
              <w:keepNext/>
              <w:spacing w:after="20"/>
            </w:pPr>
            <w:r/>
            <w:r>
              <w:rPr>
                <w:sz w:val="18"/>
              </w:rPr>
              <w:t>10–15%</w:t>
            </w:r>
          </w:p>
        </w:tc>
        <w:tc>
          <w:tcPr>
            <w:tcW w:type="dxa" w:w="917"/>
          </w:tcPr>
          <w:p>
            <w:pPr>
              <w:keepNext/>
              <w:spacing w:after="20"/>
            </w:pPr>
            <w:r/>
            <w:r>
              <w:rPr>
                <w:sz w:val="18"/>
              </w:rPr>
              <w:t>15–25%</w:t>
            </w:r>
          </w:p>
        </w:tc>
        <w:tc>
          <w:tcPr>
            <w:tcW w:type="dxa" w:w="1218"/>
          </w:tcPr>
          <w:p>
            <w:pPr>
              <w:keepNext/>
              <w:spacing w:after="20"/>
            </w:pPr>
            <w:r/>
            <w:r>
              <w:rPr>
                <w:sz w:val="18"/>
              </w:rPr>
              <w:t>over 25%</w:t>
            </w:r>
          </w:p>
        </w:tc>
      </w:tr>
      <w:tr>
        <w:trPr>
          <w:cantSplit/>
        </w:trPr>
        <w:tc>
          <w:tcPr>
            <w:tcW w:type="dxa" w:w="1311"/>
            <w:shd w:val="clear" w:fill="EEF3F9"/>
          </w:tcPr>
          <w:p>
            <w:pPr>
              <w:spacing w:after="20"/>
            </w:pPr>
            <w:r/>
            <w:r>
              <w:rPr>
                <w:b/>
                <w:sz w:val="18"/>
              </w:rPr>
              <w:t>Risk</w:t>
            </w:r>
          </w:p>
        </w:tc>
        <w:tc>
          <w:tcPr>
            <w:tcW w:type="dxa" w:w="1122"/>
            <w:shd w:val="clear" w:fill="EEF3F9"/>
          </w:tcPr>
          <w:p>
            <w:pPr>
              <w:spacing w:after="20"/>
            </w:pPr>
            <w:r/>
            <w:r>
              <w:rPr>
                <w:sz w:val="18"/>
              </w:rPr>
              <w:t>Very low</w:t>
            </w:r>
          </w:p>
        </w:tc>
        <w:tc>
          <w:tcPr>
            <w:tcW w:type="dxa" w:w="917"/>
            <w:shd w:val="clear" w:fill="EEF3F9"/>
          </w:tcPr>
          <w:p>
            <w:pPr>
              <w:spacing w:after="20"/>
            </w:pPr>
            <w:r/>
            <w:r>
              <w:rPr>
                <w:sz w:val="18"/>
              </w:rPr>
              <w:t>Low</w:t>
            </w:r>
          </w:p>
        </w:tc>
        <w:tc>
          <w:tcPr>
            <w:tcW w:type="dxa" w:w="1576"/>
            <w:shd w:val="clear" w:fill="EEF3F9"/>
          </w:tcPr>
          <w:p>
            <w:pPr>
              <w:spacing w:after="20"/>
            </w:pPr>
            <w:r/>
            <w:r>
              <w:rPr>
                <w:sz w:val="18"/>
              </w:rPr>
              <w:t>Low to medium</w:t>
            </w:r>
          </w:p>
        </w:tc>
        <w:tc>
          <w:tcPr>
            <w:tcW w:type="dxa" w:w="917"/>
            <w:shd w:val="clear" w:fill="EEF3F9"/>
          </w:tcPr>
          <w:p>
            <w:pPr>
              <w:spacing w:after="20"/>
            </w:pPr>
            <w:r/>
            <w:r>
              <w:rPr>
                <w:sz w:val="18"/>
              </w:rPr>
              <w:t>Medium</w:t>
            </w:r>
          </w:p>
        </w:tc>
        <w:tc>
          <w:tcPr>
            <w:tcW w:type="dxa" w:w="1660"/>
            <w:shd w:val="clear" w:fill="EEF3F9"/>
          </w:tcPr>
          <w:p>
            <w:pPr>
              <w:spacing w:after="20"/>
            </w:pPr>
            <w:r/>
            <w:r>
              <w:rPr>
                <w:sz w:val="18"/>
              </w:rPr>
              <w:t>Medium to high</w:t>
            </w:r>
          </w:p>
        </w:tc>
        <w:tc>
          <w:tcPr>
            <w:tcW w:type="dxa" w:w="917"/>
            <w:shd w:val="clear" w:fill="EEF3F9"/>
          </w:tcPr>
          <w:p>
            <w:pPr>
              <w:spacing w:after="20"/>
            </w:pPr>
            <w:r/>
            <w:r>
              <w:rPr>
                <w:sz w:val="18"/>
              </w:rPr>
              <w:t>High</w:t>
            </w:r>
          </w:p>
        </w:tc>
        <w:tc>
          <w:tcPr>
            <w:tcW w:type="dxa" w:w="1218"/>
            <w:shd w:val="clear" w:fill="EEF3F9"/>
          </w:tcPr>
          <w:p>
            <w:pPr>
              <w:spacing w:after="20"/>
            </w:pPr>
            <w:r/>
            <w:r>
              <w:rPr>
                <w:sz w:val="18"/>
              </w:rPr>
              <w:t>Very high</w:t>
            </w:r>
          </w:p>
        </w:tc>
      </w:tr>
    </w:tbl>
    <w:p>
      <w:pPr>
        <w:spacing w:after="40"/>
      </w:pPr>
    </w:p>
    <w:p>
      <w:r>
        <w:br w:type="page"/>
      </w:r>
    </w:p>
    <w:p>
      <w:pPr>
        <w:pStyle w:val="Heading1"/>
      </w:pPr>
      <w:r>
        <w:t>2. The questions</w:t>
      </w:r>
    </w:p>
    <w:p>
      <w:r>
        <w:rPr>
          <w:i/>
        </w:rPr>
        <w:t>Each question shows the wording and answers first. The grey box underneath explains why it is asked, what competitors ask, and the ESMA basis.</w:t>
      </w:r>
    </w:p>
    <w:p>
      <w:pPr>
        <w:pStyle w:val="Heading2"/>
      </w:pPr>
      <w:r>
        <w:t>Part A – Your finances</w:t>
      </w:r>
    </w:p>
    <w:p>
      <w:pPr>
        <w:keepNext/>
        <w:spacing w:before="120"/>
      </w:pPr>
      <w:r>
        <w:rPr>
          <w:b/>
          <w:color w:val="003781"/>
          <w:sz w:val="22"/>
        </w:rPr>
        <w:t>Q1  Financial cushion</w:t>
      </w:r>
    </w:p>
    <w:p>
      <w:pPr>
        <w:keepNext/>
      </w:pPr>
      <w:r>
        <w:rPr>
          <w:b/>
          <w:sz w:val="24"/>
        </w:rPr>
        <w:t>If your income stopped, how long could you cover your normal spending (including any loan or mortgage repayments and support for family) from savings other than this investment?</w:t>
      </w:r>
    </w:p>
    <w:tbl>
      <w:tblPr>
        <w:tblStyle w:val="TableGrid"/>
        <w:tblW w:type="auto" w:w="0"/>
        <w:tblLayout w:type="fixed"/>
        <w:tblLook w:firstColumn="1" w:firstRow="1" w:lastColumn="0" w:lastRow="0" w:noHBand="0" w:noVBand="1" w:val="04A0"/>
      </w:tblPr>
      <w:tblGrid>
        <w:gridCol w:w="4986"/>
        <w:gridCol w:w="4986"/>
      </w:tblGrid>
      <w:tr>
        <w:trPr>
          <w:cantSplit/>
          <w:tblHeader/>
        </w:trPr>
        <w:tc>
          <w:tcPr>
            <w:tcW w:type="dxa" w:w="7087"/>
            <w:shd w:val="clear" w:fill="003781"/>
          </w:tcPr>
          <w:p>
            <w:pPr>
              <w:keepNext/>
              <w:spacing w:after="20"/>
            </w:pPr>
            <w:r/>
            <w:r>
              <w:rPr>
                <w:b/>
                <w:color w:val="FFFFFF"/>
                <w:sz w:val="20"/>
              </w:rPr>
              <w:t>Answer</w:t>
            </w:r>
          </w:p>
        </w:tc>
        <w:tc>
          <w:tcPr>
            <w:tcW w:type="dxa" w:w="2551"/>
            <w:shd w:val="clear" w:fill="003781"/>
          </w:tcPr>
          <w:p>
            <w:pPr>
              <w:keepNext/>
              <w:spacing w:after="20"/>
            </w:pPr>
            <w:r/>
            <w:r>
              <w:rPr>
                <w:b/>
                <w:color w:val="FFFFFF"/>
                <w:sz w:val="20"/>
              </w:rPr>
              <w:t>Points</w:t>
            </w:r>
          </w:p>
        </w:tc>
      </w:tr>
      <w:tr>
        <w:trPr>
          <w:cantSplit/>
        </w:trPr>
        <w:tc>
          <w:tcPr>
            <w:tcW w:type="dxa" w:w="7087"/>
          </w:tcPr>
          <w:p>
            <w:pPr>
              <w:keepNext/>
              <w:spacing w:after="20"/>
            </w:pPr>
            <w:r/>
            <w:r>
              <w:rPr>
                <w:sz w:val="20"/>
              </w:rPr>
              <w:t>12 months or more</w:t>
            </w:r>
          </w:p>
        </w:tc>
        <w:tc>
          <w:tcPr>
            <w:tcW w:type="dxa" w:w="2551"/>
          </w:tcPr>
          <w:p>
            <w:pPr>
              <w:keepNext/>
              <w:spacing w:after="20"/>
            </w:pPr>
            <w:r/>
            <w:r>
              <w:rPr>
                <w:sz w:val="20"/>
              </w:rPr>
              <w:t>3</w:t>
            </w:r>
          </w:p>
        </w:tc>
      </w:tr>
      <w:tr>
        <w:trPr>
          <w:cantSplit/>
        </w:trPr>
        <w:tc>
          <w:tcPr>
            <w:tcW w:type="dxa" w:w="7087"/>
            <w:shd w:val="clear" w:fill="EEF3F9"/>
          </w:tcPr>
          <w:p>
            <w:pPr>
              <w:keepNext/>
              <w:spacing w:after="20"/>
            </w:pPr>
            <w:r/>
            <w:r>
              <w:rPr>
                <w:sz w:val="20"/>
              </w:rPr>
              <w:t>3 to 11 months</w:t>
            </w:r>
          </w:p>
        </w:tc>
        <w:tc>
          <w:tcPr>
            <w:tcW w:type="dxa" w:w="2551"/>
            <w:shd w:val="clear" w:fill="EEF3F9"/>
          </w:tcPr>
          <w:p>
            <w:pPr>
              <w:keepNext/>
              <w:spacing w:after="20"/>
            </w:pPr>
            <w:r/>
            <w:r>
              <w:rPr>
                <w:sz w:val="20"/>
              </w:rPr>
              <w:t>2</w:t>
            </w:r>
          </w:p>
        </w:tc>
      </w:tr>
      <w:tr>
        <w:trPr>
          <w:cantSplit/>
        </w:trPr>
        <w:tc>
          <w:tcPr>
            <w:tcW w:type="dxa" w:w="7087"/>
          </w:tcPr>
          <w:p>
            <w:pPr>
              <w:keepNext/>
              <w:spacing w:after="20"/>
            </w:pPr>
            <w:r/>
            <w:r>
              <w:rPr>
                <w:sz w:val="20"/>
              </w:rPr>
              <w:t>Less than 3 months</w:t>
            </w:r>
          </w:p>
        </w:tc>
        <w:tc>
          <w:tcPr>
            <w:tcW w:type="dxa" w:w="2551"/>
          </w:tcPr>
          <w:p>
            <w:pPr>
              <w:keepNext/>
              <w:spacing w:after="20"/>
            </w:pPr>
            <w:r/>
            <w:r>
              <w:rPr>
                <w:sz w:val="20"/>
              </w:rPr>
              <w:t>1</w:t>
            </w:r>
          </w:p>
        </w:tc>
      </w:tr>
    </w:tbl>
    <w:p>
      <w:pPr>
        <w:spacing w:after="40"/>
      </w:pPr>
    </w:p>
    <w:tbl>
      <w:tblPr>
        <w:tblW w:type="auto" w:w="0"/>
        <w:tblLayout w:type="fixed"/>
        <w:tblLook w:firstColumn="1" w:firstRow="1" w:lastColumn="0" w:lastRow="0" w:noHBand="0" w:noVBand="1" w:val="04A0"/>
      </w:tblPr>
      <w:tblGrid>
        <w:gridCol w:w="9972"/>
      </w:tblGrid>
      <w:tr>
        <w:trPr>
          <w:cantSplit/>
        </w:trPr>
        <w:tc>
          <w:tcPr>
            <w:tcW w:type="dxa" w:w="9638"/>
            <w:shd w:val="clear" w:fill="F2F2F2"/>
          </w:tcPr>
          <w:p>
            <w:pPr>
              <w:spacing w:after="40"/>
            </w:pPr>
            <w:r/>
            <w:r>
              <w:rPr>
                <w:b/>
                <w:color w:val="003781"/>
                <w:sz w:val="18"/>
              </w:rPr>
              <w:t xml:space="preserve">Why we ask  </w:t>
            </w:r>
            <w:r>
              <w:rPr>
                <w:sz w:val="18"/>
              </w:rPr>
              <w:t>One question replaces the earlier income, commitments and savings questions. "Normal spending" already includes loan repayments and dependants, and "if your income stopped" tests how secure the income is. It shows what the client could actually fall back on, and it is a fact they can work out, not a self-assessment.</w:t>
            </w:r>
          </w:p>
          <w:p>
            <w:pPr>
              <w:spacing w:after="40"/>
            </w:pPr>
            <w:r>
              <w:rPr>
                <w:b/>
                <w:color w:val="003781"/>
                <w:sz w:val="18"/>
              </w:rPr>
              <w:t xml:space="preserve">Competitors  </w:t>
            </w:r>
            <w:r>
              <w:rPr>
                <w:sz w:val="18"/>
              </w:rPr>
              <w:t>Zurich Q8: "Do you have other savings available to you, should you encounter a financial emergency?" (none / some, not earmarked / yes, specific savings). Not asked by Aviva, Standard Life or Irish Life.</w:t>
            </w:r>
          </w:p>
          <w:p>
            <w:pPr>
              <w:spacing w:after="40"/>
            </w:pPr>
            <w:r>
              <w:rPr>
                <w:b/>
                <w:color w:val="003781"/>
                <w:sz w:val="18"/>
              </w:rPr>
              <w:t xml:space="preserve">ESMA  </w:t>
            </w:r>
            <w:r>
              <w:rPr>
                <w:sz w:val="18"/>
              </w:rPr>
              <w:t>Liquid assets, regular commitments and source of income (para 37); ask for facts, not whether the client feels they have enough (para 46); family situation (para 24).</w:t>
            </w:r>
          </w:p>
        </w:tc>
      </w:tr>
    </w:tbl>
    <w:p>
      <w:pPr>
        <w:spacing w:after="40"/>
      </w:pPr>
    </w:p>
    <w:p>
      <w:pPr>
        <w:keepNext/>
        <w:spacing w:before="120"/>
      </w:pPr>
      <w:r>
        <w:rPr>
          <w:b/>
          <w:color w:val="003781"/>
          <w:sz w:val="22"/>
        </w:rPr>
        <w:t>Q2  Impact of a loss</w:t>
      </w:r>
    </w:p>
    <w:p>
      <w:pPr>
        <w:keepNext/>
      </w:pPr>
      <w:r>
        <w:rPr>
          <w:b/>
          <w:sz w:val="24"/>
        </w:rPr>
        <w:t>If this investment lost a large part of its value, what impact would this have on your finances?</w:t>
      </w:r>
    </w:p>
    <w:tbl>
      <w:tblPr>
        <w:tblStyle w:val="TableGrid"/>
        <w:tblW w:type="auto" w:w="0"/>
        <w:tblLayout w:type="fixed"/>
        <w:tblLook w:firstColumn="1" w:firstRow="1" w:lastColumn="0" w:lastRow="0" w:noHBand="0" w:noVBand="1" w:val="04A0"/>
      </w:tblPr>
      <w:tblGrid>
        <w:gridCol w:w="4986"/>
        <w:gridCol w:w="4986"/>
      </w:tblGrid>
      <w:tr>
        <w:trPr>
          <w:cantSplit/>
          <w:tblHeader/>
        </w:trPr>
        <w:tc>
          <w:tcPr>
            <w:tcW w:type="dxa" w:w="7087"/>
            <w:shd w:val="clear" w:fill="003781"/>
          </w:tcPr>
          <w:p>
            <w:pPr>
              <w:keepNext/>
              <w:spacing w:after="20"/>
            </w:pPr>
            <w:r/>
            <w:r>
              <w:rPr>
                <w:b/>
                <w:color w:val="FFFFFF"/>
                <w:sz w:val="20"/>
              </w:rPr>
              <w:t>Answer</w:t>
            </w:r>
          </w:p>
        </w:tc>
        <w:tc>
          <w:tcPr>
            <w:tcW w:type="dxa" w:w="2551"/>
            <w:shd w:val="clear" w:fill="003781"/>
          </w:tcPr>
          <w:p>
            <w:pPr>
              <w:keepNext/>
              <w:spacing w:after="20"/>
            </w:pPr>
            <w:r/>
            <w:r>
              <w:rPr>
                <w:b/>
                <w:color w:val="FFFFFF"/>
                <w:sz w:val="20"/>
              </w:rPr>
              <w:t>Points</w:t>
            </w:r>
          </w:p>
        </w:tc>
      </w:tr>
      <w:tr>
        <w:trPr>
          <w:cantSplit/>
        </w:trPr>
        <w:tc>
          <w:tcPr>
            <w:tcW w:type="dxa" w:w="7087"/>
          </w:tcPr>
          <w:p>
            <w:pPr>
              <w:keepNext/>
              <w:spacing w:after="20"/>
            </w:pPr>
            <w:r/>
            <w:r>
              <w:rPr>
                <w:sz w:val="20"/>
              </w:rPr>
              <w:t>A big impact: I need this money for a specific purpose, and losing part of it would put me in difficulty</w:t>
            </w:r>
          </w:p>
        </w:tc>
        <w:tc>
          <w:tcPr>
            <w:tcW w:type="dxa" w:w="2551"/>
          </w:tcPr>
          <w:p>
            <w:pPr>
              <w:keepNext/>
              <w:spacing w:after="20"/>
            </w:pPr>
            <w:r/>
            <w:r>
              <w:rPr>
                <w:sz w:val="20"/>
              </w:rPr>
              <w:t>1</w:t>
            </w:r>
          </w:p>
        </w:tc>
      </w:tr>
      <w:tr>
        <w:trPr>
          <w:cantSplit/>
        </w:trPr>
        <w:tc>
          <w:tcPr>
            <w:tcW w:type="dxa" w:w="7087"/>
            <w:shd w:val="clear" w:fill="EEF3F9"/>
          </w:tcPr>
          <w:p>
            <w:pPr>
              <w:keepNext/>
              <w:spacing w:after="20"/>
            </w:pPr>
            <w:r/>
            <w:r>
              <w:rPr>
                <w:sz w:val="20"/>
              </w:rPr>
              <w:t>Some impact: I would need to make adjustments to my plans, but I could manage</w:t>
            </w:r>
          </w:p>
        </w:tc>
        <w:tc>
          <w:tcPr>
            <w:tcW w:type="dxa" w:w="2551"/>
            <w:shd w:val="clear" w:fill="EEF3F9"/>
          </w:tcPr>
          <w:p>
            <w:pPr>
              <w:keepNext/>
              <w:spacing w:after="20"/>
            </w:pPr>
            <w:r/>
            <w:r>
              <w:rPr>
                <w:sz w:val="20"/>
              </w:rPr>
              <w:t>2</w:t>
            </w:r>
          </w:p>
        </w:tc>
      </w:tr>
      <w:tr>
        <w:trPr>
          <w:cantSplit/>
        </w:trPr>
        <w:tc>
          <w:tcPr>
            <w:tcW w:type="dxa" w:w="7087"/>
          </w:tcPr>
          <w:p>
            <w:pPr>
              <w:keepNext/>
              <w:spacing w:after="20"/>
            </w:pPr>
            <w:r/>
            <w:r>
              <w:rPr>
                <w:sz w:val="20"/>
              </w:rPr>
              <w:t>Little or no impact: I have other savings and income to rely on</w:t>
            </w:r>
          </w:p>
        </w:tc>
        <w:tc>
          <w:tcPr>
            <w:tcW w:type="dxa" w:w="2551"/>
          </w:tcPr>
          <w:p>
            <w:pPr>
              <w:keepNext/>
              <w:spacing w:after="20"/>
            </w:pPr>
            <w:r/>
            <w:r>
              <w:rPr>
                <w:sz w:val="20"/>
              </w:rPr>
              <w:t>3</w:t>
            </w:r>
          </w:p>
        </w:tc>
      </w:tr>
    </w:tbl>
    <w:p>
      <w:pPr>
        <w:spacing w:after="40"/>
      </w:pPr>
    </w:p>
    <w:tbl>
      <w:tblPr>
        <w:tblW w:type="auto" w:w="0"/>
        <w:tblLayout w:type="fixed"/>
        <w:tblLook w:firstColumn="1" w:firstRow="1" w:lastColumn="0" w:lastRow="0" w:noHBand="0" w:noVBand="1" w:val="04A0"/>
      </w:tblPr>
      <w:tblGrid>
        <w:gridCol w:w="9972"/>
      </w:tblGrid>
      <w:tr>
        <w:trPr>
          <w:cantSplit/>
        </w:trPr>
        <w:tc>
          <w:tcPr>
            <w:tcW w:type="dxa" w:w="9638"/>
            <w:shd w:val="clear" w:fill="F2F2F2"/>
          </w:tcPr>
          <w:p>
            <w:pPr>
              <w:spacing w:after="40"/>
            </w:pPr>
            <w:r/>
            <w:r>
              <w:rPr>
                <w:b/>
                <w:color w:val="003781"/>
                <w:sz w:val="18"/>
              </w:rPr>
              <w:t xml:space="preserve">Why we ask  </w:t>
            </w:r>
            <w:r>
              <w:rPr>
                <w:sz w:val="18"/>
              </w:rPr>
              <w:t>Shows how much a loss would matter to the client. Q1 measures the cash buffer; this measures the effect on their finances. Follows Zurich's structure (big / some / no impact), in our own words: "a large part of its value" replaces "perform poorly", and each answer says what the impact would be.</w:t>
            </w:r>
          </w:p>
          <w:p>
            <w:pPr>
              <w:spacing w:after="40"/>
            </w:pPr>
            <w:r>
              <w:rPr>
                <w:b/>
                <w:color w:val="003781"/>
                <w:sz w:val="18"/>
              </w:rPr>
              <w:t xml:space="preserve">Competitors  </w:t>
            </w:r>
            <w:r>
              <w:rPr>
                <w:sz w:val="18"/>
              </w:rPr>
              <w:t>Aviva Q2: "How important to you is the investment you are considering now?" (four levels, from very reliant to surplus funds). Zurich Q9: "If this investment were to perform poorly, what impact would this have on your financial well-being?" (big impact / some impact / no impact). Not asked by Standard Life or Irish Life.</w:t>
            </w:r>
          </w:p>
          <w:p>
            <w:pPr>
              <w:spacing w:after="40"/>
            </w:pPr>
            <w:r>
              <w:rPr>
                <w:b/>
                <w:color w:val="003781"/>
                <w:sz w:val="18"/>
              </w:rPr>
              <w:t xml:space="preserve">ESMA  </w:t>
            </w:r>
            <w:r>
              <w:rPr>
                <w:sz w:val="18"/>
              </w:rPr>
              <w:t>Ability to bear losses (paras 12, 80); the overall financial situation (paras 37, 43).</w:t>
            </w:r>
          </w:p>
        </w:tc>
      </w:tr>
    </w:tbl>
    <w:p>
      <w:pPr>
        <w:spacing w:after="40"/>
      </w:pPr>
    </w:p>
    <w:tbl>
      <w:tblPr>
        <w:tblW w:type="auto" w:w="0"/>
        <w:tblLayout w:type="fixed"/>
        <w:tblLook w:firstColumn="1" w:firstRow="1" w:lastColumn="0" w:lastRow="0" w:noHBand="0" w:noVBand="1" w:val="04A0"/>
      </w:tblPr>
      <w:tblGrid>
        <w:gridCol w:w="9972"/>
      </w:tblGrid>
      <w:tr>
        <w:trPr>
          <w:cantSplit/>
        </w:trPr>
        <w:tc>
          <w:tcPr>
            <w:tcW w:type="dxa" w:w="9638"/>
            <w:shd w:val="clear" w:fill="DCE9F7"/>
          </w:tcPr>
          <w:p>
            <w:pPr>
              <w:spacing w:after="40"/>
            </w:pPr>
            <w:r/>
            <w:r>
              <w:rPr>
                <w:b/>
                <w:color w:val="003781"/>
                <w:sz w:val="20"/>
              </w:rPr>
              <w:t xml:space="preserve">Result  </w:t>
            </w:r>
            <w:r>
              <w:rPr>
                <w:sz w:val="20"/>
              </w:rPr>
              <w:t>Capacity for loss = Q1 + Q2 (2 to 6): Low (2–3), Medium (4), High (5–6). Each answer is worth 1 to 3, so less than 3 months' savings at Q1, or relying on the money at Q2, gives at most 4: capacity is no higher than Medium without a separate rule. It is a separate result and does not change the rating, in line with Aviva and Zurich. If the rating is 5 or more with Low capacity the client is asked to confirm and the adviser records how it is addressed.</w:t>
            </w:r>
          </w:p>
        </w:tc>
      </w:tr>
    </w:tbl>
    <w:p>
      <w:pPr>
        <w:spacing w:after="40"/>
      </w:pPr>
    </w:p>
    <w:p>
      <w:pPr>
        <w:pStyle w:val="Heading2"/>
      </w:pPr>
      <w:r>
        <w:t>Part B – Your timing</w:t>
      </w:r>
    </w:p>
    <w:p>
      <w:pPr>
        <w:keepNext/>
        <w:spacing w:before="120"/>
      </w:pPr>
      <w:r>
        <w:rPr>
          <w:b/>
          <w:color w:val="003781"/>
          <w:sz w:val="22"/>
        </w:rPr>
        <w:t>Q3  Investment horizon</w:t>
      </w:r>
    </w:p>
    <w:p>
      <w:pPr>
        <w:keepNext/>
      </w:pPr>
      <w:r>
        <w:rPr>
          <w:b/>
          <w:sz w:val="24"/>
        </w:rPr>
        <w:t>How long do you plan to hold this investment?</w:t>
      </w:r>
    </w:p>
    <w:tbl>
      <w:tblPr>
        <w:tblStyle w:val="TableGrid"/>
        <w:tblW w:type="auto" w:w="0"/>
        <w:tblLayout w:type="fixed"/>
        <w:tblLook w:firstColumn="1" w:firstRow="1" w:lastColumn="0" w:lastRow="0" w:noHBand="0" w:noVBand="1" w:val="04A0"/>
      </w:tblPr>
      <w:tblGrid>
        <w:gridCol w:w="4986"/>
        <w:gridCol w:w="4986"/>
      </w:tblGrid>
      <w:tr>
        <w:trPr>
          <w:cantSplit/>
          <w:tblHeader/>
        </w:trPr>
        <w:tc>
          <w:tcPr>
            <w:tcW w:type="dxa" w:w="7087"/>
            <w:shd w:val="clear" w:fill="003781"/>
          </w:tcPr>
          <w:p>
            <w:pPr>
              <w:keepNext/>
              <w:spacing w:after="20"/>
            </w:pPr>
            <w:r/>
            <w:r>
              <w:rPr>
                <w:b/>
                <w:color w:val="FFFFFF"/>
                <w:sz w:val="20"/>
              </w:rPr>
              <w:t>Answer</w:t>
            </w:r>
          </w:p>
        </w:tc>
        <w:tc>
          <w:tcPr>
            <w:tcW w:type="dxa" w:w="2551"/>
            <w:shd w:val="clear" w:fill="003781"/>
          </w:tcPr>
          <w:p>
            <w:pPr>
              <w:keepNext/>
              <w:spacing w:after="20"/>
            </w:pPr>
            <w:r/>
            <w:r>
              <w:rPr>
                <w:b/>
                <w:color w:val="FFFFFF"/>
                <w:sz w:val="20"/>
              </w:rPr>
              <w:t>Highest rating allowed</w:t>
            </w:r>
          </w:p>
        </w:tc>
      </w:tr>
      <w:tr>
        <w:trPr>
          <w:cantSplit/>
        </w:trPr>
        <w:tc>
          <w:tcPr>
            <w:tcW w:type="dxa" w:w="7087"/>
          </w:tcPr>
          <w:p>
            <w:pPr>
              <w:keepNext/>
              <w:spacing w:after="20"/>
            </w:pPr>
            <w:r/>
            <w:r>
              <w:rPr>
                <w:sz w:val="20"/>
              </w:rPr>
              <w:t>Less than 1 year</w:t>
            </w:r>
          </w:p>
        </w:tc>
        <w:tc>
          <w:tcPr>
            <w:tcW w:type="dxa" w:w="2551"/>
          </w:tcPr>
          <w:p>
            <w:pPr>
              <w:keepNext/>
              <w:spacing w:after="20"/>
            </w:pPr>
            <w:r/>
            <w:r>
              <w:rPr>
                <w:sz w:val="20"/>
              </w:rPr>
              <w:t>1</w:t>
            </w:r>
          </w:p>
        </w:tc>
      </w:tr>
      <w:tr>
        <w:trPr>
          <w:cantSplit/>
        </w:trPr>
        <w:tc>
          <w:tcPr>
            <w:tcW w:type="dxa" w:w="7087"/>
            <w:shd w:val="clear" w:fill="EEF3F9"/>
          </w:tcPr>
          <w:p>
            <w:pPr>
              <w:keepNext/>
              <w:spacing w:after="20"/>
            </w:pPr>
            <w:r/>
            <w:r>
              <w:rPr>
                <w:sz w:val="20"/>
              </w:rPr>
              <w:t>1 year to less than 3 years</w:t>
            </w:r>
          </w:p>
        </w:tc>
        <w:tc>
          <w:tcPr>
            <w:tcW w:type="dxa" w:w="2551"/>
            <w:shd w:val="clear" w:fill="EEF3F9"/>
          </w:tcPr>
          <w:p>
            <w:pPr>
              <w:keepNext/>
              <w:spacing w:after="20"/>
            </w:pPr>
            <w:r/>
            <w:r>
              <w:rPr>
                <w:sz w:val="20"/>
              </w:rPr>
              <w:t>2</w:t>
            </w:r>
          </w:p>
        </w:tc>
      </w:tr>
      <w:tr>
        <w:trPr>
          <w:cantSplit/>
        </w:trPr>
        <w:tc>
          <w:tcPr>
            <w:tcW w:type="dxa" w:w="7087"/>
          </w:tcPr>
          <w:p>
            <w:pPr>
              <w:keepNext/>
              <w:spacing w:after="20"/>
            </w:pPr>
            <w:r/>
            <w:r>
              <w:rPr>
                <w:sz w:val="20"/>
              </w:rPr>
              <w:t>3 years to less than 5 years</w:t>
            </w:r>
          </w:p>
        </w:tc>
        <w:tc>
          <w:tcPr>
            <w:tcW w:type="dxa" w:w="2551"/>
          </w:tcPr>
          <w:p>
            <w:pPr>
              <w:keepNext/>
              <w:spacing w:after="20"/>
            </w:pPr>
            <w:r/>
            <w:r>
              <w:rPr>
                <w:sz w:val="20"/>
              </w:rPr>
              <w:t>4</w:t>
            </w:r>
          </w:p>
        </w:tc>
      </w:tr>
      <w:tr>
        <w:trPr>
          <w:cantSplit/>
        </w:trPr>
        <w:tc>
          <w:tcPr>
            <w:tcW w:type="dxa" w:w="7087"/>
            <w:shd w:val="clear" w:fill="EEF3F9"/>
          </w:tcPr>
          <w:p>
            <w:pPr>
              <w:keepNext/>
              <w:spacing w:after="20"/>
            </w:pPr>
            <w:r/>
            <w:r>
              <w:rPr>
                <w:sz w:val="20"/>
              </w:rPr>
              <w:t>5 years or more</w:t>
            </w:r>
          </w:p>
        </w:tc>
        <w:tc>
          <w:tcPr>
            <w:tcW w:type="dxa" w:w="2551"/>
            <w:shd w:val="clear" w:fill="EEF3F9"/>
          </w:tcPr>
          <w:p>
            <w:pPr>
              <w:keepNext/>
              <w:spacing w:after="20"/>
            </w:pPr>
            <w:r/>
            <w:r>
              <w:rPr>
                <w:sz w:val="20"/>
              </w:rPr>
              <w:t>No limit (6)</w:t>
            </w:r>
          </w:p>
        </w:tc>
      </w:tr>
    </w:tbl>
    <w:p>
      <w:pPr>
        <w:spacing w:after="40"/>
      </w:pPr>
    </w:p>
    <w:tbl>
      <w:tblPr>
        <w:tblW w:type="auto" w:w="0"/>
        <w:tblLayout w:type="fixed"/>
        <w:tblLook w:firstColumn="1" w:firstRow="1" w:lastColumn="0" w:lastRow="0" w:noHBand="0" w:noVBand="1" w:val="04A0"/>
      </w:tblPr>
      <w:tblGrid>
        <w:gridCol w:w="9972"/>
      </w:tblGrid>
      <w:tr>
        <w:trPr>
          <w:cantSplit/>
        </w:trPr>
        <w:tc>
          <w:tcPr>
            <w:tcW w:type="dxa" w:w="9638"/>
            <w:shd w:val="clear" w:fill="F2F2F2"/>
          </w:tcPr>
          <w:p>
            <w:pPr>
              <w:spacing w:after="40"/>
            </w:pPr>
            <w:r/>
            <w:r>
              <w:rPr>
                <w:b/>
                <w:color w:val="003781"/>
                <w:sz w:val="18"/>
              </w:rPr>
              <w:t xml:space="preserve">Why we ask  </w:t>
            </w:r>
            <w:r>
              <w:rPr>
                <w:sz w:val="18"/>
              </w:rPr>
              <w:t>Higher-risk funds need time to recover from falls. The ESMA scale assumes holding for 5 years or more, so 3 to 5 years is limited to 4 (balanced) and flagged, and 5 years or more has no limit. The question asks about the planned holding period, not when money is first taken out, because some products allow withdrawals along the way.</w:t>
            </w:r>
          </w:p>
          <w:p>
            <w:pPr>
              <w:spacing w:after="40"/>
            </w:pPr>
            <w:r>
              <w:rPr>
                <w:b/>
                <w:color w:val="003781"/>
                <w:sz w:val="18"/>
              </w:rPr>
              <w:t xml:space="preserve">Competitors  </w:t>
            </w:r>
            <w:r>
              <w:rPr>
                <w:sz w:val="18"/>
              </w:rPr>
              <w:t>Zurich Q2: "How long do you plan to invest for?" (1 to 15+ years): shorter terms lower the profile, and 5 years or less shows a warning. Aviva: a term slider used only for its charts. Not asked by Standard Life or Irish Life.</w:t>
            </w:r>
          </w:p>
          <w:p>
            <w:pPr>
              <w:spacing w:after="40"/>
            </w:pPr>
            <w:r>
              <w:rPr>
                <w:b/>
                <w:color w:val="003781"/>
                <w:sz w:val="18"/>
              </w:rPr>
              <w:t xml:space="preserve">ESMA  </w:t>
            </w:r>
            <w:r>
              <w:rPr>
                <w:sz w:val="18"/>
              </w:rPr>
              <w:t>Holding period and need for liquidity (para 24); effect of time horizon on risk and return (para 80).</w:t>
            </w:r>
          </w:p>
        </w:tc>
      </w:tr>
    </w:tbl>
    <w:p>
      <w:pPr>
        <w:spacing w:after="40"/>
      </w:pPr>
    </w:p>
    <w:p>
      <w:pPr>
        <w:pStyle w:val="Heading2"/>
      </w:pPr>
      <w:r>
        <w:t>Part C – Your attitude to risk</w:t>
      </w:r>
    </w:p>
    <w:p>
      <w:pPr>
        <w:keepNext/>
        <w:spacing w:before="120"/>
      </w:pPr>
      <w:r>
        <w:rPr>
          <w:b/>
          <w:color w:val="003781"/>
          <w:sz w:val="22"/>
        </w:rPr>
        <w:t>Q4  Largest fall you could accept</w:t>
      </w:r>
    </w:p>
    <w:p>
      <w:pPr>
        <w:keepNext/>
      </w:pPr>
      <w:r>
        <w:rPr>
          <w:b/>
          <w:sz w:val="24"/>
        </w:rPr>
        <w:t>Imagine you invest €10,000. What is the largest fall in value over 12 months that you could accept without changing your plans?</w:t>
      </w:r>
    </w:p>
    <w:p>
      <w:r>
        <w:rPr>
          <w:i/>
        </w:rPr>
        <w:t>To be built as a slider</w:t>
      </w:r>
      <w:r>
        <w:rPr>
          <w:i/>
        </w:rPr>
        <w:t xml:space="preserve"> from "No fall" to "40% or more", in 0.5% steps. The € amount on €10,000 is shown as the client moves it. The rating is that of the highest band whose figure is not above the chosen value, so a value between two bands rounds down to the more cautious one. The bands are the same as the earlier list of answers:</w:t>
      </w:r>
    </w:p>
    <w:tbl>
      <w:tblPr>
        <w:tblStyle w:val="TableGrid"/>
        <w:tblW w:type="auto" w:w="0"/>
        <w:tblLayout w:type="fixed"/>
        <w:tblLook w:firstColumn="1" w:firstRow="1" w:lastColumn="0" w:lastRow="0" w:noHBand="0" w:noVBand="1" w:val="04A0"/>
      </w:tblPr>
      <w:tblGrid>
        <w:gridCol w:w="3324"/>
        <w:gridCol w:w="3324"/>
        <w:gridCol w:w="3324"/>
      </w:tblGrid>
      <w:tr>
        <w:trPr>
          <w:cantSplit/>
          <w:tblHeader/>
        </w:trPr>
        <w:tc>
          <w:tcPr>
            <w:tcW w:type="dxa" w:w="2966"/>
            <w:shd w:val="clear" w:fill="003781"/>
          </w:tcPr>
          <w:p>
            <w:pPr>
              <w:keepNext/>
              <w:spacing w:after="20"/>
            </w:pPr>
            <w:r/>
            <w:r>
              <w:rPr>
                <w:b/>
                <w:color w:val="FFFFFF"/>
                <w:sz w:val="19"/>
              </w:rPr>
              <w:t>Slider value</w:t>
            </w:r>
          </w:p>
        </w:tc>
        <w:tc>
          <w:tcPr>
            <w:tcW w:type="dxa" w:w="3706"/>
            <w:shd w:val="clear" w:fill="003781"/>
          </w:tcPr>
          <w:p>
            <w:pPr>
              <w:keepNext/>
              <w:spacing w:after="20"/>
            </w:pPr>
            <w:r/>
            <w:r>
              <w:rPr>
                <w:b/>
                <w:color w:val="FFFFFF"/>
                <w:sz w:val="19"/>
              </w:rPr>
              <w:t>Shown as</w:t>
            </w:r>
          </w:p>
        </w:tc>
        <w:tc>
          <w:tcPr>
            <w:tcW w:type="dxa" w:w="2966"/>
            <w:shd w:val="clear" w:fill="003781"/>
          </w:tcPr>
          <w:p>
            <w:pPr>
              <w:keepNext/>
              <w:spacing w:after="20"/>
            </w:pPr>
            <w:r/>
            <w:r>
              <w:rPr>
                <w:b/>
                <w:color w:val="FFFFFF"/>
                <w:sz w:val="19"/>
              </w:rPr>
              <w:t>Points to rating</w:t>
            </w:r>
          </w:p>
        </w:tc>
      </w:tr>
      <w:tr>
        <w:trPr>
          <w:cantSplit/>
        </w:trPr>
        <w:tc>
          <w:tcPr>
            <w:tcW w:type="dxa" w:w="2966"/>
          </w:tcPr>
          <w:p>
            <w:pPr>
              <w:keepNext/>
              <w:spacing w:after="20"/>
            </w:pPr>
            <w:r/>
            <w:r>
              <w:rPr>
                <w:sz w:val="19"/>
              </w:rPr>
              <w:t>0% to under 2.5%</w:t>
            </w:r>
          </w:p>
        </w:tc>
        <w:tc>
          <w:tcPr>
            <w:tcW w:type="dxa" w:w="3706"/>
          </w:tcPr>
          <w:p>
            <w:pPr>
              <w:keepNext/>
              <w:spacing w:after="20"/>
            </w:pPr>
            <w:r/>
            <w:r>
              <w:rPr>
                <w:sz w:val="19"/>
              </w:rPr>
              <w:t>No fall, or under €250</w:t>
            </w:r>
          </w:p>
        </w:tc>
        <w:tc>
          <w:tcPr>
            <w:tcW w:type="dxa" w:w="2966"/>
          </w:tcPr>
          <w:p>
            <w:pPr>
              <w:keepNext/>
              <w:spacing w:after="20"/>
            </w:pPr>
            <w:r/>
            <w:r>
              <w:rPr>
                <w:sz w:val="19"/>
              </w:rPr>
              <w:t>1</w:t>
            </w:r>
          </w:p>
        </w:tc>
      </w:tr>
      <w:tr>
        <w:trPr>
          <w:cantSplit/>
        </w:trPr>
        <w:tc>
          <w:tcPr>
            <w:tcW w:type="dxa" w:w="2966"/>
            <w:shd w:val="clear" w:fill="EEF3F9"/>
          </w:tcPr>
          <w:p>
            <w:pPr>
              <w:keepNext/>
              <w:spacing w:after="20"/>
            </w:pPr>
            <w:r/>
            <w:r>
              <w:rPr>
                <w:sz w:val="19"/>
              </w:rPr>
              <w:t>2.5% to under 7%</w:t>
            </w:r>
          </w:p>
        </w:tc>
        <w:tc>
          <w:tcPr>
            <w:tcW w:type="dxa" w:w="3706"/>
            <w:shd w:val="clear" w:fill="EEF3F9"/>
          </w:tcPr>
          <w:p>
            <w:pPr>
              <w:keepNext/>
              <w:spacing w:after="20"/>
            </w:pPr>
            <w:r/>
            <w:r>
              <w:rPr>
                <w:sz w:val="19"/>
              </w:rPr>
              <w:t>About €250 to €700</w:t>
            </w:r>
          </w:p>
        </w:tc>
        <w:tc>
          <w:tcPr>
            <w:tcW w:type="dxa" w:w="2966"/>
            <w:shd w:val="clear" w:fill="EEF3F9"/>
          </w:tcPr>
          <w:p>
            <w:pPr>
              <w:keepNext/>
              <w:spacing w:after="20"/>
            </w:pPr>
            <w:r/>
            <w:r>
              <w:rPr>
                <w:sz w:val="19"/>
              </w:rPr>
              <w:t>2</w:t>
            </w:r>
          </w:p>
        </w:tc>
      </w:tr>
      <w:tr>
        <w:trPr>
          <w:cantSplit/>
        </w:trPr>
        <w:tc>
          <w:tcPr>
            <w:tcW w:type="dxa" w:w="2966"/>
          </w:tcPr>
          <w:p>
            <w:pPr>
              <w:keepNext/>
              <w:spacing w:after="20"/>
            </w:pPr>
            <w:r/>
            <w:r>
              <w:rPr>
                <w:sz w:val="19"/>
              </w:rPr>
              <w:t>7% to under 15%</w:t>
            </w:r>
          </w:p>
        </w:tc>
        <w:tc>
          <w:tcPr>
            <w:tcW w:type="dxa" w:w="3706"/>
          </w:tcPr>
          <w:p>
            <w:pPr>
              <w:keepNext/>
              <w:spacing w:after="20"/>
            </w:pPr>
            <w:r/>
            <w:r>
              <w:rPr>
                <w:sz w:val="19"/>
              </w:rPr>
              <w:t>About €700 to €1,500</w:t>
            </w:r>
          </w:p>
        </w:tc>
        <w:tc>
          <w:tcPr>
            <w:tcW w:type="dxa" w:w="2966"/>
          </w:tcPr>
          <w:p>
            <w:pPr>
              <w:keepNext/>
              <w:spacing w:after="20"/>
            </w:pPr>
            <w:r/>
            <w:r>
              <w:rPr>
                <w:sz w:val="19"/>
              </w:rPr>
              <w:t>3</w:t>
            </w:r>
          </w:p>
        </w:tc>
      </w:tr>
      <w:tr>
        <w:trPr>
          <w:cantSplit/>
        </w:trPr>
        <w:tc>
          <w:tcPr>
            <w:tcW w:type="dxa" w:w="2966"/>
            <w:shd w:val="clear" w:fill="EEF3F9"/>
          </w:tcPr>
          <w:p>
            <w:pPr>
              <w:keepNext/>
              <w:spacing w:after="20"/>
            </w:pPr>
            <w:r/>
            <w:r>
              <w:rPr>
                <w:sz w:val="19"/>
              </w:rPr>
              <w:t>15% to under 25%</w:t>
            </w:r>
          </w:p>
        </w:tc>
        <w:tc>
          <w:tcPr>
            <w:tcW w:type="dxa" w:w="3706"/>
            <w:shd w:val="clear" w:fill="EEF3F9"/>
          </w:tcPr>
          <w:p>
            <w:pPr>
              <w:keepNext/>
              <w:spacing w:after="20"/>
            </w:pPr>
            <w:r/>
            <w:r>
              <w:rPr>
                <w:sz w:val="19"/>
              </w:rPr>
              <w:t>About €1,500 to €2,500</w:t>
            </w:r>
          </w:p>
        </w:tc>
        <w:tc>
          <w:tcPr>
            <w:tcW w:type="dxa" w:w="2966"/>
            <w:shd w:val="clear" w:fill="EEF3F9"/>
          </w:tcPr>
          <w:p>
            <w:pPr>
              <w:keepNext/>
              <w:spacing w:after="20"/>
            </w:pPr>
            <w:r/>
            <w:r>
              <w:rPr>
                <w:sz w:val="19"/>
              </w:rPr>
              <w:t>4</w:t>
            </w:r>
          </w:p>
        </w:tc>
      </w:tr>
      <w:tr>
        <w:trPr>
          <w:cantSplit/>
        </w:trPr>
        <w:tc>
          <w:tcPr>
            <w:tcW w:type="dxa" w:w="2966"/>
          </w:tcPr>
          <w:p>
            <w:pPr>
              <w:keepNext/>
              <w:spacing w:after="20"/>
            </w:pPr>
            <w:r/>
            <w:r>
              <w:rPr>
                <w:sz w:val="19"/>
              </w:rPr>
              <w:t>25% to under 40%</w:t>
            </w:r>
          </w:p>
        </w:tc>
        <w:tc>
          <w:tcPr>
            <w:tcW w:type="dxa" w:w="3706"/>
          </w:tcPr>
          <w:p>
            <w:pPr>
              <w:keepNext/>
              <w:spacing w:after="20"/>
            </w:pPr>
            <w:r/>
            <w:r>
              <w:rPr>
                <w:sz w:val="19"/>
              </w:rPr>
              <w:t>About €2,500 to €4,000</w:t>
            </w:r>
          </w:p>
        </w:tc>
        <w:tc>
          <w:tcPr>
            <w:tcW w:type="dxa" w:w="2966"/>
          </w:tcPr>
          <w:p>
            <w:pPr>
              <w:keepNext/>
              <w:spacing w:after="20"/>
            </w:pPr>
            <w:r/>
            <w:r>
              <w:rPr>
                <w:sz w:val="19"/>
              </w:rPr>
              <w:t>5</w:t>
            </w:r>
          </w:p>
        </w:tc>
      </w:tr>
      <w:tr>
        <w:trPr>
          <w:cantSplit/>
        </w:trPr>
        <w:tc>
          <w:tcPr>
            <w:tcW w:type="dxa" w:w="2966"/>
            <w:shd w:val="clear" w:fill="EEF3F9"/>
          </w:tcPr>
          <w:p>
            <w:pPr>
              <w:spacing w:after="20"/>
            </w:pPr>
            <w:r/>
            <w:r>
              <w:rPr>
                <w:sz w:val="19"/>
              </w:rPr>
              <w:t>40% or more</w:t>
            </w:r>
          </w:p>
        </w:tc>
        <w:tc>
          <w:tcPr>
            <w:tcW w:type="dxa" w:w="3706"/>
            <w:shd w:val="clear" w:fill="EEF3F9"/>
          </w:tcPr>
          <w:p>
            <w:pPr>
              <w:spacing w:after="20"/>
            </w:pPr>
            <w:r/>
            <w:r>
              <w:rPr>
                <w:sz w:val="19"/>
              </w:rPr>
              <w:t>About €4,000 or more</w:t>
            </w:r>
          </w:p>
        </w:tc>
        <w:tc>
          <w:tcPr>
            <w:tcW w:type="dxa" w:w="2966"/>
            <w:shd w:val="clear" w:fill="EEF3F9"/>
          </w:tcPr>
          <w:p>
            <w:pPr>
              <w:spacing w:after="20"/>
            </w:pPr>
            <w:r/>
            <w:r>
              <w:rPr>
                <w:sz w:val="19"/>
              </w:rPr>
              <w:t>6</w:t>
            </w:r>
          </w:p>
        </w:tc>
      </w:tr>
    </w:tbl>
    <w:p>
      <w:pPr>
        <w:spacing w:after="40"/>
      </w:pPr>
    </w:p>
    <w:p>
      <w:r>
        <w:t>Marks on the slider at 0%, 2.5%, 7%, 15%, 25% and 40% show where each band starts.</w:t>
      </w:r>
    </w:p>
    <w:tbl>
      <w:tblPr>
        <w:tblW w:type="auto" w:w="0"/>
        <w:tblLayout w:type="fixed"/>
        <w:tblLook w:firstColumn="1" w:firstRow="1" w:lastColumn="0" w:lastRow="0" w:noHBand="0" w:noVBand="1" w:val="04A0"/>
      </w:tblPr>
      <w:tblGrid>
        <w:gridCol w:w="9972"/>
      </w:tblGrid>
      <w:tr>
        <w:trPr>
          <w:cantSplit/>
        </w:trPr>
        <w:tc>
          <w:tcPr>
            <w:tcW w:type="dxa" w:w="9638"/>
            <w:shd w:val="clear" w:fill="F2F2F2"/>
          </w:tcPr>
          <w:p>
            <w:pPr>
              <w:spacing w:after="40"/>
            </w:pPr>
            <w:r/>
            <w:r>
              <w:rPr>
                <w:b/>
                <w:color w:val="003781"/>
                <w:sz w:val="18"/>
              </w:rPr>
              <w:t xml:space="preserve">Why we ask  </w:t>
            </w:r>
            <w:r>
              <w:rPr>
                <w:sz w:val="18"/>
              </w:rPr>
              <w:t>Each band starts at a "bad year" for a fund at that ESMA level: twice the middle of its volatility band. The figures sit between Aviva's and Zurich's (Appendix A). This answer also anchors the attitude rating, which can be at most one level above it. A slider is how Aviva asks it, and lets the client give their own figure instead of picking from a list.</w:t>
            </w:r>
          </w:p>
          <w:p>
            <w:pPr>
              <w:spacing w:after="40"/>
            </w:pPr>
            <w:r>
              <w:rPr>
                <w:b/>
                <w:color w:val="003781"/>
                <w:sz w:val="18"/>
              </w:rPr>
              <w:t xml:space="preserve">Competitors  </w:t>
            </w:r>
            <w:r>
              <w:rPr>
                <w:sz w:val="18"/>
              </w:rPr>
              <w:t>Aviva Q5: "Maximum percentage loss tolerable in 12 months?" (slider 0–40%). Zurich Q5: "How concerned would you be with a short-term (6 months) 10% decline?" and Q6: acceptable range of values for €10,000 after 5 years (worst cases 2% to 37%). Standard Life Q7 / Irish Life Q9: "How much would you be willing to place in an investment with possible high returns but a similar chance of losing some of your money?"</w:t>
            </w:r>
          </w:p>
          <w:p>
            <w:pPr>
              <w:spacing w:after="40"/>
            </w:pPr>
            <w:r>
              <w:rPr>
                <w:b/>
                <w:color w:val="003781"/>
                <w:sz w:val="18"/>
              </w:rPr>
              <w:t xml:space="preserve">ESMA  </w:t>
            </w:r>
            <w:r>
              <w:rPr>
                <w:sz w:val="18"/>
              </w:rPr>
              <w:t>The model question: what loss over a given period the client would accept (para 46); use concrete figures (paras 31, 48).</w:t>
            </w:r>
          </w:p>
        </w:tc>
      </w:tr>
    </w:tbl>
    <w:p>
      <w:pPr>
        <w:spacing w:after="40"/>
      </w:pPr>
    </w:p>
    <w:p>
      <w:pPr>
        <w:keepNext/>
        <w:spacing w:before="120"/>
      </w:pPr>
      <w:r>
        <w:rPr>
          <w:b/>
          <w:color w:val="003781"/>
          <w:sz w:val="22"/>
        </w:rPr>
        <w:t>Q5  Reaction to a fall</w:t>
      </w:r>
    </w:p>
    <w:p>
      <w:pPr>
        <w:keepNext/>
      </w:pPr>
      <w:r>
        <w:rPr>
          <w:b/>
          <w:sz w:val="24"/>
        </w:rPr>
        <w:t>Six months after you invest €10,000, markets fall and your investment is worth €8,000. What would you most likely do?</w:t>
      </w:r>
    </w:p>
    <w:tbl>
      <w:tblPr>
        <w:tblStyle w:val="TableGrid"/>
        <w:tblW w:type="auto" w:w="0"/>
        <w:tblLayout w:type="fixed"/>
        <w:tblLook w:firstColumn="1" w:firstRow="1" w:lastColumn="0" w:lastRow="0" w:noHBand="0" w:noVBand="1" w:val="04A0"/>
      </w:tblPr>
      <w:tblGrid>
        <w:gridCol w:w="4986"/>
        <w:gridCol w:w="4986"/>
      </w:tblGrid>
      <w:tr>
        <w:trPr>
          <w:cantSplit/>
          <w:tblHeader/>
        </w:trPr>
        <w:tc>
          <w:tcPr>
            <w:tcW w:type="dxa" w:w="7087"/>
            <w:shd w:val="clear" w:fill="003781"/>
          </w:tcPr>
          <w:p>
            <w:pPr>
              <w:keepNext/>
              <w:spacing w:after="20"/>
            </w:pPr>
            <w:r/>
            <w:r>
              <w:rPr>
                <w:b/>
                <w:color w:val="FFFFFF"/>
                <w:sz w:val="20"/>
              </w:rPr>
              <w:t>Answer</w:t>
            </w:r>
          </w:p>
        </w:tc>
        <w:tc>
          <w:tcPr>
            <w:tcW w:type="dxa" w:w="2551"/>
            <w:shd w:val="clear" w:fill="003781"/>
          </w:tcPr>
          <w:p>
            <w:pPr>
              <w:keepNext/>
              <w:spacing w:after="20"/>
            </w:pPr>
            <w:r/>
            <w:r>
              <w:rPr>
                <w:b/>
                <w:color w:val="FFFFFF"/>
                <w:sz w:val="20"/>
              </w:rPr>
              <w:t>Points to rating</w:t>
            </w:r>
          </w:p>
        </w:tc>
      </w:tr>
      <w:tr>
        <w:trPr>
          <w:cantSplit/>
        </w:trPr>
        <w:tc>
          <w:tcPr>
            <w:tcW w:type="dxa" w:w="7087"/>
          </w:tcPr>
          <w:p>
            <w:pPr>
              <w:keepNext/>
              <w:spacing w:after="20"/>
            </w:pPr>
            <w:r/>
            <w:r>
              <w:rPr>
                <w:sz w:val="20"/>
              </w:rPr>
              <w:t>Sell everything</w:t>
            </w:r>
          </w:p>
        </w:tc>
        <w:tc>
          <w:tcPr>
            <w:tcW w:type="dxa" w:w="2551"/>
          </w:tcPr>
          <w:p>
            <w:pPr>
              <w:keepNext/>
              <w:spacing w:after="20"/>
            </w:pPr>
            <w:r/>
            <w:r>
              <w:rPr>
                <w:sz w:val="20"/>
              </w:rPr>
              <w:t>2</w:t>
            </w:r>
          </w:p>
        </w:tc>
      </w:tr>
      <w:tr>
        <w:trPr>
          <w:cantSplit/>
        </w:trPr>
        <w:tc>
          <w:tcPr>
            <w:tcW w:type="dxa" w:w="7087"/>
            <w:shd w:val="clear" w:fill="EEF3F9"/>
          </w:tcPr>
          <w:p>
            <w:pPr>
              <w:keepNext/>
              <w:spacing w:after="20"/>
            </w:pPr>
            <w:r/>
            <w:r>
              <w:rPr>
                <w:sz w:val="20"/>
              </w:rPr>
              <w:t>Sell part, to limit further losses</w:t>
            </w:r>
          </w:p>
        </w:tc>
        <w:tc>
          <w:tcPr>
            <w:tcW w:type="dxa" w:w="2551"/>
            <w:shd w:val="clear" w:fill="EEF3F9"/>
          </w:tcPr>
          <w:p>
            <w:pPr>
              <w:keepNext/>
              <w:spacing w:after="20"/>
            </w:pPr>
            <w:r/>
            <w:r>
              <w:rPr>
                <w:sz w:val="20"/>
              </w:rPr>
              <w:t>3</w:t>
            </w:r>
          </w:p>
        </w:tc>
      </w:tr>
      <w:tr>
        <w:trPr>
          <w:cantSplit/>
        </w:trPr>
        <w:tc>
          <w:tcPr>
            <w:tcW w:type="dxa" w:w="7087"/>
          </w:tcPr>
          <w:p>
            <w:pPr>
              <w:keepNext/>
              <w:spacing w:after="20"/>
            </w:pPr>
            <w:r/>
            <w:r>
              <w:rPr>
                <w:sz w:val="20"/>
              </w:rPr>
              <w:t>Keep it and wait for a recovery</w:t>
            </w:r>
          </w:p>
        </w:tc>
        <w:tc>
          <w:tcPr>
            <w:tcW w:type="dxa" w:w="2551"/>
          </w:tcPr>
          <w:p>
            <w:pPr>
              <w:keepNext/>
              <w:spacing w:after="20"/>
            </w:pPr>
            <w:r/>
            <w:r>
              <w:rPr>
                <w:sz w:val="20"/>
              </w:rPr>
              <w:t>4</w:t>
            </w:r>
          </w:p>
        </w:tc>
      </w:tr>
      <w:tr>
        <w:trPr>
          <w:cantSplit/>
        </w:trPr>
        <w:tc>
          <w:tcPr>
            <w:tcW w:type="dxa" w:w="7087"/>
            <w:shd w:val="clear" w:fill="EEF3F9"/>
          </w:tcPr>
          <w:p>
            <w:pPr>
              <w:keepNext/>
              <w:spacing w:after="20"/>
            </w:pPr>
            <w:r/>
            <w:r>
              <w:rPr>
                <w:sz w:val="20"/>
              </w:rPr>
              <w:t>Keep it and invest more</w:t>
            </w:r>
          </w:p>
        </w:tc>
        <w:tc>
          <w:tcPr>
            <w:tcW w:type="dxa" w:w="2551"/>
            <w:shd w:val="clear" w:fill="EEF3F9"/>
          </w:tcPr>
          <w:p>
            <w:pPr>
              <w:keepNext/>
              <w:spacing w:after="20"/>
            </w:pPr>
            <w:r/>
            <w:r>
              <w:rPr>
                <w:sz w:val="20"/>
              </w:rPr>
              <w:t>6</w:t>
            </w:r>
          </w:p>
        </w:tc>
      </w:tr>
    </w:tbl>
    <w:p>
      <w:pPr>
        <w:spacing w:after="40"/>
      </w:pPr>
    </w:p>
    <w:tbl>
      <w:tblPr>
        <w:tblW w:type="auto" w:w="0"/>
        <w:tblLayout w:type="fixed"/>
        <w:tblLook w:firstColumn="1" w:firstRow="1" w:lastColumn="0" w:lastRow="0" w:noHBand="0" w:noVBand="1" w:val="04A0"/>
      </w:tblPr>
      <w:tblGrid>
        <w:gridCol w:w="9972"/>
      </w:tblGrid>
      <w:tr>
        <w:trPr>
          <w:cantSplit/>
        </w:trPr>
        <w:tc>
          <w:tcPr>
            <w:tcW w:type="dxa" w:w="9638"/>
            <w:shd w:val="clear" w:fill="F2F2F2"/>
          </w:tcPr>
          <w:p>
            <w:pPr>
              <w:spacing w:after="40"/>
            </w:pPr>
            <w:r/>
            <w:r>
              <w:rPr>
                <w:b/>
                <w:color w:val="003781"/>
                <w:sz w:val="18"/>
              </w:rPr>
              <w:t xml:space="preserve">Why we ask  </w:t>
            </w:r>
            <w:r>
              <w:rPr>
                <w:sz w:val="18"/>
              </w:rPr>
              <w:t>What the client would do, not how they feel. Holding through a 20% fall fits level 4.</w:t>
            </w:r>
          </w:p>
          <w:p>
            <w:pPr>
              <w:spacing w:after="40"/>
            </w:pPr>
            <w:r>
              <w:rPr>
                <w:b/>
                <w:color w:val="003781"/>
                <w:sz w:val="18"/>
              </w:rPr>
              <w:t xml:space="preserve">Competitors  </w:t>
            </w:r>
            <w:r>
              <w:rPr>
                <w:sz w:val="18"/>
              </w:rPr>
              <w:t>Irish Life Q7: "Six months after making an investment the financial markets start to perform badly … What would your reaction be?" (move to secure / wait / invest more). Zurich Q7: "If you could increase the value of your investment by taking more risk, would you …". Not asked by Aviva.</w:t>
            </w:r>
          </w:p>
          <w:p>
            <w:pPr>
              <w:spacing w:after="40"/>
            </w:pPr>
            <w:r>
              <w:rPr>
                <w:b/>
                <w:color w:val="003781"/>
                <w:sz w:val="18"/>
              </w:rPr>
              <w:t xml:space="preserve">ESMA  </w:t>
            </w:r>
            <w:r>
              <w:rPr>
                <w:sz w:val="18"/>
              </w:rPr>
              <w:t>Ask about personal choices when facing a loss, with figures (para 48); assess the client's response to loss scenarios (para 31).</w:t>
            </w:r>
          </w:p>
        </w:tc>
      </w:tr>
    </w:tbl>
    <w:p>
      <w:pPr>
        <w:spacing w:after="40"/>
      </w:pPr>
    </w:p>
    <w:p>
      <w:pPr>
        <w:keepNext/>
        <w:spacing w:before="120"/>
      </w:pPr>
      <w:r>
        <w:rPr>
          <w:b/>
          <w:color w:val="003781"/>
          <w:sz w:val="22"/>
        </w:rPr>
        <w:t>Q6  Objective</w:t>
      </w:r>
    </w:p>
    <w:p>
      <w:pPr>
        <w:keepNext/>
      </w:pPr>
      <w:r>
        <w:rPr>
          <w:b/>
          <w:sz w:val="24"/>
        </w:rPr>
        <w:t>What do you want from this investment?</w:t>
      </w:r>
    </w:p>
    <w:tbl>
      <w:tblPr>
        <w:tblStyle w:val="TableGrid"/>
        <w:tblW w:type="auto" w:w="0"/>
        <w:tblLayout w:type="fixed"/>
        <w:tblLook w:firstColumn="1" w:firstRow="1" w:lastColumn="0" w:lastRow="0" w:noHBand="0" w:noVBand="1" w:val="04A0"/>
      </w:tblPr>
      <w:tblGrid>
        <w:gridCol w:w="4986"/>
        <w:gridCol w:w="4986"/>
      </w:tblGrid>
      <w:tr>
        <w:trPr>
          <w:cantSplit/>
          <w:tblHeader/>
        </w:trPr>
        <w:tc>
          <w:tcPr>
            <w:tcW w:type="dxa" w:w="7087"/>
            <w:shd w:val="clear" w:fill="003781"/>
          </w:tcPr>
          <w:p>
            <w:pPr>
              <w:keepNext/>
              <w:spacing w:after="20"/>
            </w:pPr>
            <w:r/>
            <w:r>
              <w:rPr>
                <w:b/>
                <w:color w:val="FFFFFF"/>
                <w:sz w:val="20"/>
              </w:rPr>
              <w:t>Answer</w:t>
            </w:r>
          </w:p>
        </w:tc>
        <w:tc>
          <w:tcPr>
            <w:tcW w:type="dxa" w:w="2551"/>
            <w:shd w:val="clear" w:fill="003781"/>
          </w:tcPr>
          <w:p>
            <w:pPr>
              <w:keepNext/>
              <w:spacing w:after="20"/>
            </w:pPr>
            <w:r/>
            <w:r>
              <w:rPr>
                <w:b/>
                <w:color w:val="FFFFFF"/>
                <w:sz w:val="20"/>
              </w:rPr>
              <w:t>Points to rating</w:t>
            </w:r>
          </w:p>
        </w:tc>
      </w:tr>
      <w:tr>
        <w:trPr>
          <w:cantSplit/>
        </w:trPr>
        <w:tc>
          <w:tcPr>
            <w:tcW w:type="dxa" w:w="7087"/>
          </w:tcPr>
          <w:p>
            <w:pPr>
              <w:keepNext/>
              <w:spacing w:after="20"/>
            </w:pPr>
            <w:r/>
            <w:r>
              <w:rPr>
                <w:sz w:val="20"/>
              </w:rPr>
              <w:t>To keep my money safe: I want to get back at least what I put in</w:t>
            </w:r>
          </w:p>
        </w:tc>
        <w:tc>
          <w:tcPr>
            <w:tcW w:type="dxa" w:w="2551"/>
          </w:tcPr>
          <w:p>
            <w:pPr>
              <w:keepNext/>
              <w:spacing w:after="20"/>
            </w:pPr>
            <w:r/>
            <w:r>
              <w:rPr>
                <w:sz w:val="20"/>
              </w:rPr>
              <w:t>1</w:t>
            </w:r>
          </w:p>
        </w:tc>
      </w:tr>
      <w:tr>
        <w:trPr>
          <w:cantSplit/>
        </w:trPr>
        <w:tc>
          <w:tcPr>
            <w:tcW w:type="dxa" w:w="7087"/>
            <w:shd w:val="clear" w:fill="EEF3F9"/>
          </w:tcPr>
          <w:p>
            <w:pPr>
              <w:keepNext/>
              <w:spacing w:after="20"/>
            </w:pPr>
            <w:r/>
            <w:r>
              <w:rPr>
                <w:sz w:val="20"/>
              </w:rPr>
              <w:t>A return a little better than a deposit account, with very little risk</w:t>
            </w:r>
          </w:p>
        </w:tc>
        <w:tc>
          <w:tcPr>
            <w:tcW w:type="dxa" w:w="2551"/>
            <w:shd w:val="clear" w:fill="EEF3F9"/>
          </w:tcPr>
          <w:p>
            <w:pPr>
              <w:keepNext/>
              <w:spacing w:after="20"/>
            </w:pPr>
            <w:r/>
            <w:r>
              <w:rPr>
                <w:sz w:val="20"/>
              </w:rPr>
              <w:t>2</w:t>
            </w:r>
          </w:p>
        </w:tc>
      </w:tr>
      <w:tr>
        <w:trPr>
          <w:cantSplit/>
        </w:trPr>
        <w:tc>
          <w:tcPr>
            <w:tcW w:type="dxa" w:w="7087"/>
          </w:tcPr>
          <w:p>
            <w:pPr>
              <w:keepNext/>
              <w:spacing w:after="20"/>
            </w:pPr>
            <w:r/>
            <w:r>
              <w:rPr>
                <w:sz w:val="20"/>
              </w:rPr>
              <w:t>Steady growth over the long term, accepting that the value will go up and down</w:t>
            </w:r>
          </w:p>
        </w:tc>
        <w:tc>
          <w:tcPr>
            <w:tcW w:type="dxa" w:w="2551"/>
          </w:tcPr>
          <w:p>
            <w:pPr>
              <w:keepNext/>
              <w:spacing w:after="20"/>
            </w:pPr>
            <w:r/>
            <w:r>
              <w:rPr>
                <w:sz w:val="20"/>
              </w:rPr>
              <w:t>4</w:t>
            </w:r>
          </w:p>
        </w:tc>
      </w:tr>
      <w:tr>
        <w:trPr>
          <w:cantSplit/>
        </w:trPr>
        <w:tc>
          <w:tcPr>
            <w:tcW w:type="dxa" w:w="7087"/>
            <w:shd w:val="clear" w:fill="EEF3F9"/>
          </w:tcPr>
          <w:p>
            <w:pPr>
              <w:keepNext/>
              <w:spacing w:after="20"/>
            </w:pPr>
            <w:r/>
            <w:r>
              <w:rPr>
                <w:sz w:val="20"/>
              </w:rPr>
              <w:t>Strong growth over the long term, accepting large rises and falls in value</w:t>
            </w:r>
          </w:p>
        </w:tc>
        <w:tc>
          <w:tcPr>
            <w:tcW w:type="dxa" w:w="2551"/>
            <w:shd w:val="clear" w:fill="EEF3F9"/>
          </w:tcPr>
          <w:p>
            <w:pPr>
              <w:keepNext/>
              <w:spacing w:after="20"/>
            </w:pPr>
            <w:r/>
            <w:r>
              <w:rPr>
                <w:sz w:val="20"/>
              </w:rPr>
              <w:t>5</w:t>
            </w:r>
          </w:p>
        </w:tc>
      </w:tr>
      <w:tr>
        <w:trPr>
          <w:cantSplit/>
        </w:trPr>
        <w:tc>
          <w:tcPr>
            <w:tcW w:type="dxa" w:w="7087"/>
          </w:tcPr>
          <w:p>
            <w:pPr>
              <w:keepNext/>
              <w:spacing w:after="20"/>
            </w:pPr>
            <w:r/>
            <w:r>
              <w:rPr>
                <w:sz w:val="20"/>
              </w:rPr>
              <w:t>The highest return possible, accepting a high level of risk to get it</w:t>
            </w:r>
          </w:p>
        </w:tc>
        <w:tc>
          <w:tcPr>
            <w:tcW w:type="dxa" w:w="2551"/>
          </w:tcPr>
          <w:p>
            <w:pPr>
              <w:keepNext/>
              <w:spacing w:after="20"/>
            </w:pPr>
            <w:r/>
            <w:r>
              <w:rPr>
                <w:sz w:val="20"/>
              </w:rPr>
              <w:t>6</w:t>
            </w:r>
          </w:p>
        </w:tc>
      </w:tr>
    </w:tbl>
    <w:p>
      <w:pPr>
        <w:spacing w:after="40"/>
      </w:pPr>
    </w:p>
    <w:tbl>
      <w:tblPr>
        <w:tblW w:type="auto" w:w="0"/>
        <w:tblLayout w:type="fixed"/>
        <w:tblLook w:firstColumn="1" w:firstRow="1" w:lastColumn="0" w:lastRow="0" w:noHBand="0" w:noVBand="1" w:val="04A0"/>
      </w:tblPr>
      <w:tblGrid>
        <w:gridCol w:w="9972"/>
      </w:tblGrid>
      <w:tr>
        <w:trPr>
          <w:cantSplit/>
        </w:trPr>
        <w:tc>
          <w:tcPr>
            <w:tcW w:type="dxa" w:w="9638"/>
            <w:shd w:val="clear" w:fill="F2F2F2"/>
          </w:tcPr>
          <w:p>
            <w:pPr>
              <w:spacing w:after="40"/>
            </w:pPr>
            <w:r/>
            <w:r>
              <w:rPr>
                <w:b/>
                <w:color w:val="003781"/>
                <w:sz w:val="18"/>
              </w:rPr>
              <w:t xml:space="preserve">Why we ask  </w:t>
            </w:r>
            <w:r>
              <w:rPr>
                <w:sz w:val="18"/>
              </w:rPr>
              <w:t>The same five steps that Aviva and Zurich use, in our own words. Set against Q4 and Q5, it shows up a cautious attitude with ambitious objectives, or the reverse.</w:t>
            </w:r>
          </w:p>
          <w:p>
            <w:pPr>
              <w:spacing w:after="40"/>
            </w:pPr>
            <w:r>
              <w:rPr>
                <w:b/>
                <w:color w:val="003781"/>
                <w:sz w:val="18"/>
              </w:rPr>
              <w:t xml:space="preserve">Competitors  </w:t>
            </w:r>
            <w:r>
              <w:rPr>
                <w:sz w:val="18"/>
              </w:rPr>
              <w:t>Aviva Q4: "What risk and return expectations do you have?" (the same five levels). Zurich Q4: "What is your investment objective?" (protect capital … maximise returns regardless of risk). Standard Life / Irish Life: statements such as "I want my investment money to be safe even if it means lower returns".</w:t>
            </w:r>
          </w:p>
          <w:p>
            <w:pPr>
              <w:spacing w:after="40"/>
            </w:pPr>
            <w:r>
              <w:rPr>
                <w:b/>
                <w:color w:val="003781"/>
                <w:sz w:val="18"/>
              </w:rPr>
              <w:t xml:space="preserve">ESMA  </w:t>
            </w:r>
            <w:r>
              <w:rPr>
                <w:sz w:val="18"/>
              </w:rPr>
              <w:t>Investment objectives must be collected (paras 12, 20); contradiction between a prudent profile and ambitious objectives (para 51).</w:t>
            </w:r>
          </w:p>
        </w:tc>
      </w:tr>
    </w:tbl>
    <w:p>
      <w:pPr>
        <w:spacing w:after="40"/>
      </w:pPr>
    </w:p>
    <w:tbl>
      <w:tblPr>
        <w:tblW w:type="auto" w:w="0"/>
        <w:tblLayout w:type="fixed"/>
        <w:tblLook w:firstColumn="1" w:firstRow="1" w:lastColumn="0" w:lastRow="0" w:noHBand="0" w:noVBand="1" w:val="04A0"/>
      </w:tblPr>
      <w:tblGrid>
        <w:gridCol w:w="9972"/>
      </w:tblGrid>
      <w:tr>
        <w:trPr>
          <w:cantSplit/>
        </w:trPr>
        <w:tc>
          <w:tcPr>
            <w:tcW w:type="dxa" w:w="9638"/>
            <w:shd w:val="clear" w:fill="DCE9F7"/>
          </w:tcPr>
          <w:p>
            <w:pPr>
              <w:spacing w:after="40"/>
            </w:pPr>
            <w:r/>
            <w:r>
              <w:rPr>
                <w:b/>
                <w:color w:val="003781"/>
                <w:sz w:val="20"/>
              </w:rPr>
              <w:t xml:space="preserve">Result  </w:t>
            </w:r>
            <w:r>
              <w:rPr>
                <w:sz w:val="20"/>
              </w:rPr>
              <w:t>Attitude rating = the middle value of the three ratings from Q4, Q5 and Q6, but no more than one level above the Q4 rating, so the loss answer anchors the result, as it does at Aviva. The highest rating given is 6.</w:t>
            </w:r>
          </w:p>
        </w:tc>
      </w:tr>
    </w:tbl>
    <w:p>
      <w:pPr>
        <w:spacing w:after="40"/>
      </w:pPr>
    </w:p>
    <w:p>
      <w:pPr>
        <w:pStyle w:val="Heading2"/>
      </w:pPr>
      <w:r>
        <w:t>Part D – Your knowledge and experience</w:t>
      </w:r>
    </w:p>
    <w:p>
      <w:pPr>
        <w:keepNext/>
        <w:spacing w:before="120"/>
      </w:pPr>
      <w:r>
        <w:rPr>
          <w:b/>
          <w:color w:val="003781"/>
          <w:sz w:val="22"/>
        </w:rPr>
        <w:t>Q7  Knowledge and experience</w:t>
      </w:r>
    </w:p>
    <w:p>
      <w:pPr>
        <w:keepNext/>
      </w:pPr>
      <w:r>
        <w:rPr>
          <w:b/>
          <w:sz w:val="24"/>
        </w:rPr>
        <w:t>Which statement best describes your investment knowledge and experience?</w:t>
      </w:r>
    </w:p>
    <w:tbl>
      <w:tblPr>
        <w:tblStyle w:val="TableGrid"/>
        <w:tblW w:type="auto" w:w="0"/>
        <w:tblLayout w:type="fixed"/>
        <w:tblLook w:firstColumn="1" w:firstRow="1" w:lastColumn="0" w:lastRow="0" w:noHBand="0" w:noVBand="1" w:val="04A0"/>
      </w:tblPr>
      <w:tblGrid>
        <w:gridCol w:w="4986"/>
        <w:gridCol w:w="4986"/>
      </w:tblGrid>
      <w:tr>
        <w:trPr>
          <w:cantSplit/>
          <w:tblHeader/>
        </w:trPr>
        <w:tc>
          <w:tcPr>
            <w:tcW w:type="dxa" w:w="7087"/>
            <w:shd w:val="clear" w:fill="003781"/>
          </w:tcPr>
          <w:p>
            <w:pPr>
              <w:keepNext/>
              <w:spacing w:after="20"/>
            </w:pPr>
            <w:r/>
            <w:r>
              <w:rPr>
                <w:b/>
                <w:color w:val="FFFFFF"/>
                <w:sz w:val="20"/>
              </w:rPr>
              <w:t>Answer</w:t>
            </w:r>
          </w:p>
        </w:tc>
        <w:tc>
          <w:tcPr>
            <w:tcW w:type="dxa" w:w="2551"/>
            <w:shd w:val="clear" w:fill="003781"/>
          </w:tcPr>
          <w:p>
            <w:pPr>
              <w:keepNext/>
              <w:spacing w:after="20"/>
            </w:pPr>
            <w:r/>
            <w:r>
              <w:rPr>
                <w:b/>
                <w:color w:val="FFFFFF"/>
                <w:sz w:val="20"/>
              </w:rPr>
              <w:t>Knowledge level</w:t>
            </w:r>
          </w:p>
        </w:tc>
      </w:tr>
      <w:tr>
        <w:trPr>
          <w:cantSplit/>
        </w:trPr>
        <w:tc>
          <w:tcPr>
            <w:tcW w:type="dxa" w:w="7087"/>
          </w:tcPr>
          <w:p>
            <w:pPr>
              <w:keepNext/>
              <w:spacing w:after="20"/>
            </w:pPr>
            <w:r/>
            <w:r>
              <w:rPr>
                <w:sz w:val="20"/>
              </w:rPr>
              <w:t>I have not invested before, other than in deposits or savings accounts</w:t>
            </w:r>
          </w:p>
        </w:tc>
        <w:tc>
          <w:tcPr>
            <w:tcW w:type="dxa" w:w="2551"/>
          </w:tcPr>
          <w:p>
            <w:pPr>
              <w:keepNext/>
              <w:spacing w:after="20"/>
            </w:pPr>
            <w:r/>
            <w:r>
              <w:rPr>
                <w:sz w:val="20"/>
              </w:rPr>
              <w:t>Low</w:t>
            </w:r>
          </w:p>
        </w:tc>
      </w:tr>
      <w:tr>
        <w:trPr>
          <w:cantSplit/>
        </w:trPr>
        <w:tc>
          <w:tcPr>
            <w:tcW w:type="dxa" w:w="7087"/>
            <w:shd w:val="clear" w:fill="EEF3F9"/>
          </w:tcPr>
          <w:p>
            <w:pPr>
              <w:keepNext/>
              <w:spacing w:after="20"/>
            </w:pPr>
            <w:r/>
            <w:r>
              <w:rPr>
                <w:sz w:val="20"/>
              </w:rPr>
              <w:t>I have a pension or an investment, but I have not followed how its value changes or what it invests in</w:t>
            </w:r>
          </w:p>
        </w:tc>
        <w:tc>
          <w:tcPr>
            <w:tcW w:type="dxa" w:w="2551"/>
            <w:shd w:val="clear" w:fill="EEF3F9"/>
          </w:tcPr>
          <w:p>
            <w:pPr>
              <w:keepNext/>
              <w:spacing w:after="20"/>
            </w:pPr>
            <w:r/>
            <w:r>
              <w:rPr>
                <w:sz w:val="20"/>
              </w:rPr>
              <w:t>Low</w:t>
            </w:r>
          </w:p>
        </w:tc>
      </w:tr>
      <w:tr>
        <w:trPr>
          <w:cantSplit/>
        </w:trPr>
        <w:tc>
          <w:tcPr>
            <w:tcW w:type="dxa" w:w="7087"/>
          </w:tcPr>
          <w:p>
            <w:pPr>
              <w:keepNext/>
              <w:spacing w:after="20"/>
            </w:pPr>
            <w:r/>
            <w:r>
              <w:rPr>
                <w:sz w:val="20"/>
              </w:rPr>
              <w:t>In the last 5 years I have held funds, shares or bonds. I have seen their value fall as well as rise, and I know that spreading money across many investments reduces risk but does not remove it</w:t>
            </w:r>
          </w:p>
        </w:tc>
        <w:tc>
          <w:tcPr>
            <w:tcW w:type="dxa" w:w="2551"/>
          </w:tcPr>
          <w:p>
            <w:pPr>
              <w:keepNext/>
              <w:spacing w:after="20"/>
            </w:pPr>
            <w:r/>
            <w:r>
              <w:rPr>
                <w:sz w:val="20"/>
              </w:rPr>
              <w:t>Medium</w:t>
            </w:r>
          </w:p>
        </w:tc>
      </w:tr>
      <w:tr>
        <w:trPr>
          <w:cantSplit/>
        </w:trPr>
        <w:tc>
          <w:tcPr>
            <w:tcW w:type="dxa" w:w="7087"/>
            <w:shd w:val="clear" w:fill="EEF3F9"/>
          </w:tcPr>
          <w:p>
            <w:pPr>
              <w:keepNext/>
              <w:spacing w:after="20"/>
            </w:pPr>
            <w:r/>
            <w:r>
              <w:rPr>
                <w:sz w:val="20"/>
              </w:rPr>
              <w:t>I invest regularly in a range of funds, shares or bonds, and I understand how risk, return, time horizon and charges affect them</w:t>
            </w:r>
          </w:p>
        </w:tc>
        <w:tc>
          <w:tcPr>
            <w:tcW w:type="dxa" w:w="2551"/>
            <w:shd w:val="clear" w:fill="EEF3F9"/>
          </w:tcPr>
          <w:p>
            <w:pPr>
              <w:keepNext/>
              <w:spacing w:after="20"/>
            </w:pPr>
            <w:r/>
            <w:r>
              <w:rPr>
                <w:sz w:val="20"/>
              </w:rPr>
              <w:t>High</w:t>
            </w:r>
          </w:p>
        </w:tc>
      </w:tr>
      <w:tr>
        <w:trPr>
          <w:cantSplit/>
        </w:trPr>
        <w:tc>
          <w:tcPr>
            <w:tcW w:type="dxa" w:w="7087"/>
          </w:tcPr>
          <w:p>
            <w:pPr>
              <w:keepNext/>
              <w:spacing w:after="20"/>
            </w:pPr>
            <w:r/>
            <w:r>
              <w:rPr>
                <w:sz w:val="20"/>
              </w:rPr>
              <w:t>I work or have worked in investments or financial services, or hold a finance qualification, and I invest regularly</w:t>
            </w:r>
          </w:p>
        </w:tc>
        <w:tc>
          <w:tcPr>
            <w:tcW w:type="dxa" w:w="2551"/>
          </w:tcPr>
          <w:p>
            <w:pPr>
              <w:keepNext/>
              <w:spacing w:after="20"/>
            </w:pPr>
            <w:r/>
            <w:r>
              <w:rPr>
                <w:sz w:val="20"/>
              </w:rPr>
              <w:t>High</w:t>
            </w:r>
          </w:p>
        </w:tc>
      </w:tr>
    </w:tbl>
    <w:p>
      <w:pPr>
        <w:spacing w:after="40"/>
      </w:pPr>
    </w:p>
    <w:tbl>
      <w:tblPr>
        <w:tblW w:type="auto" w:w="0"/>
        <w:tblLayout w:type="fixed"/>
        <w:tblLook w:firstColumn="1" w:firstRow="1" w:lastColumn="0" w:lastRow="0" w:noHBand="0" w:noVBand="1" w:val="04A0"/>
      </w:tblPr>
      <w:tblGrid>
        <w:gridCol w:w="9972"/>
      </w:tblGrid>
      <w:tr>
        <w:trPr>
          <w:cantSplit/>
        </w:trPr>
        <w:tc>
          <w:tcPr>
            <w:tcW w:type="dxa" w:w="9638"/>
            <w:shd w:val="clear" w:fill="F2F2F2"/>
          </w:tcPr>
          <w:p>
            <w:pPr>
              <w:spacing w:after="40"/>
            </w:pPr>
            <w:r/>
            <w:r>
              <w:rPr>
                <w:b/>
                <w:color w:val="003781"/>
                <w:sz w:val="18"/>
              </w:rPr>
              <w:t xml:space="preserve">Why we ask  </w:t>
            </w:r>
            <w:r>
              <w:rPr>
                <w:sz w:val="18"/>
              </w:rPr>
              <w:t>Combines Aviva's experience question and Zurich's knowledge question. Each answer describes what the client has done and how recently, not how they rate themselves. It does not change the rating: low knowledge with a rating of 5 or more is flagged for the adviser.</w:t>
            </w:r>
          </w:p>
          <w:p>
            <w:pPr>
              <w:spacing w:after="40"/>
            </w:pPr>
            <w:r>
              <w:rPr>
                <w:b/>
                <w:color w:val="003781"/>
                <w:sz w:val="18"/>
              </w:rPr>
              <w:t xml:space="preserve">Competitors  </w:t>
            </w:r>
            <w:r>
              <w:rPr>
                <w:sz w:val="18"/>
              </w:rPr>
              <w:t>Aviva Q1: "How experienced an investor are you?" (not experienced … made many investments). Zurich Q3: "How would you describe your investment knowledge?" (Expert / High / Moderate / Little / None, each with a definition). Not asked by Standard Life or Irish Life.</w:t>
            </w:r>
          </w:p>
          <w:p>
            <w:pPr>
              <w:spacing w:after="40"/>
            </w:pPr>
            <w:r>
              <w:rPr>
                <w:b/>
                <w:color w:val="003781"/>
                <w:sz w:val="18"/>
              </w:rPr>
              <w:t xml:space="preserve">ESMA  </w:t>
            </w:r>
            <w:r>
              <w:rPr>
                <w:sz w:val="18"/>
              </w:rPr>
              <w:t>Ask what the client has done and how recently, avoid self-assessment and tick-lists (paras 46, 47); little knowledge with an aggressive attitude (para 51). Q8 checks the answer with a multiple-choice question.</w:t>
            </w:r>
          </w:p>
        </w:tc>
      </w:tr>
    </w:tbl>
    <w:p>
      <w:pPr>
        <w:spacing w:after="40"/>
      </w:pPr>
    </w:p>
    <w:p>
      <w:pPr>
        <w:keepNext/>
        <w:spacing w:before="120"/>
      </w:pPr>
      <w:r>
        <w:rPr>
          <w:b/>
          <w:color w:val="003781"/>
          <w:sz w:val="22"/>
        </w:rPr>
        <w:t>Q8  Knowledge check</w:t>
      </w:r>
    </w:p>
    <w:p>
      <w:pPr>
        <w:keepNext/>
      </w:pPr>
      <w:r>
        <w:rPr>
          <w:b/>
          <w:sz w:val="24"/>
        </w:rPr>
        <w:t>Put these four investments in order, from the one with the lowest risk of losing money to the one with the highest.</w:t>
      </w:r>
    </w:p>
    <w:tbl>
      <w:tblPr>
        <w:tblStyle w:val="TableGrid"/>
        <w:tblW w:type="auto" w:w="0"/>
        <w:tblLayout w:type="fixed"/>
        <w:tblLook w:firstColumn="1" w:firstRow="1" w:lastColumn="0" w:lastRow="0" w:noHBand="0" w:noVBand="1" w:val="04A0"/>
      </w:tblPr>
      <w:tblGrid>
        <w:gridCol w:w="4986"/>
        <w:gridCol w:w="4986"/>
      </w:tblGrid>
      <w:tr>
        <w:trPr>
          <w:cantSplit/>
          <w:tblHeader/>
        </w:trPr>
        <w:tc>
          <w:tcPr>
            <w:tcW w:type="dxa" w:w="6616"/>
            <w:shd w:val="clear" w:fill="003781"/>
          </w:tcPr>
          <w:p>
            <w:pPr>
              <w:keepNext/>
              <w:spacing w:after="20"/>
            </w:pPr>
            <w:r/>
            <w:r>
              <w:rPr>
                <w:b/>
                <w:color w:val="FFFFFF"/>
                <w:sz w:val="20"/>
              </w:rPr>
              <w:t>Investment</w:t>
            </w:r>
          </w:p>
        </w:tc>
        <w:tc>
          <w:tcPr>
            <w:tcW w:type="dxa" w:w="3022"/>
            <w:shd w:val="clear" w:fill="003781"/>
          </w:tcPr>
          <w:p>
            <w:pPr>
              <w:keepNext/>
              <w:spacing w:after="20"/>
            </w:pPr>
            <w:r/>
            <w:r>
              <w:rPr>
                <w:b/>
                <w:color w:val="FFFFFF"/>
                <w:sz w:val="20"/>
              </w:rPr>
              <w:t>Right position</w:t>
            </w:r>
          </w:p>
        </w:tc>
      </w:tr>
      <w:tr>
        <w:trPr>
          <w:cantSplit/>
        </w:trPr>
        <w:tc>
          <w:tcPr>
            <w:tcW w:type="dxa" w:w="6616"/>
          </w:tcPr>
          <w:p>
            <w:pPr>
              <w:keepNext/>
              <w:spacing w:after="20"/>
            </w:pPr>
            <w:r/>
            <w:r>
              <w:rPr>
                <w:sz w:val="20"/>
              </w:rPr>
              <w:t>A savings deposit</w:t>
            </w:r>
          </w:p>
        </w:tc>
        <w:tc>
          <w:tcPr>
            <w:tcW w:type="dxa" w:w="3022"/>
          </w:tcPr>
          <w:p>
            <w:pPr>
              <w:keepNext/>
              <w:spacing w:after="20"/>
            </w:pPr>
            <w:r/>
            <w:r>
              <w:rPr>
                <w:sz w:val="20"/>
              </w:rPr>
              <w:t>1 (lowest risk)</w:t>
            </w:r>
          </w:p>
        </w:tc>
      </w:tr>
      <w:tr>
        <w:trPr>
          <w:cantSplit/>
        </w:trPr>
        <w:tc>
          <w:tcPr>
            <w:tcW w:type="dxa" w:w="6616"/>
            <w:shd w:val="clear" w:fill="EEF3F9"/>
          </w:tcPr>
          <w:p>
            <w:pPr>
              <w:keepNext/>
              <w:spacing w:after="20"/>
            </w:pPr>
            <w:r/>
            <w:r>
              <w:rPr>
                <w:sz w:val="20"/>
              </w:rPr>
              <w:t>Government bonds</w:t>
            </w:r>
          </w:p>
        </w:tc>
        <w:tc>
          <w:tcPr>
            <w:tcW w:type="dxa" w:w="3022"/>
            <w:shd w:val="clear" w:fill="EEF3F9"/>
          </w:tcPr>
          <w:p>
            <w:pPr>
              <w:keepNext/>
              <w:spacing w:after="20"/>
            </w:pPr>
            <w:r/>
            <w:r>
              <w:rPr>
                <w:sz w:val="20"/>
              </w:rPr>
              <w:t>2</w:t>
            </w:r>
          </w:p>
        </w:tc>
      </w:tr>
      <w:tr>
        <w:trPr>
          <w:cantSplit/>
        </w:trPr>
        <w:tc>
          <w:tcPr>
            <w:tcW w:type="dxa" w:w="6616"/>
          </w:tcPr>
          <w:p>
            <w:pPr>
              <w:keepNext/>
              <w:spacing w:after="20"/>
            </w:pPr>
            <w:r/>
            <w:r>
              <w:rPr>
                <w:sz w:val="20"/>
              </w:rPr>
              <w:t>A fund holding shares in many different companies</w:t>
            </w:r>
          </w:p>
        </w:tc>
        <w:tc>
          <w:tcPr>
            <w:tcW w:type="dxa" w:w="3022"/>
          </w:tcPr>
          <w:p>
            <w:pPr>
              <w:keepNext/>
              <w:spacing w:after="20"/>
            </w:pPr>
            <w:r/>
            <w:r>
              <w:rPr>
                <w:sz w:val="20"/>
              </w:rPr>
              <w:t>3</w:t>
            </w:r>
          </w:p>
        </w:tc>
      </w:tr>
      <w:tr>
        <w:trPr>
          <w:cantSplit/>
        </w:trPr>
        <w:tc>
          <w:tcPr>
            <w:tcW w:type="dxa" w:w="6616"/>
            <w:shd w:val="clear" w:fill="EEF3F9"/>
          </w:tcPr>
          <w:p>
            <w:pPr>
              <w:spacing w:after="20"/>
            </w:pPr>
            <w:r/>
            <w:r>
              <w:rPr>
                <w:sz w:val="20"/>
              </w:rPr>
              <w:t>Shares in a single company</w:t>
            </w:r>
          </w:p>
        </w:tc>
        <w:tc>
          <w:tcPr>
            <w:tcW w:type="dxa" w:w="3022"/>
            <w:shd w:val="clear" w:fill="EEF3F9"/>
          </w:tcPr>
          <w:p>
            <w:pPr>
              <w:spacing w:after="20"/>
            </w:pPr>
            <w:r/>
            <w:r>
              <w:rPr>
                <w:sz w:val="20"/>
              </w:rPr>
              <w:t>4 (highest risk)</w:t>
            </w:r>
          </w:p>
        </w:tc>
      </w:tr>
    </w:tbl>
    <w:p>
      <w:pPr>
        <w:spacing w:after="40"/>
      </w:pPr>
    </w:p>
    <w:p>
      <w:r>
        <w:rPr>
          <w:i/>
        </w:rPr>
        <w:t>Built as</w:t>
      </w:r>
      <w:r>
        <w:rPr>
          <w:i/>
        </w:rPr>
        <w:t xml:space="preserve"> four items the client drags into order (or numbers 1 to 4), shown in a mixed starting order. There is also an "I don't know" box.</w:t>
      </w:r>
    </w:p>
    <w:tbl>
      <w:tblPr>
        <w:tblStyle w:val="TableGrid"/>
        <w:tblW w:type="auto" w:w="0"/>
        <w:tblLayout w:type="fixed"/>
        <w:tblLook w:firstColumn="1" w:firstRow="1" w:lastColumn="0" w:lastRow="0" w:noHBand="0" w:noVBand="1" w:val="04A0"/>
      </w:tblPr>
      <w:tblGrid>
        <w:gridCol w:w="4986"/>
        <w:gridCol w:w="4986"/>
      </w:tblGrid>
      <w:tr>
        <w:trPr>
          <w:cantSplit/>
          <w:tblHeader/>
        </w:trPr>
        <w:tc>
          <w:tcPr>
            <w:tcW w:type="dxa" w:w="2396"/>
            <w:shd w:val="clear" w:fill="003781"/>
          </w:tcPr>
          <w:p>
            <w:pPr>
              <w:keepNext/>
              <w:spacing w:after="20"/>
            </w:pPr>
            <w:r/>
            <w:r>
              <w:rPr>
                <w:b/>
                <w:color w:val="FFFFFF"/>
                <w:sz w:val="20"/>
              </w:rPr>
              <w:t>Result</w:t>
            </w:r>
          </w:p>
        </w:tc>
        <w:tc>
          <w:tcPr>
            <w:tcW w:type="dxa" w:w="7242"/>
            <w:shd w:val="clear" w:fill="003781"/>
          </w:tcPr>
          <w:p>
            <w:pPr>
              <w:keepNext/>
              <w:spacing w:after="20"/>
            </w:pPr>
            <w:r/>
            <w:r>
              <w:rPr>
                <w:b/>
                <w:color w:val="FFFFFF"/>
                <w:sz w:val="20"/>
              </w:rPr>
              <w:t>When</w:t>
            </w:r>
          </w:p>
        </w:tc>
      </w:tr>
      <w:tr>
        <w:trPr>
          <w:cantSplit/>
        </w:trPr>
        <w:tc>
          <w:tcPr>
            <w:tcW w:type="dxa" w:w="2396"/>
          </w:tcPr>
          <w:p>
            <w:pPr>
              <w:keepNext/>
              <w:spacing w:after="20"/>
            </w:pPr>
            <w:r/>
            <w:r>
              <w:rPr>
                <w:sz w:val="20"/>
              </w:rPr>
              <w:t>Correct</w:t>
            </w:r>
          </w:p>
        </w:tc>
        <w:tc>
          <w:tcPr>
            <w:tcW w:type="dxa" w:w="7242"/>
          </w:tcPr>
          <w:p>
            <w:pPr>
              <w:keepNext/>
              <w:spacing w:after="20"/>
            </w:pPr>
            <w:r/>
            <w:r>
              <w:rPr>
                <w:sz w:val="20"/>
              </w:rPr>
              <w:t>All four in the right order</w:t>
            </w:r>
          </w:p>
        </w:tc>
      </w:tr>
      <w:tr>
        <w:trPr>
          <w:cantSplit/>
        </w:trPr>
        <w:tc>
          <w:tcPr>
            <w:tcW w:type="dxa" w:w="2396"/>
            <w:shd w:val="clear" w:fill="EEF3F9"/>
          </w:tcPr>
          <w:p>
            <w:pPr>
              <w:spacing w:after="20"/>
            </w:pPr>
            <w:r/>
            <w:r>
              <w:rPr>
                <w:sz w:val="20"/>
              </w:rPr>
              <w:t>Wrong</w:t>
            </w:r>
          </w:p>
        </w:tc>
        <w:tc>
          <w:tcPr>
            <w:tcW w:type="dxa" w:w="7242"/>
            <w:shd w:val="clear" w:fill="EEF3F9"/>
          </w:tcPr>
          <w:p>
            <w:pPr>
              <w:spacing w:after="20"/>
            </w:pPr>
            <w:r/>
            <w:r>
              <w:rPr>
                <w:sz w:val="20"/>
              </w:rPr>
              <w:t>Any other order, or "I don't know"</w:t>
            </w:r>
          </w:p>
        </w:tc>
      </w:tr>
    </w:tbl>
    <w:p>
      <w:pPr>
        <w:spacing w:after="40"/>
      </w:pPr>
    </w:p>
    <w:tbl>
      <w:tblPr>
        <w:tblW w:type="auto" w:w="0"/>
        <w:tblLayout w:type="fixed"/>
        <w:tblLook w:firstColumn="1" w:firstRow="1" w:lastColumn="0" w:lastRow="0" w:noHBand="0" w:noVBand="1" w:val="04A0"/>
      </w:tblPr>
      <w:tblGrid>
        <w:gridCol w:w="9972"/>
      </w:tblGrid>
      <w:tr>
        <w:trPr>
          <w:cantSplit/>
        </w:trPr>
        <w:tc>
          <w:tcPr>
            <w:tcW w:type="dxa" w:w="9638"/>
            <w:shd w:val="clear" w:fill="F2F2F2"/>
          </w:tcPr>
          <w:p>
            <w:pPr>
              <w:spacing w:after="40"/>
            </w:pPr>
            <w:r/>
            <w:r>
              <w:rPr>
                <w:b/>
                <w:color w:val="003781"/>
                <w:sz w:val="18"/>
              </w:rPr>
              <w:t xml:space="preserve">Why we ask  </w:t>
            </w:r>
            <w:r>
              <w:rPr>
                <w:sz w:val="18"/>
              </w:rPr>
              <w:t>Checks the Q7 answer with a question that has a right answer, and tests only basic understanding: that cash is safest, that shares carry more risk than bonds, and that spreading money across many companies is less risky than holding one. No calculation is needed, and there is no guarantee-style wrong answer to spot. Afterwards the client is shown the right order and why.</w:t>
            </w:r>
          </w:p>
          <w:p>
            <w:pPr>
              <w:spacing w:after="40"/>
            </w:pPr>
            <w:r>
              <w:rPr>
                <w:b/>
                <w:color w:val="003781"/>
                <w:sz w:val="18"/>
              </w:rPr>
              <w:t xml:space="preserve">Competitors  </w:t>
            </w:r>
            <w:r>
              <w:rPr>
                <w:sz w:val="18"/>
              </w:rPr>
              <w:t>None of the four tests knowledge with a right-or-wrong question. Aviva and Zurich rely on the client's own description (Aviva Q1, Zurich Q3); Standard Life and Irish Life do not assess knowledge. The Allianz risk profile site asks clients to rate cash, bonds and shares as low or high risk.</w:t>
            </w:r>
          </w:p>
          <w:p>
            <w:pPr>
              <w:spacing w:after="40"/>
            </w:pPr>
            <w:r>
              <w:rPr>
                <w:b/>
                <w:color w:val="003781"/>
                <w:sz w:val="18"/>
              </w:rPr>
              <w:t xml:space="preserve">ESMA  </w:t>
            </w:r>
            <w:r>
              <w:rPr>
                <w:sz w:val="18"/>
              </w:rPr>
              <w:t>Test real knowledge with a question that has a right answer instead of self-assessment (para 46); guard against clients overestimating their knowledge (para 52); understanding of risk, risk and return, and concentration (paras 23, 31).</w:t>
            </w:r>
          </w:p>
        </w:tc>
      </w:tr>
    </w:tbl>
    <w:p>
      <w:pPr>
        <w:spacing w:after="40"/>
      </w:pPr>
    </w:p>
    <w:tbl>
      <w:tblPr>
        <w:tblW w:type="auto" w:w="0"/>
        <w:tblLayout w:type="fixed"/>
        <w:tblLook w:firstColumn="1" w:firstRow="1" w:lastColumn="0" w:lastRow="0" w:noHBand="0" w:noVBand="1" w:val="04A0"/>
      </w:tblPr>
      <w:tblGrid>
        <w:gridCol w:w="9972"/>
      </w:tblGrid>
      <w:tr>
        <w:trPr>
          <w:cantSplit/>
        </w:trPr>
        <w:tc>
          <w:tcPr>
            <w:tcW w:type="dxa" w:w="9638"/>
            <w:shd w:val="clear" w:fill="DCE9F7"/>
          </w:tcPr>
          <w:p>
            <w:pPr>
              <w:spacing w:after="40"/>
            </w:pPr>
            <w:r/>
            <w:r>
              <w:rPr>
                <w:b/>
                <w:color w:val="003781"/>
                <w:sz w:val="20"/>
              </w:rPr>
              <w:t xml:space="preserve">Result  </w:t>
            </w:r>
            <w:r>
              <w:rPr>
                <w:sz w:val="20"/>
              </w:rPr>
              <w:t>Knowledge level = from Q7. If Q8 is wrong or "I don't know", the level drops by one (High to Medium, Medium to Low). It does not change the rating: Low knowledge with a rating of 5 or more is flagged for the adviser.</w:t>
            </w:r>
          </w:p>
        </w:tc>
      </w:tr>
    </w:tbl>
    <w:p>
      <w:pPr>
        <w:spacing w:after="40"/>
      </w:pPr>
    </w:p>
    <w:p>
      <w:pPr>
        <w:pStyle w:val="Heading2"/>
      </w:pPr>
      <w:r>
        <w:t>About you – Date of birth (not a scored question)</w:t>
      </w:r>
    </w:p>
    <w:p>
      <w:pPr>
        <w:keepNext/>
        <w:spacing w:before="120"/>
      </w:pPr>
      <w:r>
        <w:rPr>
          <w:b/>
          <w:color w:val="003781"/>
          <w:sz w:val="22"/>
        </w:rPr>
        <w:t>DOB  Age</w:t>
      </w:r>
    </w:p>
    <w:p>
      <w:pPr>
        <w:keepNext/>
      </w:pPr>
      <w:r>
        <w:rPr>
          <w:b/>
          <w:sz w:val="24"/>
        </w:rPr>
        <w:t>Date of birth</w:t>
      </w:r>
    </w:p>
    <w:tbl>
      <w:tblPr>
        <w:tblStyle w:val="TableGrid"/>
        <w:tblW w:type="auto" w:w="0"/>
        <w:tblLayout w:type="fixed"/>
        <w:tblLook w:firstColumn="1" w:firstRow="1" w:lastColumn="0" w:lastRow="0" w:noHBand="0" w:noVBand="1" w:val="04A0"/>
      </w:tblPr>
      <w:tblGrid>
        <w:gridCol w:w="4986"/>
        <w:gridCol w:w="4986"/>
      </w:tblGrid>
      <w:tr>
        <w:trPr>
          <w:cantSplit/>
          <w:tblHeader/>
        </w:trPr>
        <w:tc>
          <w:tcPr>
            <w:tcW w:type="dxa" w:w="7087"/>
            <w:shd w:val="clear" w:fill="003781"/>
          </w:tcPr>
          <w:p>
            <w:pPr>
              <w:keepNext/>
              <w:spacing w:after="20"/>
            </w:pPr>
            <w:r/>
            <w:r>
              <w:rPr>
                <w:b/>
                <w:color w:val="FFFFFF"/>
                <w:sz w:val="20"/>
              </w:rPr>
              <w:t>Answer</w:t>
            </w:r>
          </w:p>
        </w:tc>
        <w:tc>
          <w:tcPr>
            <w:tcW w:type="dxa" w:w="2551"/>
            <w:shd w:val="clear" w:fill="003781"/>
          </w:tcPr>
          <w:p>
            <w:pPr>
              <w:keepNext/>
              <w:spacing w:after="20"/>
            </w:pPr>
            <w:r/>
            <w:r>
              <w:rPr>
                <w:b/>
                <w:color w:val="FFFFFF"/>
                <w:sz w:val="20"/>
              </w:rPr>
              <w:t>Effect</w:t>
            </w:r>
          </w:p>
        </w:tc>
      </w:tr>
      <w:tr>
        <w:trPr>
          <w:cantSplit/>
        </w:trPr>
        <w:tc>
          <w:tcPr>
            <w:tcW w:type="dxa" w:w="7087"/>
          </w:tcPr>
          <w:p>
            <w:pPr>
              <w:keepNext/>
              <w:spacing w:after="20"/>
            </w:pPr>
            <w:r/>
            <w:r>
              <w:rPr>
                <w:sz w:val="20"/>
              </w:rPr>
              <w:t>Under 65</w:t>
            </w:r>
          </w:p>
        </w:tc>
        <w:tc>
          <w:tcPr>
            <w:tcW w:type="dxa" w:w="2551"/>
          </w:tcPr>
          <w:p>
            <w:pPr>
              <w:keepNext/>
              <w:spacing w:after="20"/>
            </w:pPr>
            <w:r/>
            <w:r>
              <w:rPr>
                <w:sz w:val="20"/>
              </w:rPr>
              <w:t>None</w:t>
            </w:r>
          </w:p>
        </w:tc>
      </w:tr>
      <w:tr>
        <w:trPr>
          <w:cantSplit/>
        </w:trPr>
        <w:tc>
          <w:tcPr>
            <w:tcW w:type="dxa" w:w="7087"/>
            <w:shd w:val="clear" w:fill="EEF3F9"/>
          </w:tcPr>
          <w:p>
            <w:pPr>
              <w:keepNext/>
              <w:spacing w:after="20"/>
            </w:pPr>
            <w:r/>
            <w:r>
              <w:rPr>
                <w:sz w:val="20"/>
              </w:rPr>
              <w:t>65 or over</w:t>
            </w:r>
          </w:p>
        </w:tc>
        <w:tc>
          <w:tcPr>
            <w:tcW w:type="dxa" w:w="2551"/>
            <w:shd w:val="clear" w:fill="EEF3F9"/>
          </w:tcPr>
          <w:p>
            <w:pPr>
              <w:keepNext/>
              <w:spacing w:after="20"/>
            </w:pPr>
            <w:r/>
            <w:r>
              <w:rPr>
                <w:sz w:val="20"/>
              </w:rPr>
              <w:t>Flag for the adviser if the attitude rating is 5 or more</w:t>
            </w:r>
          </w:p>
        </w:tc>
      </w:tr>
    </w:tbl>
    <w:p>
      <w:pPr>
        <w:spacing w:after="40"/>
      </w:pPr>
    </w:p>
    <w:tbl>
      <w:tblPr>
        <w:tblW w:type="auto" w:w="0"/>
        <w:tblLayout w:type="fixed"/>
        <w:tblLook w:firstColumn="1" w:firstRow="1" w:lastColumn="0" w:lastRow="0" w:noHBand="0" w:noVBand="1" w:val="04A0"/>
      </w:tblPr>
      <w:tblGrid>
        <w:gridCol w:w="9972"/>
      </w:tblGrid>
      <w:tr>
        <w:trPr>
          <w:cantSplit/>
        </w:trPr>
        <w:tc>
          <w:tcPr>
            <w:tcW w:type="dxa" w:w="9638"/>
            <w:shd w:val="clear" w:fill="F2F2F2"/>
          </w:tcPr>
          <w:p>
            <w:pPr>
              <w:spacing w:after="40"/>
            </w:pPr>
            <w:r/>
            <w:r>
              <w:rPr>
                <w:b/>
                <w:color w:val="003781"/>
                <w:sz w:val="18"/>
              </w:rPr>
              <w:t xml:space="preserve">Why we ask  </w:t>
            </w:r>
            <w:r>
              <w:rPr>
                <w:sz w:val="18"/>
              </w:rPr>
              <w:t>Age does not change the rating. The time horizon (Q5) already does that work, and older clients with a high rating are flagged for the adviser.</w:t>
            </w:r>
          </w:p>
          <w:p>
            <w:pPr>
              <w:spacing w:after="40"/>
            </w:pPr>
            <w:r>
              <w:rPr>
                <w:b/>
                <w:color w:val="003781"/>
                <w:sz w:val="18"/>
              </w:rPr>
              <w:t xml:space="preserve">Competitors  </w:t>
            </w:r>
            <w:r>
              <w:rPr>
                <w:sz w:val="18"/>
              </w:rPr>
              <w:t>Zurich lowers the profile gradually with age (by about half a level at 70 and over) and raises it for the young. Aviva, Standard Life and Irish Life do not use age; Standard Life's adviser guide says attitude to risk does not depend on age.</w:t>
            </w:r>
          </w:p>
          <w:p>
            <w:pPr>
              <w:spacing w:after="40"/>
            </w:pPr>
            <w:r>
              <w:rPr>
                <w:b/>
                <w:color w:val="003781"/>
                <w:sz w:val="18"/>
              </w:rPr>
              <w:t xml:space="preserve">ESMA  </w:t>
            </w:r>
            <w:r>
              <w:rPr>
                <w:sz w:val="18"/>
              </w:rPr>
              <w:t>Age matters for objectives and holding period (para 24); more care for potentially vulnerable older clients (para 40); retirement as a trigger to review (para 55).</w:t>
            </w:r>
          </w:p>
        </w:tc>
      </w:tr>
    </w:tbl>
    <w:p>
      <w:pPr>
        <w:spacing w:after="40"/>
      </w:pPr>
    </w:p>
    <w:p>
      <w:r>
        <w:br w:type="page"/>
      </w:r>
    </w:p>
    <w:p>
      <w:pPr>
        <w:pStyle w:val="Heading1"/>
      </w:pPr>
      <w:r>
        <w:t>3. Worked examples</w:t>
      </w:r>
    </w:p>
    <w:tbl>
      <w:tblPr>
        <w:tblStyle w:val="TableGrid"/>
        <w:tblW w:type="auto" w:w="0"/>
        <w:tblLayout w:type="fixed"/>
        <w:tblLook w:firstColumn="1" w:firstRow="1" w:lastColumn="0" w:lastRow="0" w:noHBand="0" w:noVBand="1" w:val="04A0"/>
      </w:tblPr>
      <w:tblGrid>
        <w:gridCol w:w="1662"/>
        <w:gridCol w:w="1662"/>
        <w:gridCol w:w="1662"/>
        <w:gridCol w:w="1662"/>
        <w:gridCol w:w="1662"/>
        <w:gridCol w:w="1662"/>
      </w:tblGrid>
      <w:tr>
        <w:trPr>
          <w:cantSplit/>
          <w:tblHeader/>
        </w:trPr>
        <w:tc>
          <w:tcPr>
            <w:tcW w:type="dxa" w:w="2391"/>
            <w:shd w:val="clear" w:fill="003781"/>
          </w:tcPr>
          <w:p>
            <w:pPr>
              <w:keepNext/>
              <w:spacing w:after="20"/>
            </w:pPr>
            <w:r/>
            <w:r>
              <w:rPr>
                <w:b/>
                <w:color w:val="FFFFFF"/>
                <w:sz w:val="18"/>
              </w:rPr>
              <w:t>Client</w:t>
            </w:r>
          </w:p>
        </w:tc>
        <w:tc>
          <w:tcPr>
            <w:tcW w:type="dxa" w:w="1108"/>
            <w:shd w:val="clear" w:fill="003781"/>
          </w:tcPr>
          <w:p>
            <w:pPr>
              <w:keepNext/>
              <w:spacing w:after="20"/>
            </w:pPr>
            <w:r/>
            <w:r>
              <w:rPr>
                <w:b/>
                <w:color w:val="FFFFFF"/>
                <w:sz w:val="18"/>
              </w:rPr>
              <w:t>Capacity for loss</w:t>
            </w:r>
          </w:p>
        </w:tc>
        <w:tc>
          <w:tcPr>
            <w:tcW w:type="dxa" w:w="967"/>
            <w:shd w:val="clear" w:fill="003781"/>
          </w:tcPr>
          <w:p>
            <w:pPr>
              <w:keepNext/>
              <w:spacing w:after="20"/>
            </w:pPr>
            <w:r/>
            <w:r>
              <w:rPr>
                <w:b/>
                <w:color w:val="FFFFFF"/>
                <w:sz w:val="18"/>
              </w:rPr>
              <w:t>Time (Q3)</w:t>
            </w:r>
          </w:p>
        </w:tc>
        <w:tc>
          <w:tcPr>
            <w:tcW w:type="dxa" w:w="1411"/>
            <w:shd w:val="clear" w:fill="003781"/>
          </w:tcPr>
          <w:p>
            <w:pPr>
              <w:keepNext/>
              <w:spacing w:after="20"/>
            </w:pPr>
            <w:r/>
            <w:r>
              <w:rPr>
                <w:b/>
                <w:color w:val="FFFFFF"/>
                <w:sz w:val="18"/>
              </w:rPr>
              <w:t>Age</w:t>
            </w:r>
          </w:p>
        </w:tc>
        <w:tc>
          <w:tcPr>
            <w:tcW w:type="dxa" w:w="1369"/>
            <w:shd w:val="clear" w:fill="003781"/>
          </w:tcPr>
          <w:p>
            <w:pPr>
              <w:keepNext/>
              <w:spacing w:after="20"/>
            </w:pPr>
            <w:r/>
            <w:r>
              <w:rPr>
                <w:b/>
                <w:color w:val="FFFFFF"/>
                <w:sz w:val="18"/>
              </w:rPr>
              <w:t>Q4 / Q5 / Q6 → attitude</w:t>
            </w:r>
          </w:p>
        </w:tc>
        <w:tc>
          <w:tcPr>
            <w:tcW w:type="dxa" w:w="2391"/>
            <w:shd w:val="clear" w:fill="003781"/>
          </w:tcPr>
          <w:p>
            <w:pPr>
              <w:keepNext/>
              <w:spacing w:after="20"/>
            </w:pPr>
            <w:r/>
            <w:r>
              <w:rPr>
                <w:b/>
                <w:color w:val="FFFFFF"/>
                <w:sz w:val="18"/>
              </w:rPr>
              <w:t>Risk rating</w:t>
            </w:r>
          </w:p>
        </w:tc>
      </w:tr>
      <w:tr>
        <w:trPr>
          <w:cantSplit/>
        </w:trPr>
        <w:tc>
          <w:tcPr>
            <w:tcW w:type="dxa" w:w="2391"/>
          </w:tcPr>
          <w:p>
            <w:pPr>
              <w:keepNext/>
              <w:spacing w:after="20"/>
            </w:pPr>
            <w:r/>
            <w:r>
              <w:rPr>
                <w:b/>
                <w:sz w:val="18"/>
              </w:rPr>
              <w:t>A. Retired, 68, cautious</w:t>
            </w:r>
          </w:p>
        </w:tc>
        <w:tc>
          <w:tcPr>
            <w:tcW w:type="dxa" w:w="1108"/>
          </w:tcPr>
          <w:p>
            <w:pPr>
              <w:keepNext/>
              <w:spacing w:after="20"/>
            </w:pPr>
            <w:r/>
            <w:r>
              <w:rPr>
                <w:sz w:val="18"/>
              </w:rPr>
              <w:t>High</w:t>
            </w:r>
          </w:p>
        </w:tc>
        <w:tc>
          <w:tcPr>
            <w:tcW w:type="dxa" w:w="967"/>
          </w:tcPr>
          <w:p>
            <w:pPr>
              <w:keepNext/>
              <w:spacing w:after="20"/>
            </w:pPr>
            <w:r/>
            <w:r>
              <w:rPr>
                <w:sz w:val="18"/>
              </w:rPr>
              <w:t>5+ years: none</w:t>
            </w:r>
          </w:p>
        </w:tc>
        <w:tc>
          <w:tcPr>
            <w:tcW w:type="dxa" w:w="1411"/>
          </w:tcPr>
          <w:p>
            <w:pPr>
              <w:keepNext/>
              <w:spacing w:after="20"/>
            </w:pPr>
            <w:r/>
            <w:r>
              <w:rPr>
                <w:sz w:val="18"/>
              </w:rPr>
              <w:t>Flag only if attitude 5+</w:t>
            </w:r>
          </w:p>
        </w:tc>
        <w:tc>
          <w:tcPr>
            <w:tcW w:type="dxa" w:w="1369"/>
          </w:tcPr>
          <w:p>
            <w:pPr>
              <w:keepNext/>
              <w:spacing w:after="20"/>
            </w:pPr>
            <w:r/>
            <w:r>
              <w:rPr>
                <w:sz w:val="18"/>
              </w:rPr>
              <w:t>3 / 3 / 2 → 3</w:t>
            </w:r>
          </w:p>
        </w:tc>
        <w:tc>
          <w:tcPr>
            <w:tcW w:type="dxa" w:w="2391"/>
          </w:tcPr>
          <w:p>
            <w:pPr>
              <w:keepNext/>
              <w:spacing w:after="20"/>
            </w:pPr>
            <w:r/>
            <w:r>
              <w:rPr>
                <w:sz w:val="18"/>
              </w:rPr>
              <w:t>3</w:t>
            </w:r>
          </w:p>
        </w:tc>
      </w:tr>
      <w:tr>
        <w:trPr>
          <w:cantSplit/>
        </w:trPr>
        <w:tc>
          <w:tcPr>
            <w:tcW w:type="dxa" w:w="2391"/>
            <w:shd w:val="clear" w:fill="EEF3F9"/>
          </w:tcPr>
          <w:p>
            <w:pPr>
              <w:keepNext/>
              <w:spacing w:after="20"/>
            </w:pPr>
            <w:r/>
            <w:r>
              <w:rPr>
                <w:b/>
                <w:sz w:val="18"/>
              </w:rPr>
              <w:t>B. 35, permanent job, mortgage</w:t>
            </w:r>
          </w:p>
        </w:tc>
        <w:tc>
          <w:tcPr>
            <w:tcW w:type="dxa" w:w="1108"/>
            <w:shd w:val="clear" w:fill="EEF3F9"/>
          </w:tcPr>
          <w:p>
            <w:pPr>
              <w:keepNext/>
              <w:spacing w:after="20"/>
            </w:pPr>
            <w:r/>
            <w:r>
              <w:rPr>
                <w:sz w:val="18"/>
              </w:rPr>
              <w:t>High</w:t>
            </w:r>
          </w:p>
        </w:tc>
        <w:tc>
          <w:tcPr>
            <w:tcW w:type="dxa" w:w="967"/>
            <w:shd w:val="clear" w:fill="EEF3F9"/>
          </w:tcPr>
          <w:p>
            <w:pPr>
              <w:keepNext/>
              <w:spacing w:after="20"/>
            </w:pPr>
            <w:r/>
            <w:r>
              <w:rPr>
                <w:sz w:val="18"/>
              </w:rPr>
              <w:t>5+ years: none</w:t>
            </w:r>
          </w:p>
        </w:tc>
        <w:tc>
          <w:tcPr>
            <w:tcW w:type="dxa" w:w="1411"/>
            <w:shd w:val="clear" w:fill="EEF3F9"/>
          </w:tcPr>
          <w:p>
            <w:pPr>
              <w:keepNext/>
              <w:spacing w:after="20"/>
            </w:pPr>
            <w:r/>
            <w:r>
              <w:rPr>
                <w:sz w:val="18"/>
              </w:rPr>
              <w:t>None</w:t>
            </w:r>
          </w:p>
        </w:tc>
        <w:tc>
          <w:tcPr>
            <w:tcW w:type="dxa" w:w="1369"/>
            <w:shd w:val="clear" w:fill="EEF3F9"/>
          </w:tcPr>
          <w:p>
            <w:pPr>
              <w:keepNext/>
              <w:spacing w:after="20"/>
            </w:pPr>
            <w:r/>
            <w:r>
              <w:rPr>
                <w:sz w:val="18"/>
              </w:rPr>
              <w:t>4 / 4 / 4 → 4</w:t>
            </w:r>
          </w:p>
        </w:tc>
        <w:tc>
          <w:tcPr>
            <w:tcW w:type="dxa" w:w="2391"/>
            <w:shd w:val="clear" w:fill="EEF3F9"/>
          </w:tcPr>
          <w:p>
            <w:pPr>
              <w:keepNext/>
              <w:spacing w:after="20"/>
            </w:pPr>
            <w:r/>
            <w:r>
              <w:rPr>
                <w:sz w:val="18"/>
              </w:rPr>
              <w:t>4</w:t>
            </w:r>
          </w:p>
        </w:tc>
      </w:tr>
      <w:tr>
        <w:trPr>
          <w:cantSplit/>
        </w:trPr>
        <w:tc>
          <w:tcPr>
            <w:tcW w:type="dxa" w:w="2391"/>
          </w:tcPr>
          <w:p>
            <w:pPr>
              <w:keepNext/>
              <w:spacing w:after="20"/>
            </w:pPr>
            <w:r/>
            <w:r>
              <w:rPr>
                <w:b/>
                <w:sz w:val="18"/>
              </w:rPr>
              <w:t>C. 24, temporary work, no savings, very keen</w:t>
            </w:r>
          </w:p>
        </w:tc>
        <w:tc>
          <w:tcPr>
            <w:tcW w:type="dxa" w:w="1108"/>
          </w:tcPr>
          <w:p>
            <w:pPr>
              <w:keepNext/>
              <w:spacing w:after="20"/>
            </w:pPr>
            <w:r/>
            <w:r>
              <w:rPr>
                <w:sz w:val="18"/>
              </w:rPr>
              <w:t>Low</w:t>
            </w:r>
          </w:p>
        </w:tc>
        <w:tc>
          <w:tcPr>
            <w:tcW w:type="dxa" w:w="967"/>
          </w:tcPr>
          <w:p>
            <w:pPr>
              <w:keepNext/>
              <w:spacing w:after="20"/>
            </w:pPr>
            <w:r/>
            <w:r>
              <w:rPr>
                <w:sz w:val="18"/>
              </w:rPr>
              <w:t>5+ years: none</w:t>
            </w:r>
          </w:p>
        </w:tc>
        <w:tc>
          <w:tcPr>
            <w:tcW w:type="dxa" w:w="1411"/>
          </w:tcPr>
          <w:p>
            <w:pPr>
              <w:keepNext/>
              <w:spacing w:after="20"/>
            </w:pPr>
            <w:r/>
            <w:r>
              <w:rPr>
                <w:sz w:val="18"/>
              </w:rPr>
              <w:t>None</w:t>
            </w:r>
          </w:p>
        </w:tc>
        <w:tc>
          <w:tcPr>
            <w:tcW w:type="dxa" w:w="1369"/>
          </w:tcPr>
          <w:p>
            <w:pPr>
              <w:keepNext/>
              <w:spacing w:after="20"/>
            </w:pPr>
            <w:r/>
            <w:r>
              <w:rPr>
                <w:sz w:val="18"/>
              </w:rPr>
              <w:t>6 / 6 / 6 → 6</w:t>
            </w:r>
          </w:p>
        </w:tc>
        <w:tc>
          <w:tcPr>
            <w:tcW w:type="dxa" w:w="2391"/>
          </w:tcPr>
          <w:p>
            <w:pPr>
              <w:keepNext/>
              <w:spacing w:after="20"/>
            </w:pPr>
            <w:r/>
            <w:r>
              <w:rPr>
                <w:sz w:val="18"/>
              </w:rPr>
              <w:t>6, with a capacity confirmation and an adviser flag</w:t>
            </w:r>
          </w:p>
        </w:tc>
      </w:tr>
      <w:tr>
        <w:trPr>
          <w:cantSplit/>
        </w:trPr>
        <w:tc>
          <w:tcPr>
            <w:tcW w:type="dxa" w:w="2391"/>
            <w:shd w:val="clear" w:fill="EEF3F9"/>
          </w:tcPr>
          <w:p>
            <w:pPr>
              <w:keepNext/>
              <w:spacing w:after="20"/>
            </w:pPr>
            <w:r/>
            <w:r>
              <w:rPr>
                <w:b/>
                <w:sz w:val="18"/>
              </w:rPr>
              <w:t>D. 45, wealthy, experienced, investing for 20 years</w:t>
            </w:r>
          </w:p>
        </w:tc>
        <w:tc>
          <w:tcPr>
            <w:tcW w:type="dxa" w:w="1108"/>
            <w:shd w:val="clear" w:fill="EEF3F9"/>
          </w:tcPr>
          <w:p>
            <w:pPr>
              <w:keepNext/>
              <w:spacing w:after="20"/>
            </w:pPr>
            <w:r/>
            <w:r>
              <w:rPr>
                <w:sz w:val="18"/>
              </w:rPr>
              <w:t>High</w:t>
            </w:r>
          </w:p>
        </w:tc>
        <w:tc>
          <w:tcPr>
            <w:tcW w:type="dxa" w:w="967"/>
            <w:shd w:val="clear" w:fill="EEF3F9"/>
          </w:tcPr>
          <w:p>
            <w:pPr>
              <w:keepNext/>
              <w:spacing w:after="20"/>
            </w:pPr>
            <w:r/>
            <w:r>
              <w:rPr>
                <w:sz w:val="18"/>
              </w:rPr>
              <w:t>5+ years: none</w:t>
            </w:r>
          </w:p>
        </w:tc>
        <w:tc>
          <w:tcPr>
            <w:tcW w:type="dxa" w:w="1411"/>
            <w:shd w:val="clear" w:fill="EEF3F9"/>
          </w:tcPr>
          <w:p>
            <w:pPr>
              <w:keepNext/>
              <w:spacing w:after="20"/>
            </w:pPr>
            <w:r/>
            <w:r>
              <w:rPr>
                <w:sz w:val="18"/>
              </w:rPr>
              <w:t>None</w:t>
            </w:r>
          </w:p>
        </w:tc>
        <w:tc>
          <w:tcPr>
            <w:tcW w:type="dxa" w:w="1369"/>
            <w:shd w:val="clear" w:fill="EEF3F9"/>
          </w:tcPr>
          <w:p>
            <w:pPr>
              <w:keepNext/>
              <w:spacing w:after="20"/>
            </w:pPr>
            <w:r/>
            <w:r>
              <w:rPr>
                <w:sz w:val="18"/>
              </w:rPr>
              <w:t>6 / 6 / 6 → 6</w:t>
            </w:r>
          </w:p>
        </w:tc>
        <w:tc>
          <w:tcPr>
            <w:tcW w:type="dxa" w:w="2391"/>
            <w:shd w:val="clear" w:fill="EEF3F9"/>
          </w:tcPr>
          <w:p>
            <w:pPr>
              <w:keepNext/>
              <w:spacing w:after="20"/>
            </w:pPr>
            <w:r/>
            <w:r>
              <w:rPr>
                <w:sz w:val="18"/>
              </w:rPr>
              <w:t>6 (the highest given)</w:t>
            </w:r>
          </w:p>
        </w:tc>
      </w:tr>
      <w:tr>
        <w:trPr>
          <w:cantSplit/>
        </w:trPr>
        <w:tc>
          <w:tcPr>
            <w:tcW w:type="dxa" w:w="2391"/>
          </w:tcPr>
          <w:p>
            <w:pPr>
              <w:spacing w:after="20"/>
            </w:pPr>
            <w:r/>
            <w:r>
              <w:rPr>
                <w:b/>
                <w:sz w:val="18"/>
              </w:rPr>
              <w:t>E. 72, wealthy, very keen</w:t>
            </w:r>
          </w:p>
        </w:tc>
        <w:tc>
          <w:tcPr>
            <w:tcW w:type="dxa" w:w="1108"/>
          </w:tcPr>
          <w:p>
            <w:pPr>
              <w:spacing w:after="20"/>
            </w:pPr>
            <w:r/>
            <w:r>
              <w:rPr>
                <w:sz w:val="18"/>
              </w:rPr>
              <w:t>High</w:t>
            </w:r>
          </w:p>
        </w:tc>
        <w:tc>
          <w:tcPr>
            <w:tcW w:type="dxa" w:w="967"/>
          </w:tcPr>
          <w:p>
            <w:pPr>
              <w:spacing w:after="20"/>
            </w:pPr>
            <w:r/>
            <w:r>
              <w:rPr>
                <w:sz w:val="18"/>
              </w:rPr>
              <w:t>5+ years: none</w:t>
            </w:r>
          </w:p>
        </w:tc>
        <w:tc>
          <w:tcPr>
            <w:tcW w:type="dxa" w:w="1411"/>
          </w:tcPr>
          <w:p>
            <w:pPr>
              <w:spacing w:after="20"/>
            </w:pPr>
            <w:r/>
            <w:r>
              <w:rPr>
                <w:sz w:val="18"/>
              </w:rPr>
              <w:t>Flag</w:t>
            </w:r>
          </w:p>
        </w:tc>
        <w:tc>
          <w:tcPr>
            <w:tcW w:type="dxa" w:w="1369"/>
          </w:tcPr>
          <w:p>
            <w:pPr>
              <w:spacing w:after="20"/>
            </w:pPr>
            <w:r/>
            <w:r>
              <w:rPr>
                <w:sz w:val="18"/>
              </w:rPr>
              <w:t>6 / 6 / 6 → 6</w:t>
            </w:r>
          </w:p>
        </w:tc>
        <w:tc>
          <w:tcPr>
            <w:tcW w:type="dxa" w:w="2391"/>
          </w:tcPr>
          <w:p>
            <w:pPr>
              <w:spacing w:after="20"/>
            </w:pPr>
            <w:r/>
            <w:r>
              <w:rPr>
                <w:sz w:val="18"/>
              </w:rPr>
              <w:t>6, with an age flag</w:t>
            </w:r>
          </w:p>
        </w:tc>
      </w:tr>
    </w:tbl>
    <w:p>
      <w:pPr>
        <w:spacing w:after="40"/>
      </w:pPr>
    </w:p>
    <w:p>
      <w:pPr>
        <w:pStyle w:val="Heading1"/>
      </w:pPr>
      <w:r>
        <w:t>4. Against competitors</w:t>
      </w:r>
    </w:p>
    <w:tbl>
      <w:tblPr>
        <w:tblStyle w:val="TableGrid"/>
        <w:tblW w:type="auto" w:w="0"/>
        <w:tblLayout w:type="fixed"/>
        <w:tblLook w:firstColumn="1" w:firstRow="1" w:lastColumn="0" w:lastRow="0" w:noHBand="0" w:noVBand="1" w:val="04A0"/>
      </w:tblPr>
      <w:tblGrid>
        <w:gridCol w:w="1994"/>
        <w:gridCol w:w="1994"/>
        <w:gridCol w:w="1994"/>
        <w:gridCol w:w="1994"/>
        <w:gridCol w:w="1994"/>
      </w:tblGrid>
      <w:tr>
        <w:trPr>
          <w:cantSplit/>
          <w:tblHeader/>
        </w:trPr>
        <w:tc>
          <w:tcPr>
            <w:tcW w:type="dxa" w:w="1317"/>
            <w:shd w:val="clear" w:fill="003781"/>
          </w:tcPr>
          <w:p>
            <w:pPr>
              <w:keepNext/>
              <w:spacing w:after="20"/>
            </w:pPr>
            <w:r/>
          </w:p>
        </w:tc>
        <w:tc>
          <w:tcPr>
            <w:tcW w:type="dxa" w:w="2740"/>
            <w:shd w:val="clear" w:fill="003781"/>
          </w:tcPr>
          <w:p>
            <w:pPr>
              <w:keepNext/>
              <w:spacing w:after="20"/>
            </w:pPr>
            <w:r/>
            <w:r>
              <w:rPr>
                <w:b/>
                <w:color w:val="FFFFFF"/>
                <w:sz w:val="18"/>
              </w:rPr>
              <w:t>Proposed</w:t>
            </w:r>
          </w:p>
        </w:tc>
        <w:tc>
          <w:tcPr>
            <w:tcW w:type="dxa" w:w="1874"/>
            <w:shd w:val="clear" w:fill="003781"/>
          </w:tcPr>
          <w:p>
            <w:pPr>
              <w:keepNext/>
              <w:spacing w:after="20"/>
            </w:pPr>
            <w:r/>
            <w:r>
              <w:rPr>
                <w:b/>
                <w:color w:val="FFFFFF"/>
                <w:sz w:val="18"/>
              </w:rPr>
              <w:t>Aviva</w:t>
            </w:r>
          </w:p>
        </w:tc>
        <w:tc>
          <w:tcPr>
            <w:tcW w:type="dxa" w:w="2053"/>
            <w:shd w:val="clear" w:fill="003781"/>
          </w:tcPr>
          <w:p>
            <w:pPr>
              <w:keepNext/>
              <w:spacing w:after="20"/>
            </w:pPr>
            <w:r/>
            <w:r>
              <w:rPr>
                <w:b/>
                <w:color w:val="FFFFFF"/>
                <w:sz w:val="18"/>
              </w:rPr>
              <w:t>Zurich</w:t>
            </w:r>
          </w:p>
        </w:tc>
        <w:tc>
          <w:tcPr>
            <w:tcW w:type="dxa" w:w="1654"/>
            <w:shd w:val="clear" w:fill="003781"/>
          </w:tcPr>
          <w:p>
            <w:pPr>
              <w:keepNext/>
              <w:spacing w:after="20"/>
            </w:pPr>
            <w:r/>
            <w:r>
              <w:rPr>
                <w:b/>
                <w:color w:val="FFFFFF"/>
                <w:sz w:val="18"/>
              </w:rPr>
              <w:t>Standard Life / Irish Life *</w:t>
            </w:r>
          </w:p>
        </w:tc>
      </w:tr>
      <w:tr>
        <w:trPr>
          <w:cantSplit/>
        </w:trPr>
        <w:tc>
          <w:tcPr>
            <w:tcW w:type="dxa" w:w="1317"/>
          </w:tcPr>
          <w:p>
            <w:pPr>
              <w:keepNext/>
              <w:spacing w:after="20"/>
            </w:pPr>
            <w:r/>
            <w:r>
              <w:rPr>
                <w:b/>
                <w:sz w:val="18"/>
              </w:rPr>
              <w:t>Questions</w:t>
            </w:r>
          </w:p>
        </w:tc>
        <w:tc>
          <w:tcPr>
            <w:tcW w:type="dxa" w:w="2740"/>
          </w:tcPr>
          <w:p>
            <w:pPr>
              <w:keepNext/>
              <w:spacing w:after="20"/>
            </w:pPr>
            <w:r/>
            <w:r>
              <w:rPr>
                <w:sz w:val="18"/>
              </w:rPr>
              <w:t>8 + date of birth</w:t>
            </w:r>
          </w:p>
        </w:tc>
        <w:tc>
          <w:tcPr>
            <w:tcW w:type="dxa" w:w="1874"/>
          </w:tcPr>
          <w:p>
            <w:pPr>
              <w:keepNext/>
              <w:spacing w:after="20"/>
            </w:pPr>
            <w:r/>
            <w:r>
              <w:rPr>
                <w:sz w:val="18"/>
              </w:rPr>
              <w:t>5 + term</w:t>
            </w:r>
          </w:p>
        </w:tc>
        <w:tc>
          <w:tcPr>
            <w:tcW w:type="dxa" w:w="2053"/>
          </w:tcPr>
          <w:p>
            <w:pPr>
              <w:keepNext/>
              <w:spacing w:after="20"/>
            </w:pPr>
            <w:r/>
            <w:r>
              <w:rPr>
                <w:sz w:val="18"/>
              </w:rPr>
              <w:t>9</w:t>
            </w:r>
          </w:p>
        </w:tc>
        <w:tc>
          <w:tcPr>
            <w:tcW w:type="dxa" w:w="1654"/>
          </w:tcPr>
          <w:p>
            <w:pPr>
              <w:keepNext/>
              <w:spacing w:after="20"/>
            </w:pPr>
            <w:r/>
            <w:r>
              <w:rPr>
                <w:sz w:val="18"/>
              </w:rPr>
              <w:t>13 / 15</w:t>
            </w:r>
          </w:p>
        </w:tc>
      </w:tr>
      <w:tr>
        <w:trPr>
          <w:cantSplit/>
        </w:trPr>
        <w:tc>
          <w:tcPr>
            <w:tcW w:type="dxa" w:w="1317"/>
            <w:shd w:val="clear" w:fill="EEF3F9"/>
          </w:tcPr>
          <w:p>
            <w:pPr>
              <w:keepNext/>
              <w:spacing w:after="20"/>
            </w:pPr>
            <w:r/>
            <w:r>
              <w:rPr>
                <w:b/>
                <w:sz w:val="18"/>
              </w:rPr>
              <w:t>How the rating is produced</w:t>
            </w:r>
          </w:p>
        </w:tc>
        <w:tc>
          <w:tcPr>
            <w:tcW w:type="dxa" w:w="2740"/>
            <w:shd w:val="clear" w:fill="EEF3F9"/>
          </w:tcPr>
          <w:p>
            <w:pPr>
              <w:keepNext/>
              <w:spacing w:after="20"/>
            </w:pPr>
            <w:r/>
            <w:r>
              <w:rPr>
                <w:sz w:val="18"/>
              </w:rPr>
              <w:t>Attitude (anchored on the loss answer), limited by time horizon; highest 6</w:t>
            </w:r>
          </w:p>
        </w:tc>
        <w:tc>
          <w:tcPr>
            <w:tcW w:type="dxa" w:w="1874"/>
            <w:shd w:val="clear" w:fill="EEF3F9"/>
          </w:tcPr>
          <w:p>
            <w:pPr>
              <w:keepNext/>
              <w:spacing w:after="20"/>
            </w:pPr>
            <w:r/>
            <w:r>
              <w:rPr>
                <w:sz w:val="18"/>
              </w:rPr>
              <w:t>Lookup of objective × maximum loss</w:t>
            </w:r>
          </w:p>
        </w:tc>
        <w:tc>
          <w:tcPr>
            <w:tcW w:type="dxa" w:w="2053"/>
            <w:shd w:val="clear" w:fill="EEF3F9"/>
          </w:tcPr>
          <w:p>
            <w:pPr>
              <w:keepNext/>
              <w:spacing w:after="20"/>
            </w:pPr>
            <w:r/>
            <w:r>
              <w:rPr>
                <w:sz w:val="18"/>
              </w:rPr>
              <w:t>Points, then adjusted for age, term and knowledge</w:t>
            </w:r>
          </w:p>
        </w:tc>
        <w:tc>
          <w:tcPr>
            <w:tcW w:type="dxa" w:w="1654"/>
            <w:shd w:val="clear" w:fill="EEF3F9"/>
          </w:tcPr>
          <w:p>
            <w:pPr>
              <w:keepNext/>
              <w:spacing w:after="20"/>
            </w:pPr>
            <w:r/>
            <w:r>
              <w:rPr>
                <w:sz w:val="18"/>
              </w:rPr>
              <w:t>Total score in bands</w:t>
            </w:r>
          </w:p>
        </w:tc>
      </w:tr>
      <w:tr>
        <w:trPr>
          <w:cantSplit/>
        </w:trPr>
        <w:tc>
          <w:tcPr>
            <w:tcW w:type="dxa" w:w="1317"/>
          </w:tcPr>
          <w:p>
            <w:pPr>
              <w:keepNext/>
              <w:spacing w:after="20"/>
            </w:pPr>
            <w:r/>
            <w:r>
              <w:rPr>
                <w:b/>
                <w:sz w:val="18"/>
              </w:rPr>
              <w:t>Loss question</w:t>
            </w:r>
          </w:p>
        </w:tc>
        <w:tc>
          <w:tcPr>
            <w:tcW w:type="dxa" w:w="2740"/>
          </w:tcPr>
          <w:p>
            <w:pPr>
              <w:keepNext/>
              <w:spacing w:after="20"/>
            </w:pPr>
            <w:r/>
            <w:r>
              <w:rPr>
                <w:sz w:val="18"/>
              </w:rPr>
              <w:t>€ fall over 12 months</w:t>
            </w:r>
          </w:p>
        </w:tc>
        <w:tc>
          <w:tcPr>
            <w:tcW w:type="dxa" w:w="1874"/>
          </w:tcPr>
          <w:p>
            <w:pPr>
              <w:keepNext/>
              <w:spacing w:after="20"/>
            </w:pPr>
            <w:r/>
            <w:r>
              <w:rPr>
                <w:sz w:val="18"/>
              </w:rPr>
              <w:t>% fall over 12 months (slider)</w:t>
            </w:r>
          </w:p>
        </w:tc>
        <w:tc>
          <w:tcPr>
            <w:tcW w:type="dxa" w:w="2053"/>
          </w:tcPr>
          <w:p>
            <w:pPr>
              <w:keepNext/>
              <w:spacing w:after="20"/>
            </w:pPr>
            <w:r/>
            <w:r>
              <w:rPr>
                <w:sz w:val="18"/>
              </w:rPr>
              <w:t>Concern at a 10% fall; range after 5 years</w:t>
            </w:r>
          </w:p>
        </w:tc>
        <w:tc>
          <w:tcPr>
            <w:tcW w:type="dxa" w:w="1654"/>
          </w:tcPr>
          <w:p>
            <w:pPr>
              <w:keepNext/>
              <w:spacing w:after="20"/>
            </w:pPr>
            <w:r/>
            <w:r>
              <w:rPr>
                <w:sz w:val="18"/>
              </w:rPr>
              <w:t>How much you would put at risk</w:t>
            </w:r>
          </w:p>
        </w:tc>
      </w:tr>
      <w:tr>
        <w:trPr>
          <w:cantSplit/>
        </w:trPr>
        <w:tc>
          <w:tcPr>
            <w:tcW w:type="dxa" w:w="1317"/>
            <w:shd w:val="clear" w:fill="EEF3F9"/>
          </w:tcPr>
          <w:p>
            <w:pPr>
              <w:keepNext/>
              <w:spacing w:after="20"/>
            </w:pPr>
            <w:r/>
            <w:r>
              <w:rPr>
                <w:b/>
                <w:sz w:val="18"/>
              </w:rPr>
              <w:t>Capacity for loss</w:t>
            </w:r>
          </w:p>
        </w:tc>
        <w:tc>
          <w:tcPr>
            <w:tcW w:type="dxa" w:w="2740"/>
            <w:shd w:val="clear" w:fill="EEF3F9"/>
          </w:tcPr>
          <w:p>
            <w:pPr>
              <w:keepNext/>
              <w:spacing w:after="20"/>
            </w:pPr>
            <w:r/>
            <w:r>
              <w:rPr>
                <w:sz w:val="18"/>
              </w:rPr>
              <w:t>2 questions; separate result; confirmation if too low</w:t>
            </w:r>
          </w:p>
        </w:tc>
        <w:tc>
          <w:tcPr>
            <w:tcW w:type="dxa" w:w="1874"/>
            <w:shd w:val="clear" w:fill="EEF3F9"/>
          </w:tcPr>
          <w:p>
            <w:pPr>
              <w:keepNext/>
              <w:spacing w:after="20"/>
            </w:pPr>
            <w:r/>
            <w:r>
              <w:rPr>
                <w:sz w:val="18"/>
              </w:rPr>
              <w:t>Reliance used only for confirmation prompts</w:t>
            </w:r>
          </w:p>
        </w:tc>
        <w:tc>
          <w:tcPr>
            <w:tcW w:type="dxa" w:w="2053"/>
            <w:shd w:val="clear" w:fill="EEF3F9"/>
          </w:tcPr>
          <w:p>
            <w:pPr>
              <w:keepNext/>
              <w:spacing w:after="20"/>
            </w:pPr>
            <w:r/>
            <w:r>
              <w:rPr>
                <w:sz w:val="18"/>
              </w:rPr>
              <w:t>2 questions; separate result</w:t>
            </w:r>
          </w:p>
        </w:tc>
        <w:tc>
          <w:tcPr>
            <w:tcW w:type="dxa" w:w="1654"/>
            <w:shd w:val="clear" w:fill="EEF3F9"/>
          </w:tcPr>
          <w:p>
            <w:pPr>
              <w:keepNext/>
              <w:spacing w:after="20"/>
            </w:pPr>
            <w:r/>
            <w:r>
              <w:rPr>
                <w:sz w:val="18"/>
              </w:rPr>
              <w:t>Not assessed</w:t>
            </w:r>
          </w:p>
        </w:tc>
      </w:tr>
      <w:tr>
        <w:trPr>
          <w:cantSplit/>
        </w:trPr>
        <w:tc>
          <w:tcPr>
            <w:tcW w:type="dxa" w:w="1317"/>
          </w:tcPr>
          <w:p>
            <w:pPr>
              <w:keepNext/>
              <w:spacing w:after="20"/>
            </w:pPr>
            <w:r/>
            <w:r>
              <w:rPr>
                <w:b/>
                <w:sz w:val="18"/>
              </w:rPr>
              <w:t>Time horizon</w:t>
            </w:r>
          </w:p>
        </w:tc>
        <w:tc>
          <w:tcPr>
            <w:tcW w:type="dxa" w:w="2740"/>
          </w:tcPr>
          <w:p>
            <w:pPr>
              <w:keepNext/>
              <w:spacing w:after="20"/>
            </w:pPr>
            <w:r/>
            <w:r>
              <w:rPr>
                <w:sz w:val="18"/>
              </w:rPr>
              <w:t>Limits the rating; flag under 5 years</w:t>
            </w:r>
          </w:p>
        </w:tc>
        <w:tc>
          <w:tcPr>
            <w:tcW w:type="dxa" w:w="1874"/>
          </w:tcPr>
          <w:p>
            <w:pPr>
              <w:keepNext/>
              <w:spacing w:after="20"/>
            </w:pPr>
            <w:r/>
            <w:r>
              <w:rPr>
                <w:sz w:val="18"/>
              </w:rPr>
              <w:t>Charts only</w:t>
            </w:r>
          </w:p>
        </w:tc>
        <w:tc>
          <w:tcPr>
            <w:tcW w:type="dxa" w:w="2053"/>
          </w:tcPr>
          <w:p>
            <w:pPr>
              <w:keepNext/>
              <w:spacing w:after="20"/>
            </w:pPr>
            <w:r/>
            <w:r>
              <w:rPr>
                <w:sz w:val="18"/>
              </w:rPr>
              <w:t>Adjusts the score; warning at 5 years or less</w:t>
            </w:r>
          </w:p>
        </w:tc>
        <w:tc>
          <w:tcPr>
            <w:tcW w:type="dxa" w:w="1654"/>
          </w:tcPr>
          <w:p>
            <w:pPr>
              <w:keepNext/>
              <w:spacing w:after="20"/>
            </w:pPr>
            <w:r/>
            <w:r>
              <w:rPr>
                <w:sz w:val="18"/>
              </w:rPr>
              <w:t>Not assessed</w:t>
            </w:r>
          </w:p>
        </w:tc>
      </w:tr>
      <w:tr>
        <w:trPr>
          <w:cantSplit/>
        </w:trPr>
        <w:tc>
          <w:tcPr>
            <w:tcW w:type="dxa" w:w="1317"/>
            <w:shd w:val="clear" w:fill="EEF3F9"/>
          </w:tcPr>
          <w:p>
            <w:pPr>
              <w:keepNext/>
              <w:spacing w:after="20"/>
            </w:pPr>
            <w:r/>
            <w:r>
              <w:rPr>
                <w:b/>
                <w:sz w:val="18"/>
              </w:rPr>
              <w:t>Age</w:t>
            </w:r>
          </w:p>
        </w:tc>
        <w:tc>
          <w:tcPr>
            <w:tcW w:type="dxa" w:w="2740"/>
            <w:shd w:val="clear" w:fill="EEF3F9"/>
          </w:tcPr>
          <w:p>
            <w:pPr>
              <w:keepNext/>
              <w:spacing w:after="20"/>
            </w:pPr>
            <w:r/>
            <w:r>
              <w:rPr>
                <w:sz w:val="18"/>
              </w:rPr>
              <w:t>Flag only (65+)</w:t>
            </w:r>
          </w:p>
        </w:tc>
        <w:tc>
          <w:tcPr>
            <w:tcW w:type="dxa" w:w="1874"/>
            <w:shd w:val="clear" w:fill="EEF3F9"/>
          </w:tcPr>
          <w:p>
            <w:pPr>
              <w:keepNext/>
              <w:spacing w:after="20"/>
            </w:pPr>
            <w:r/>
            <w:r>
              <w:rPr>
                <w:sz w:val="18"/>
              </w:rPr>
              <w:t>Not used</w:t>
            </w:r>
          </w:p>
        </w:tc>
        <w:tc>
          <w:tcPr>
            <w:tcW w:type="dxa" w:w="2053"/>
            <w:shd w:val="clear" w:fill="EEF3F9"/>
          </w:tcPr>
          <w:p>
            <w:pPr>
              <w:keepNext/>
              <w:spacing w:after="20"/>
            </w:pPr>
            <w:r/>
            <w:r>
              <w:rPr>
                <w:sz w:val="18"/>
              </w:rPr>
              <w:t>Adjusts the score</w:t>
            </w:r>
          </w:p>
        </w:tc>
        <w:tc>
          <w:tcPr>
            <w:tcW w:type="dxa" w:w="1654"/>
            <w:shd w:val="clear" w:fill="EEF3F9"/>
          </w:tcPr>
          <w:p>
            <w:pPr>
              <w:keepNext/>
              <w:spacing w:after="20"/>
            </w:pPr>
            <w:r/>
            <w:r>
              <w:rPr>
                <w:sz w:val="18"/>
              </w:rPr>
              <w:t>Not used</w:t>
            </w:r>
          </w:p>
        </w:tc>
      </w:tr>
      <w:tr>
        <w:trPr>
          <w:cantSplit/>
        </w:trPr>
        <w:tc>
          <w:tcPr>
            <w:tcW w:type="dxa" w:w="1317"/>
          </w:tcPr>
          <w:p>
            <w:pPr>
              <w:keepNext/>
              <w:spacing w:after="20"/>
            </w:pPr>
            <w:r/>
            <w:r>
              <w:rPr>
                <w:b/>
                <w:sz w:val="18"/>
              </w:rPr>
              <w:t>Knowledge</w:t>
            </w:r>
          </w:p>
        </w:tc>
        <w:tc>
          <w:tcPr>
            <w:tcW w:type="dxa" w:w="2740"/>
          </w:tcPr>
          <w:p>
            <w:pPr>
              <w:keepNext/>
              <w:spacing w:after="20"/>
            </w:pPr>
            <w:r/>
            <w:r>
              <w:rPr>
                <w:sz w:val="18"/>
              </w:rPr>
              <w:t>Description plus a ranking check; flag</w:t>
            </w:r>
          </w:p>
        </w:tc>
        <w:tc>
          <w:tcPr>
            <w:tcW w:type="dxa" w:w="1874"/>
          </w:tcPr>
          <w:p>
            <w:pPr>
              <w:keepNext/>
              <w:spacing w:after="20"/>
            </w:pPr>
            <w:r/>
            <w:r>
              <w:rPr>
                <w:sz w:val="18"/>
              </w:rPr>
              <w:t>1 question; prompts</w:t>
            </w:r>
          </w:p>
        </w:tc>
        <w:tc>
          <w:tcPr>
            <w:tcW w:type="dxa" w:w="2053"/>
          </w:tcPr>
          <w:p>
            <w:pPr>
              <w:keepNext/>
              <w:spacing w:after="20"/>
            </w:pPr>
            <w:r/>
            <w:r>
              <w:rPr>
                <w:sz w:val="18"/>
              </w:rPr>
              <w:t>1 question; adjusts the score</w:t>
            </w:r>
          </w:p>
        </w:tc>
        <w:tc>
          <w:tcPr>
            <w:tcW w:type="dxa" w:w="1654"/>
          </w:tcPr>
          <w:p>
            <w:pPr>
              <w:keepNext/>
              <w:spacing w:after="20"/>
            </w:pPr>
            <w:r/>
            <w:r>
              <w:rPr>
                <w:sz w:val="18"/>
              </w:rPr>
              <w:t>Not assessed</w:t>
            </w:r>
          </w:p>
        </w:tc>
      </w:tr>
      <w:tr>
        <w:trPr>
          <w:cantSplit/>
        </w:trPr>
        <w:tc>
          <w:tcPr>
            <w:tcW w:type="dxa" w:w="1317"/>
            <w:shd w:val="clear" w:fill="EEF3F9"/>
          </w:tcPr>
          <w:p>
            <w:pPr>
              <w:keepNext/>
              <w:spacing w:after="20"/>
            </w:pPr>
            <w:r/>
            <w:r>
              <w:rPr>
                <w:b/>
                <w:sz w:val="18"/>
              </w:rPr>
              <w:t>Highest level</w:t>
            </w:r>
          </w:p>
        </w:tc>
        <w:tc>
          <w:tcPr>
            <w:tcW w:type="dxa" w:w="2740"/>
            <w:shd w:val="clear" w:fill="EEF3F9"/>
          </w:tcPr>
          <w:p>
            <w:pPr>
              <w:keepNext/>
              <w:spacing w:after="20"/>
            </w:pPr>
            <w:r/>
            <w:r>
              <w:rPr>
                <w:sz w:val="18"/>
              </w:rPr>
              <w:t>6</w:t>
            </w:r>
          </w:p>
        </w:tc>
        <w:tc>
          <w:tcPr>
            <w:tcW w:type="dxa" w:w="1874"/>
            <w:shd w:val="clear" w:fill="EEF3F9"/>
          </w:tcPr>
          <w:p>
            <w:pPr>
              <w:keepNext/>
              <w:spacing w:after="20"/>
            </w:pPr>
            <w:r/>
            <w:r>
              <w:rPr>
                <w:sz w:val="18"/>
              </w:rPr>
              <w:t>6</w:t>
            </w:r>
          </w:p>
        </w:tc>
        <w:tc>
          <w:tcPr>
            <w:tcW w:type="dxa" w:w="2053"/>
            <w:shd w:val="clear" w:fill="EEF3F9"/>
          </w:tcPr>
          <w:p>
            <w:pPr>
              <w:keepNext/>
              <w:spacing w:after="20"/>
            </w:pPr>
            <w:r/>
            <w:r>
              <w:rPr>
                <w:sz w:val="18"/>
              </w:rPr>
              <w:t>7 (young, long term, expert)</w:t>
            </w:r>
          </w:p>
        </w:tc>
        <w:tc>
          <w:tcPr>
            <w:tcW w:type="dxa" w:w="1654"/>
            <w:shd w:val="clear" w:fill="EEF3F9"/>
          </w:tcPr>
          <w:p>
            <w:pPr>
              <w:keepNext/>
              <w:spacing w:after="20"/>
            </w:pPr>
            <w:r/>
            <w:r>
              <w:rPr>
                <w:sz w:val="18"/>
              </w:rPr>
              <w:t>SL: 6 and 7 grouped as "High"; IL: 7</w:t>
            </w:r>
          </w:p>
        </w:tc>
      </w:tr>
      <w:tr>
        <w:trPr>
          <w:cantSplit/>
        </w:trPr>
        <w:tc>
          <w:tcPr>
            <w:tcW w:type="dxa" w:w="1317"/>
          </w:tcPr>
          <w:p>
            <w:pPr>
              <w:spacing w:after="20"/>
            </w:pPr>
            <w:r/>
            <w:r>
              <w:rPr>
                <w:b/>
                <w:sz w:val="18"/>
              </w:rPr>
              <w:t>Consistency checks</w:t>
            </w:r>
          </w:p>
        </w:tc>
        <w:tc>
          <w:tcPr>
            <w:tcW w:type="dxa" w:w="2740"/>
          </w:tcPr>
          <w:p>
            <w:pPr>
              <w:spacing w:after="20"/>
            </w:pPr>
            <w:r/>
            <w:r>
              <w:rPr>
                <w:sz w:val="18"/>
              </w:rPr>
              <w:t>6 flags</w:t>
            </w:r>
          </w:p>
        </w:tc>
        <w:tc>
          <w:tcPr>
            <w:tcW w:type="dxa" w:w="1874"/>
          </w:tcPr>
          <w:p>
            <w:pPr>
              <w:spacing w:after="20"/>
            </w:pPr>
            <w:r/>
            <w:r>
              <w:rPr>
                <w:sz w:val="18"/>
              </w:rPr>
              <w:t>3 confirmation prompts</w:t>
            </w:r>
          </w:p>
        </w:tc>
        <w:tc>
          <w:tcPr>
            <w:tcW w:type="dxa" w:w="2053"/>
          </w:tcPr>
          <w:p>
            <w:pPr>
              <w:spacing w:after="20"/>
            </w:pPr>
            <w:r/>
            <w:r>
              <w:rPr>
                <w:sz w:val="18"/>
              </w:rPr>
              <w:t>Conflict warnings between answers</w:t>
            </w:r>
          </w:p>
        </w:tc>
        <w:tc>
          <w:tcPr>
            <w:tcW w:type="dxa" w:w="1654"/>
          </w:tcPr>
          <w:p>
            <w:pPr>
              <w:spacing w:after="20"/>
            </w:pPr>
            <w:r/>
            <w:r>
              <w:rPr>
                <w:sz w:val="18"/>
              </w:rPr>
              <w:t>Adviser discussion</w:t>
            </w:r>
          </w:p>
        </w:tc>
      </w:tr>
    </w:tbl>
    <w:p>
      <w:pPr>
        <w:spacing w:after="40"/>
      </w:pPr>
    </w:p>
    <w:p>
      <w:r>
        <w:rPr>
          <w:i/>
          <w:sz w:val="17"/>
        </w:rPr>
        <w:t>* Standard Life uses the EV (formerly EValue) questionnaire; Irish Life appears to use the same question bank (inferred).</w:t>
      </w:r>
    </w:p>
    <w:p>
      <w:r>
        <w:br w:type="page"/>
      </w:r>
    </w:p>
    <w:p>
      <w:pPr>
        <w:pStyle w:val="Heading1"/>
      </w:pPr>
      <w:r>
        <w:t>5. Testing against Aviva and Zurich</w:t>
      </w:r>
    </w:p>
    <w:p>
      <w:r>
        <w:t>18 example clients were run through the proposed questions, Aviva's tool and Zurich's tool.</w:t>
      </w:r>
    </w:p>
    <w:tbl>
      <w:tblPr>
        <w:tblStyle w:val="TableGrid"/>
        <w:tblW w:type="auto" w:w="0"/>
        <w:tblLayout w:type="fixed"/>
        <w:tblLook w:firstColumn="1" w:firstRow="1" w:lastColumn="0" w:lastRow="0" w:noHBand="0" w:noVBand="1" w:val="04A0"/>
      </w:tblPr>
      <w:tblGrid>
        <w:gridCol w:w="3324"/>
        <w:gridCol w:w="3324"/>
        <w:gridCol w:w="3324"/>
      </w:tblGrid>
      <w:tr>
        <w:trPr>
          <w:cantSplit/>
          <w:tblHeader/>
        </w:trPr>
        <w:tc>
          <w:tcPr>
            <w:tcW w:type="dxa" w:w="4613"/>
            <w:shd w:val="clear" w:fill="003781"/>
          </w:tcPr>
          <w:p>
            <w:pPr>
              <w:keepNext/>
              <w:spacing w:after="20"/>
            </w:pPr>
            <w:r/>
          </w:p>
        </w:tc>
        <w:tc>
          <w:tcPr>
            <w:tcW w:type="dxa" w:w="2185"/>
            <w:shd w:val="clear" w:fill="003781"/>
          </w:tcPr>
          <w:p>
            <w:pPr>
              <w:keepNext/>
              <w:spacing w:after="20"/>
            </w:pPr>
            <w:r/>
            <w:r>
              <w:rPr>
                <w:b/>
                <w:color w:val="FFFFFF"/>
                <w:sz w:val="19"/>
              </w:rPr>
              <w:t>Same rating</w:t>
            </w:r>
          </w:p>
        </w:tc>
        <w:tc>
          <w:tcPr>
            <w:tcW w:type="dxa" w:w="2840"/>
            <w:shd w:val="clear" w:fill="003781"/>
          </w:tcPr>
          <w:p>
            <w:pPr>
              <w:keepNext/>
              <w:spacing w:after="20"/>
            </w:pPr>
            <w:r/>
            <w:r>
              <w:rPr>
                <w:b/>
                <w:color w:val="FFFFFF"/>
                <w:sz w:val="19"/>
              </w:rPr>
              <w:t>Within one level</w:t>
            </w:r>
          </w:p>
        </w:tc>
      </w:tr>
      <w:tr>
        <w:trPr>
          <w:cantSplit/>
        </w:trPr>
        <w:tc>
          <w:tcPr>
            <w:tcW w:type="dxa" w:w="4613"/>
          </w:tcPr>
          <w:p>
            <w:pPr>
              <w:keepNext/>
              <w:spacing w:after="20"/>
            </w:pPr>
            <w:r/>
            <w:r>
              <w:rPr>
                <w:b/>
                <w:sz w:val="19"/>
              </w:rPr>
              <w:t>Proposed and Aviva</w:t>
            </w:r>
          </w:p>
        </w:tc>
        <w:tc>
          <w:tcPr>
            <w:tcW w:type="dxa" w:w="2185"/>
          </w:tcPr>
          <w:p>
            <w:pPr>
              <w:keepNext/>
              <w:spacing w:after="20"/>
            </w:pPr>
            <w:r/>
            <w:r>
              <w:rPr>
                <w:sz w:val="19"/>
              </w:rPr>
              <w:t>12 of 18</w:t>
            </w:r>
          </w:p>
        </w:tc>
        <w:tc>
          <w:tcPr>
            <w:tcW w:type="dxa" w:w="2840"/>
          </w:tcPr>
          <w:p>
            <w:pPr>
              <w:keepNext/>
              <w:spacing w:after="20"/>
            </w:pPr>
            <w:r/>
            <w:r>
              <w:rPr>
                <w:sz w:val="19"/>
              </w:rPr>
              <w:t>16 of 18</w:t>
            </w:r>
          </w:p>
        </w:tc>
      </w:tr>
      <w:tr>
        <w:trPr>
          <w:cantSplit/>
        </w:trPr>
        <w:tc>
          <w:tcPr>
            <w:tcW w:type="dxa" w:w="4613"/>
            <w:shd w:val="clear" w:fill="EEF3F9"/>
          </w:tcPr>
          <w:p>
            <w:pPr>
              <w:keepNext/>
              <w:spacing w:after="20"/>
            </w:pPr>
            <w:r/>
            <w:r>
              <w:rPr>
                <w:b/>
                <w:sz w:val="19"/>
              </w:rPr>
              <w:t>Proposed and Zurich</w:t>
            </w:r>
          </w:p>
        </w:tc>
        <w:tc>
          <w:tcPr>
            <w:tcW w:type="dxa" w:w="2185"/>
            <w:shd w:val="clear" w:fill="EEF3F9"/>
          </w:tcPr>
          <w:p>
            <w:pPr>
              <w:keepNext/>
              <w:spacing w:after="20"/>
            </w:pPr>
            <w:r/>
            <w:r>
              <w:rPr>
                <w:sz w:val="19"/>
              </w:rPr>
              <w:t>9 of 18</w:t>
            </w:r>
          </w:p>
        </w:tc>
        <w:tc>
          <w:tcPr>
            <w:tcW w:type="dxa" w:w="2840"/>
            <w:shd w:val="clear" w:fill="EEF3F9"/>
          </w:tcPr>
          <w:p>
            <w:pPr>
              <w:keepNext/>
              <w:spacing w:after="20"/>
            </w:pPr>
            <w:r/>
            <w:r>
              <w:rPr>
                <w:sz w:val="19"/>
              </w:rPr>
              <w:t>18 of 18</w:t>
            </w:r>
          </w:p>
        </w:tc>
      </w:tr>
      <w:tr>
        <w:trPr>
          <w:cantSplit/>
        </w:trPr>
        <w:tc>
          <w:tcPr>
            <w:tcW w:type="dxa" w:w="4613"/>
          </w:tcPr>
          <w:p>
            <w:pPr>
              <w:spacing w:after="20"/>
            </w:pPr>
            <w:r/>
            <w:r>
              <w:rPr>
                <w:b/>
                <w:sz w:val="19"/>
              </w:rPr>
              <w:t>Aviva and Zurich (for reference)</w:t>
            </w:r>
          </w:p>
        </w:tc>
        <w:tc>
          <w:tcPr>
            <w:tcW w:type="dxa" w:w="2185"/>
          </w:tcPr>
          <w:p>
            <w:pPr>
              <w:spacing w:after="20"/>
            </w:pPr>
            <w:r/>
            <w:r>
              <w:rPr>
                <w:sz w:val="19"/>
              </w:rPr>
              <w:t>7 of 18</w:t>
            </w:r>
          </w:p>
        </w:tc>
        <w:tc>
          <w:tcPr>
            <w:tcW w:type="dxa" w:w="2840"/>
          </w:tcPr>
          <w:p>
            <w:pPr>
              <w:spacing w:after="20"/>
            </w:pPr>
            <w:r/>
            <w:r>
              <w:rPr>
                <w:sz w:val="19"/>
              </w:rPr>
              <w:t>16 of 18</w:t>
            </w:r>
          </w:p>
        </w:tc>
      </w:tr>
    </w:tbl>
    <w:p>
      <w:pPr>
        <w:spacing w:after="40"/>
      </w:pPr>
    </w:p>
    <w:tbl>
      <w:tblPr>
        <w:tblW w:type="auto" w:w="0"/>
        <w:tblLayout w:type="fixed"/>
        <w:tblLook w:firstColumn="1" w:firstRow="1" w:lastColumn="0" w:lastRow="0" w:noHBand="0" w:noVBand="1" w:val="04A0"/>
      </w:tblPr>
      <w:tblGrid>
        <w:gridCol w:w="9972"/>
      </w:tblGrid>
      <w:tr>
        <w:trPr>
          <w:cantSplit/>
        </w:trPr>
        <w:tc>
          <w:tcPr>
            <w:tcW w:type="dxa" w:w="9638"/>
            <w:shd w:val="clear" w:fill="F2F2F2"/>
          </w:tcPr>
          <w:p>
            <w:pPr>
              <w:spacing w:after="40"/>
            </w:pPr>
            <w:r/>
            <w:r>
              <w:rPr>
                <w:b/>
                <w:color w:val="003781"/>
                <w:sz w:val="19"/>
              </w:rPr>
              <w:t xml:space="preserve">Method  </w:t>
            </w:r>
            <w:r>
              <w:rPr>
                <w:sz w:val="19"/>
              </w:rPr>
              <w:t>Each client was described once (finances, horizon, the largest fall they would accept, how they would react, objective, knowledge) and the description was translated into each tool's answers. Aviva's result comes from its published scoring code. Zurich's comes from submitting the answers to its live tool on 15/10/2026. The translation between tools is our own judgement, so a one-level difference can come from that. Q1 (cushion) was taken from each client's savings and Q2 (impact of a loss) from how much they rely on the money; these are also the answers given to Zurich's two capacity questions. Re-run on 19/10/2026 for the 8-question version: only our capacity column changed (P16); no rating or flag changed. The Aviva and Zurich results are those obtained earlier.</w:t>
            </w:r>
          </w:p>
          <w:p>
            <w:pPr>
              <w:spacing w:after="40"/>
            </w:pPr>
            <w:r>
              <w:rPr>
                <w:b/>
                <w:color w:val="003781"/>
                <w:sz w:val="19"/>
              </w:rPr>
              <w:t xml:space="preserve">Overall  </w:t>
            </w:r>
            <w:r>
              <w:rPr>
                <w:sz w:val="19"/>
              </w:rPr>
              <w:t>The proposed rating is within one level of Zurich for every client, and agrees with each competitor more often than the two competitors agree with each other.</w:t>
            </w:r>
          </w:p>
          <w:p>
            <w:pPr>
              <w:spacing w:after="40"/>
            </w:pPr>
            <w:r>
              <w:rPr>
                <w:b/>
                <w:color w:val="003781"/>
                <w:sz w:val="19"/>
              </w:rPr>
              <w:t xml:space="preserve">Zurich  </w:t>
            </w:r>
            <w:r>
              <w:rPr>
                <w:sz w:val="19"/>
              </w:rPr>
              <w:t>Zurich is one level lower for six clients (P2, P10, P11, P13, P14, P16), mostly because it deducts for age over 50, terms under 10 years and little knowledge; we use those as limits or flags instead. It is one higher for three (P6, P17, P18).</w:t>
            </w:r>
          </w:p>
          <w:p>
            <w:pPr>
              <w:spacing w:after="40"/>
            </w:pPr>
            <w:r>
              <w:rPr>
                <w:b/>
                <w:color w:val="003781"/>
                <w:sz w:val="19"/>
              </w:rPr>
              <w:t xml:space="preserve">Aviva  </w:t>
            </w:r>
            <w:r>
              <w:rPr>
                <w:sz w:val="19"/>
              </w:rPr>
              <w:t>Aviva ignores the time horizon (higher for P8 and P17), never goes below 3 except for its no-risk 0 (P1, P15), and stops at 6. The two clients more than one level from Aviva are P15 (its no-risk 0) and P17 (its horizon is ignored).</w:t>
            </w:r>
          </w:p>
          <w:p>
            <w:pPr>
              <w:spacing w:after="40"/>
            </w:pPr>
            <w:r>
              <w:rPr>
                <w:b/>
                <w:color w:val="003781"/>
                <w:sz w:val="19"/>
              </w:rPr>
              <w:t xml:space="preserve">Changes after the first run  </w:t>
            </w:r>
            <w:r>
              <w:rPr>
                <w:sz w:val="19"/>
              </w:rPr>
              <w:t>The loss answer now anchors the attitude rating (at most one level above Q4): P18, who would accept only a 2.5% fall, moved from 6 to 3, the same as Aviva. Relying on the money (now Q2) caps capacity at Medium: P13 moved from High to Medium, the same as Zurich. No other results changed.</w:t>
            </w:r>
          </w:p>
          <w:p>
            <w:pPr>
              <w:spacing w:after="40"/>
            </w:pPr>
            <w:r>
              <w:rPr>
                <w:b/>
                <w:color w:val="003781"/>
                <w:sz w:val="19"/>
              </w:rPr>
              <w:t xml:space="preserve">Capacity  </w:t>
            </w:r>
            <w:r>
              <w:rPr>
                <w:sz w:val="19"/>
              </w:rPr>
              <w:t>Our capacity matches Zurich's for 13 of 18. Where it differs, ours is one step higher (P2, P4, P11, P15, P18): each of these has a top and a middle answer (3 + 2), which we call High (5–6) and Zurich calls Medium. Zurich gives High only for two top answers. Setting our bands to Low 2–3, Medium 4–5, High 6 would match Zurich for all 18; this is an open decision.</w:t>
            </w:r>
          </w:p>
          <w:p>
            <w:pPr>
              <w:spacing w:after="40"/>
            </w:pPr>
            <w:r>
              <w:rPr>
                <w:b/>
                <w:color w:val="003781"/>
                <w:sz w:val="19"/>
              </w:rPr>
              <w:t xml:space="preserve">Knowledge check  </w:t>
            </w:r>
            <w:r>
              <w:rPr>
                <w:sz w:val="19"/>
              </w:rPr>
              <w:t>Clients with low knowledge were assumed to get Q8 wrong. That changed no ratings, because knowledge only raises flags.</w:t>
            </w:r>
          </w:p>
        </w:tc>
      </w:tr>
    </w:tbl>
    <w:p>
      <w:pPr>
        <w:spacing w:after="40"/>
      </w:pPr>
    </w:p>
    <w:p>
      <w:pPr>
        <w:pStyle w:val="Heading2"/>
      </w:pPr>
      <w:r>
        <w:t>Results by client</w:t>
      </w:r>
    </w:p>
    <w:tbl>
      <w:tblPr>
        <w:tblStyle w:val="TableGrid"/>
        <w:tblW w:type="auto" w:w="0"/>
        <w:tblLayout w:type="fixed"/>
        <w:tblLook w:firstColumn="1" w:firstRow="1" w:lastColumn="0" w:lastRow="0" w:noHBand="0" w:noVBand="1" w:val="04A0"/>
      </w:tblPr>
      <w:tblGrid>
        <w:gridCol w:w="1994"/>
        <w:gridCol w:w="1994"/>
        <w:gridCol w:w="1994"/>
        <w:gridCol w:w="1994"/>
        <w:gridCol w:w="1994"/>
      </w:tblGrid>
      <w:tr>
        <w:trPr>
          <w:cantSplit/>
          <w:tblHeader/>
        </w:trPr>
        <w:tc>
          <w:tcPr>
            <w:tcW w:type="dxa" w:w="2514"/>
            <w:shd w:val="clear" w:fill="003781"/>
          </w:tcPr>
          <w:p>
            <w:pPr>
              <w:keepNext/>
              <w:spacing w:after="20"/>
            </w:pPr>
            <w:r/>
            <w:r>
              <w:rPr>
                <w:b/>
                <w:color w:val="FFFFFF"/>
                <w:sz w:val="17"/>
              </w:rPr>
              <w:t>Client</w:t>
            </w:r>
          </w:p>
        </w:tc>
        <w:tc>
          <w:tcPr>
            <w:tcW w:type="dxa" w:w="1575"/>
            <w:shd w:val="clear" w:fill="003781"/>
          </w:tcPr>
          <w:p>
            <w:pPr>
              <w:keepNext/>
              <w:spacing w:after="20"/>
            </w:pPr>
            <w:r/>
            <w:r>
              <w:rPr>
                <w:b/>
                <w:color w:val="FFFFFF"/>
                <w:sz w:val="17"/>
              </w:rPr>
              <w:t>Proposed</w:t>
            </w:r>
          </w:p>
        </w:tc>
        <w:tc>
          <w:tcPr>
            <w:tcW w:type="dxa" w:w="1353"/>
            <w:shd w:val="clear" w:fill="003781"/>
          </w:tcPr>
          <w:p>
            <w:pPr>
              <w:keepNext/>
              <w:spacing w:after="20"/>
            </w:pPr>
            <w:r/>
            <w:r>
              <w:rPr>
                <w:b/>
                <w:color w:val="FFFFFF"/>
                <w:sz w:val="17"/>
              </w:rPr>
              <w:t>Aviva</w:t>
            </w:r>
          </w:p>
        </w:tc>
        <w:tc>
          <w:tcPr>
            <w:tcW w:type="dxa" w:w="1466"/>
            <w:shd w:val="clear" w:fill="003781"/>
          </w:tcPr>
          <w:p>
            <w:pPr>
              <w:keepNext/>
              <w:spacing w:after="20"/>
            </w:pPr>
            <w:r/>
            <w:r>
              <w:rPr>
                <w:b/>
                <w:color w:val="FFFFFF"/>
                <w:sz w:val="17"/>
              </w:rPr>
              <w:t>Zurich</w:t>
            </w:r>
          </w:p>
        </w:tc>
        <w:tc>
          <w:tcPr>
            <w:tcW w:type="dxa" w:w="2730"/>
            <w:shd w:val="clear" w:fill="003781"/>
          </w:tcPr>
          <w:p>
            <w:pPr>
              <w:keepNext/>
              <w:spacing w:after="20"/>
            </w:pPr>
            <w:r/>
            <w:r>
              <w:rPr>
                <w:b/>
                <w:color w:val="FFFFFF"/>
                <w:sz w:val="17"/>
              </w:rPr>
              <w:t>What it shows</w:t>
            </w:r>
          </w:p>
        </w:tc>
      </w:tr>
      <w:tr>
        <w:trPr>
          <w:cantSplit/>
        </w:trPr>
        <w:tc>
          <w:tcPr>
            <w:tcW w:type="dxa" w:w="2514"/>
          </w:tcPr>
          <w:p>
            <w:pPr>
              <w:spacing w:after="20"/>
            </w:pPr>
            <w:r/>
            <w:r>
              <w:rPr>
                <w:b/>
                <w:sz w:val="17"/>
              </w:rPr>
              <w:t>P1. Retired, 72; needs the money in 4 years; would accept about 2%</w:t>
            </w:r>
          </w:p>
        </w:tc>
        <w:tc>
          <w:tcPr>
            <w:tcW w:type="dxa" w:w="1575"/>
          </w:tcPr>
          <w:p>
            <w:pPr>
              <w:spacing w:after="20"/>
            </w:pPr>
            <w:r/>
            <w:r>
              <w:rPr>
                <w:sz w:val="17"/>
              </w:rPr>
              <w:t>1</w:t>
            </w:r>
          </w:p>
          <w:p>
            <w:pPr>
              <w:spacing w:after="20"/>
            </w:pPr>
            <w:r>
              <w:rPr>
                <w:sz w:val="17"/>
              </w:rPr>
              <w:t>Capacity High</w:t>
            </w:r>
          </w:p>
        </w:tc>
        <w:tc>
          <w:tcPr>
            <w:tcW w:type="dxa" w:w="1353"/>
          </w:tcPr>
          <w:p>
            <w:pPr>
              <w:spacing w:after="20"/>
            </w:pPr>
            <w:r/>
            <w:r>
              <w:rPr>
                <w:sz w:val="17"/>
              </w:rPr>
              <w:t>0 (no-risk)</w:t>
            </w:r>
          </w:p>
        </w:tc>
        <w:tc>
          <w:tcPr>
            <w:tcW w:type="dxa" w:w="1466"/>
          </w:tcPr>
          <w:p>
            <w:pPr>
              <w:spacing w:after="20"/>
            </w:pPr>
            <w:r/>
            <w:r>
              <w:rPr>
                <w:sz w:val="17"/>
              </w:rPr>
              <w:t>1</w:t>
            </w:r>
          </w:p>
          <w:p>
            <w:pPr>
              <w:spacing w:after="20"/>
            </w:pPr>
            <w:r>
              <w:rPr>
                <w:sz w:val="17"/>
              </w:rPr>
              <w:t>Capacity High</w:t>
            </w:r>
          </w:p>
        </w:tc>
        <w:tc>
          <w:tcPr>
            <w:tcW w:type="dxa" w:w="2730"/>
          </w:tcPr>
          <w:p>
            <w:pPr>
              <w:spacing w:after="20"/>
            </w:pPr>
            <w:r/>
            <w:r>
              <w:rPr>
                <w:sz w:val="17"/>
              </w:rPr>
              <w:t>Consistent. Aviva's 0 means deposit-type only.</w:t>
            </w:r>
          </w:p>
        </w:tc>
      </w:tr>
      <w:tr>
        <w:trPr>
          <w:cantSplit/>
        </w:trPr>
        <w:tc>
          <w:tcPr>
            <w:tcW w:type="dxa" w:w="2514"/>
            <w:shd w:val="clear" w:fill="EEF3F9"/>
          </w:tcPr>
          <w:p>
            <w:pPr>
              <w:spacing w:after="20"/>
            </w:pPr>
            <w:r/>
            <w:r>
              <w:rPr>
                <w:b/>
                <w:sz w:val="17"/>
              </w:rPr>
              <w:t>P2. Retired, 66; 7 years; about 8%</w:t>
            </w:r>
          </w:p>
        </w:tc>
        <w:tc>
          <w:tcPr>
            <w:tcW w:type="dxa" w:w="1575"/>
            <w:shd w:val="clear" w:fill="EEF3F9"/>
          </w:tcPr>
          <w:p>
            <w:pPr>
              <w:spacing w:after="20"/>
            </w:pPr>
            <w:r/>
            <w:r>
              <w:rPr>
                <w:sz w:val="17"/>
              </w:rPr>
              <w:t>3</w:t>
            </w:r>
          </w:p>
          <w:p>
            <w:pPr>
              <w:spacing w:after="20"/>
            </w:pPr>
            <w:r>
              <w:rPr>
                <w:sz w:val="17"/>
              </w:rPr>
              <w:t>Capacity High</w:t>
            </w:r>
          </w:p>
        </w:tc>
        <w:tc>
          <w:tcPr>
            <w:tcW w:type="dxa" w:w="1353"/>
            <w:shd w:val="clear" w:fill="EEF3F9"/>
          </w:tcPr>
          <w:p>
            <w:pPr>
              <w:spacing w:after="20"/>
            </w:pPr>
            <w:r/>
            <w:r>
              <w:rPr>
                <w:sz w:val="17"/>
              </w:rPr>
              <w:t>3</w:t>
            </w:r>
          </w:p>
        </w:tc>
        <w:tc>
          <w:tcPr>
            <w:tcW w:type="dxa" w:w="1466"/>
            <w:shd w:val="clear" w:fill="EEF3F9"/>
          </w:tcPr>
          <w:p>
            <w:pPr>
              <w:spacing w:after="20"/>
            </w:pPr>
            <w:r/>
            <w:r>
              <w:rPr>
                <w:sz w:val="17"/>
              </w:rPr>
              <w:t>2</w:t>
            </w:r>
          </w:p>
          <w:p>
            <w:pPr>
              <w:spacing w:after="20"/>
            </w:pPr>
            <w:r>
              <w:rPr>
                <w:sz w:val="17"/>
              </w:rPr>
              <w:t>Capacity Medium</w:t>
            </w:r>
          </w:p>
        </w:tc>
        <w:tc>
          <w:tcPr>
            <w:tcW w:type="dxa" w:w="2730"/>
            <w:shd w:val="clear" w:fill="EEF3F9"/>
          </w:tcPr>
          <w:p>
            <w:pPr>
              <w:spacing w:after="20"/>
            </w:pPr>
            <w:r/>
            <w:r>
              <w:rPr>
                <w:sz w:val="17"/>
              </w:rPr>
              <w:t>Zurich one lower: it deducts for age.</w:t>
            </w:r>
          </w:p>
        </w:tc>
      </w:tr>
      <w:tr>
        <w:trPr>
          <w:cantSplit/>
        </w:trPr>
        <w:tc>
          <w:tcPr>
            <w:tcW w:type="dxa" w:w="2514"/>
          </w:tcPr>
          <w:p>
            <w:pPr>
              <w:spacing w:after="20"/>
            </w:pPr>
            <w:r/>
            <w:r>
              <w:rPr>
                <w:b/>
                <w:sz w:val="17"/>
              </w:rPr>
              <w:t>P3. 45, balanced; 15 years; about 15%</w:t>
            </w:r>
          </w:p>
        </w:tc>
        <w:tc>
          <w:tcPr>
            <w:tcW w:type="dxa" w:w="1575"/>
          </w:tcPr>
          <w:p>
            <w:pPr>
              <w:spacing w:after="20"/>
            </w:pPr>
            <w:r/>
            <w:r>
              <w:rPr>
                <w:sz w:val="17"/>
              </w:rPr>
              <w:t>4</w:t>
            </w:r>
          </w:p>
          <w:p>
            <w:pPr>
              <w:spacing w:after="20"/>
            </w:pPr>
            <w:r>
              <w:rPr>
                <w:sz w:val="17"/>
              </w:rPr>
              <w:t>Capacity Medium</w:t>
            </w:r>
          </w:p>
        </w:tc>
        <w:tc>
          <w:tcPr>
            <w:tcW w:type="dxa" w:w="1353"/>
          </w:tcPr>
          <w:p>
            <w:pPr>
              <w:spacing w:after="20"/>
            </w:pPr>
            <w:r/>
            <w:r>
              <w:rPr>
                <w:sz w:val="17"/>
              </w:rPr>
              <w:t>4</w:t>
            </w:r>
          </w:p>
        </w:tc>
        <w:tc>
          <w:tcPr>
            <w:tcW w:type="dxa" w:w="1466"/>
          </w:tcPr>
          <w:p>
            <w:pPr>
              <w:spacing w:after="20"/>
            </w:pPr>
            <w:r/>
            <w:r>
              <w:rPr>
                <w:sz w:val="17"/>
              </w:rPr>
              <w:t>4</w:t>
            </w:r>
          </w:p>
          <w:p>
            <w:pPr>
              <w:spacing w:after="20"/>
            </w:pPr>
            <w:r>
              <w:rPr>
                <w:sz w:val="17"/>
              </w:rPr>
              <w:t>Capacity Medium</w:t>
            </w:r>
          </w:p>
        </w:tc>
        <w:tc>
          <w:tcPr>
            <w:tcW w:type="dxa" w:w="2730"/>
          </w:tcPr>
          <w:p>
            <w:pPr>
              <w:spacing w:after="20"/>
            </w:pPr>
            <w:r/>
            <w:r>
              <w:rPr>
                <w:sz w:val="17"/>
              </w:rPr>
              <w:t>Same.</w:t>
            </w:r>
          </w:p>
        </w:tc>
      </w:tr>
      <w:tr>
        <w:trPr>
          <w:cantSplit/>
        </w:trPr>
        <w:tc>
          <w:tcPr>
            <w:tcW w:type="dxa" w:w="2514"/>
            <w:shd w:val="clear" w:fill="EEF3F9"/>
          </w:tcPr>
          <w:p>
            <w:pPr>
              <w:spacing w:after="20"/>
            </w:pPr>
            <w:r/>
            <w:r>
              <w:rPr>
                <w:b/>
                <w:sz w:val="17"/>
              </w:rPr>
              <w:t>P4. 32, growth; 15 years; about 25%</w:t>
            </w:r>
          </w:p>
        </w:tc>
        <w:tc>
          <w:tcPr>
            <w:tcW w:type="dxa" w:w="1575"/>
            <w:shd w:val="clear" w:fill="EEF3F9"/>
          </w:tcPr>
          <w:p>
            <w:pPr>
              <w:spacing w:after="20"/>
            </w:pPr>
            <w:r/>
            <w:r>
              <w:rPr>
                <w:sz w:val="17"/>
              </w:rPr>
              <w:t>5</w:t>
            </w:r>
          </w:p>
          <w:p>
            <w:pPr>
              <w:spacing w:after="20"/>
            </w:pPr>
            <w:r>
              <w:rPr>
                <w:sz w:val="17"/>
              </w:rPr>
              <w:t>Capacity High</w:t>
            </w:r>
          </w:p>
        </w:tc>
        <w:tc>
          <w:tcPr>
            <w:tcW w:type="dxa" w:w="1353"/>
            <w:shd w:val="clear" w:fill="EEF3F9"/>
          </w:tcPr>
          <w:p>
            <w:pPr>
              <w:spacing w:after="20"/>
            </w:pPr>
            <w:r/>
            <w:r>
              <w:rPr>
                <w:sz w:val="17"/>
              </w:rPr>
              <w:t>5</w:t>
            </w:r>
          </w:p>
        </w:tc>
        <w:tc>
          <w:tcPr>
            <w:tcW w:type="dxa" w:w="1466"/>
            <w:shd w:val="clear" w:fill="EEF3F9"/>
          </w:tcPr>
          <w:p>
            <w:pPr>
              <w:spacing w:after="20"/>
            </w:pPr>
            <w:r/>
            <w:r>
              <w:rPr>
                <w:sz w:val="17"/>
              </w:rPr>
              <w:t>5</w:t>
            </w:r>
          </w:p>
          <w:p>
            <w:pPr>
              <w:spacing w:after="20"/>
            </w:pPr>
            <w:r>
              <w:rPr>
                <w:sz w:val="17"/>
              </w:rPr>
              <w:t>Capacity Medium</w:t>
            </w:r>
          </w:p>
        </w:tc>
        <w:tc>
          <w:tcPr>
            <w:tcW w:type="dxa" w:w="2730"/>
            <w:shd w:val="clear" w:fill="EEF3F9"/>
          </w:tcPr>
          <w:p>
            <w:pPr>
              <w:spacing w:after="20"/>
            </w:pPr>
            <w:r/>
            <w:r>
              <w:rPr>
                <w:sz w:val="17"/>
              </w:rPr>
              <w:t>Same.</w:t>
            </w:r>
          </w:p>
        </w:tc>
      </w:tr>
      <w:tr>
        <w:trPr>
          <w:cantSplit/>
        </w:trPr>
        <w:tc>
          <w:tcPr>
            <w:tcW w:type="dxa" w:w="2514"/>
          </w:tcPr>
          <w:p>
            <w:pPr>
              <w:spacing w:after="20"/>
            </w:pPr>
            <w:r/>
            <w:r>
              <w:rPr>
                <w:b/>
                <w:sz w:val="17"/>
              </w:rPr>
              <w:t>P5. 50, adventurous, wealthy; about 40%</w:t>
            </w:r>
          </w:p>
        </w:tc>
        <w:tc>
          <w:tcPr>
            <w:tcW w:type="dxa" w:w="1575"/>
          </w:tcPr>
          <w:p>
            <w:pPr>
              <w:spacing w:after="20"/>
            </w:pPr>
            <w:r/>
            <w:r>
              <w:rPr>
                <w:sz w:val="17"/>
              </w:rPr>
              <w:t>6</w:t>
            </w:r>
          </w:p>
          <w:p>
            <w:pPr>
              <w:spacing w:after="20"/>
            </w:pPr>
            <w:r>
              <w:rPr>
                <w:sz w:val="17"/>
              </w:rPr>
              <w:t>Capacity High</w:t>
            </w:r>
          </w:p>
        </w:tc>
        <w:tc>
          <w:tcPr>
            <w:tcW w:type="dxa" w:w="1353"/>
          </w:tcPr>
          <w:p>
            <w:pPr>
              <w:spacing w:after="20"/>
            </w:pPr>
            <w:r/>
            <w:r>
              <w:rPr>
                <w:sz w:val="17"/>
              </w:rPr>
              <w:t>6</w:t>
            </w:r>
          </w:p>
        </w:tc>
        <w:tc>
          <w:tcPr>
            <w:tcW w:type="dxa" w:w="1466"/>
          </w:tcPr>
          <w:p>
            <w:pPr>
              <w:spacing w:after="20"/>
            </w:pPr>
            <w:r/>
            <w:r>
              <w:rPr>
                <w:sz w:val="17"/>
              </w:rPr>
              <w:t>6</w:t>
            </w:r>
          </w:p>
          <w:p>
            <w:pPr>
              <w:spacing w:after="20"/>
            </w:pPr>
            <w:r>
              <w:rPr>
                <w:sz w:val="17"/>
              </w:rPr>
              <w:t>Capacity High</w:t>
            </w:r>
          </w:p>
        </w:tc>
        <w:tc>
          <w:tcPr>
            <w:tcW w:type="dxa" w:w="2730"/>
          </w:tcPr>
          <w:p>
            <w:pPr>
              <w:spacing w:after="20"/>
            </w:pPr>
            <w:r/>
            <w:r>
              <w:rPr>
                <w:sz w:val="17"/>
              </w:rPr>
              <w:t>Same.</w:t>
            </w:r>
          </w:p>
        </w:tc>
      </w:tr>
      <w:tr>
        <w:trPr>
          <w:cantSplit/>
        </w:trPr>
        <w:tc>
          <w:tcPr>
            <w:tcW w:type="dxa" w:w="2514"/>
            <w:shd w:val="clear" w:fill="EEF3F9"/>
          </w:tcPr>
          <w:p>
            <w:pPr>
              <w:spacing w:after="20"/>
            </w:pPr>
            <w:r/>
            <w:r>
              <w:rPr>
                <w:b/>
                <w:sz w:val="17"/>
              </w:rPr>
              <w:t>P6. 40, wealthy expert; would accept more than 50%</w:t>
            </w:r>
          </w:p>
        </w:tc>
        <w:tc>
          <w:tcPr>
            <w:tcW w:type="dxa" w:w="1575"/>
            <w:shd w:val="clear" w:fill="EEF3F9"/>
          </w:tcPr>
          <w:p>
            <w:pPr>
              <w:spacing w:after="20"/>
            </w:pPr>
            <w:r/>
            <w:r>
              <w:rPr>
                <w:sz w:val="17"/>
              </w:rPr>
              <w:t>6</w:t>
            </w:r>
          </w:p>
          <w:p>
            <w:pPr>
              <w:spacing w:after="20"/>
            </w:pPr>
            <w:r>
              <w:rPr>
                <w:sz w:val="17"/>
              </w:rPr>
              <w:t>Capacity High</w:t>
            </w:r>
          </w:p>
        </w:tc>
        <w:tc>
          <w:tcPr>
            <w:tcW w:type="dxa" w:w="1353"/>
            <w:shd w:val="clear" w:fill="EEF3F9"/>
          </w:tcPr>
          <w:p>
            <w:pPr>
              <w:spacing w:after="20"/>
            </w:pPr>
            <w:r/>
            <w:r>
              <w:rPr>
                <w:sz w:val="17"/>
              </w:rPr>
              <w:t>6</w:t>
            </w:r>
          </w:p>
        </w:tc>
        <w:tc>
          <w:tcPr>
            <w:tcW w:type="dxa" w:w="1466"/>
            <w:shd w:val="clear" w:fill="EEF3F9"/>
          </w:tcPr>
          <w:p>
            <w:pPr>
              <w:spacing w:after="20"/>
            </w:pPr>
            <w:r/>
            <w:r>
              <w:rPr>
                <w:sz w:val="17"/>
              </w:rPr>
              <w:t>7</w:t>
            </w:r>
          </w:p>
          <w:p>
            <w:pPr>
              <w:spacing w:after="20"/>
            </w:pPr>
            <w:r>
              <w:rPr>
                <w:sz w:val="17"/>
              </w:rPr>
              <w:t>Capacity High</w:t>
            </w:r>
          </w:p>
        </w:tc>
        <w:tc>
          <w:tcPr>
            <w:tcW w:type="dxa" w:w="2730"/>
            <w:shd w:val="clear" w:fill="EEF3F9"/>
          </w:tcPr>
          <w:p>
            <w:pPr>
              <w:spacing w:after="20"/>
            </w:pPr>
            <w:r/>
            <w:r>
              <w:rPr>
                <w:sz w:val="17"/>
              </w:rPr>
              <w:t>Zurich gives 7; we and Aviva stop at 6.</w:t>
            </w:r>
          </w:p>
        </w:tc>
      </w:tr>
      <w:tr>
        <w:trPr>
          <w:cantSplit/>
        </w:trPr>
        <w:tc>
          <w:tcPr>
            <w:tcW w:type="dxa" w:w="2514"/>
          </w:tcPr>
          <w:p>
            <w:pPr>
              <w:spacing w:after="20"/>
            </w:pPr>
            <w:r/>
            <w:r>
              <w:rPr>
                <w:b/>
                <w:sz w:val="17"/>
              </w:rPr>
              <w:t>P7. 25, very keen; temporary job, no savings, relies on the money</w:t>
            </w:r>
          </w:p>
        </w:tc>
        <w:tc>
          <w:tcPr>
            <w:tcW w:type="dxa" w:w="1575"/>
          </w:tcPr>
          <w:p>
            <w:pPr>
              <w:spacing w:after="20"/>
            </w:pPr>
            <w:r/>
            <w:r>
              <w:rPr>
                <w:sz w:val="17"/>
              </w:rPr>
              <w:t>6</w:t>
            </w:r>
          </w:p>
          <w:p>
            <w:pPr>
              <w:spacing w:after="20"/>
            </w:pPr>
            <w:r>
              <w:rPr>
                <w:sz w:val="17"/>
              </w:rPr>
              <w:t>Capacity Low</w:t>
            </w:r>
          </w:p>
          <w:p>
            <w:pPr>
              <w:spacing w:after="20"/>
            </w:pPr>
            <w:r>
              <w:rPr>
                <w:sz w:val="17"/>
              </w:rPr>
              <w:t>Flags: knowledge, capacity</w:t>
            </w:r>
          </w:p>
        </w:tc>
        <w:tc>
          <w:tcPr>
            <w:tcW w:type="dxa" w:w="1353"/>
          </w:tcPr>
          <w:p>
            <w:pPr>
              <w:spacing w:after="20"/>
            </w:pPr>
            <w:r/>
            <w:r>
              <w:rPr>
                <w:sz w:val="17"/>
              </w:rPr>
              <w:t>6</w:t>
            </w:r>
          </w:p>
          <w:p>
            <w:pPr>
              <w:spacing w:after="20"/>
            </w:pPr>
            <w:r>
              <w:rPr>
                <w:sz w:val="17"/>
              </w:rPr>
              <w:t>Prompts: reliance, expectations</w:t>
            </w:r>
          </w:p>
        </w:tc>
        <w:tc>
          <w:tcPr>
            <w:tcW w:type="dxa" w:w="1466"/>
          </w:tcPr>
          <w:p>
            <w:pPr>
              <w:spacing w:after="20"/>
            </w:pPr>
            <w:r/>
            <w:r>
              <w:rPr>
                <w:sz w:val="17"/>
              </w:rPr>
              <w:t>6</w:t>
            </w:r>
          </w:p>
          <w:p>
            <w:pPr>
              <w:spacing w:after="20"/>
            </w:pPr>
            <w:r>
              <w:rPr>
                <w:sz w:val="17"/>
              </w:rPr>
              <w:t>Capacity Low</w:t>
            </w:r>
          </w:p>
        </w:tc>
        <w:tc>
          <w:tcPr>
            <w:tcW w:type="dxa" w:w="2730"/>
          </w:tcPr>
          <w:p>
            <w:pPr>
              <w:spacing w:after="20"/>
            </w:pPr>
            <w:r/>
            <w:r>
              <w:rPr>
                <w:sz w:val="17"/>
              </w:rPr>
              <w:t>Same rating; all three raise the capacity problem.</w:t>
            </w:r>
          </w:p>
        </w:tc>
      </w:tr>
      <w:tr>
        <w:trPr>
          <w:cantSplit/>
        </w:trPr>
        <w:tc>
          <w:tcPr>
            <w:tcW w:type="dxa" w:w="2514"/>
            <w:shd w:val="clear" w:fill="EEF3F9"/>
          </w:tcPr>
          <w:p>
            <w:pPr>
              <w:spacing w:after="20"/>
            </w:pPr>
            <w:r/>
            <w:r>
              <w:rPr>
                <w:b/>
                <w:sz w:val="17"/>
              </w:rPr>
              <w:t>P8. 55, growth attitude; needs the money in 3 years</w:t>
            </w:r>
          </w:p>
        </w:tc>
        <w:tc>
          <w:tcPr>
            <w:tcW w:type="dxa" w:w="1575"/>
            <w:shd w:val="clear" w:fill="EEF3F9"/>
          </w:tcPr>
          <w:p>
            <w:pPr>
              <w:spacing w:after="20"/>
            </w:pPr>
            <w:r/>
            <w:r>
              <w:rPr>
                <w:sz w:val="17"/>
              </w:rPr>
              <w:t>4</w:t>
            </w:r>
          </w:p>
          <w:p>
            <w:pPr>
              <w:spacing w:after="20"/>
            </w:pPr>
            <w:r>
              <w:rPr>
                <w:sz w:val="17"/>
              </w:rPr>
              <w:t>Capacity High</w:t>
            </w:r>
          </w:p>
          <w:p>
            <w:pPr>
              <w:spacing w:after="20"/>
            </w:pPr>
            <w:r>
              <w:rPr>
                <w:sz w:val="17"/>
              </w:rPr>
              <w:t>Flags: time horizon</w:t>
            </w:r>
          </w:p>
        </w:tc>
        <w:tc>
          <w:tcPr>
            <w:tcW w:type="dxa" w:w="1353"/>
            <w:shd w:val="clear" w:fill="EEF3F9"/>
          </w:tcPr>
          <w:p>
            <w:pPr>
              <w:spacing w:after="20"/>
            </w:pPr>
            <w:r/>
            <w:r>
              <w:rPr>
                <w:sz w:val="17"/>
              </w:rPr>
              <w:t>5</w:t>
            </w:r>
          </w:p>
        </w:tc>
        <w:tc>
          <w:tcPr>
            <w:tcW w:type="dxa" w:w="1466"/>
            <w:shd w:val="clear" w:fill="EEF3F9"/>
          </w:tcPr>
          <w:p>
            <w:pPr>
              <w:spacing w:after="20"/>
            </w:pPr>
            <w:r/>
            <w:r>
              <w:rPr>
                <w:sz w:val="17"/>
              </w:rPr>
              <w:t>4</w:t>
            </w:r>
          </w:p>
          <w:p>
            <w:pPr>
              <w:spacing w:after="20"/>
            </w:pPr>
            <w:r>
              <w:rPr>
                <w:sz w:val="17"/>
              </w:rPr>
              <w:t>Capacity High</w:t>
            </w:r>
          </w:p>
          <w:p>
            <w:pPr>
              <w:spacing w:after="20"/>
            </w:pPr>
            <w:r>
              <w:rPr>
                <w:sz w:val="17"/>
              </w:rPr>
              <w:t>short-horizon warning</w:t>
            </w:r>
          </w:p>
        </w:tc>
        <w:tc>
          <w:tcPr>
            <w:tcW w:type="dxa" w:w="2730"/>
            <w:shd w:val="clear" w:fill="EEF3F9"/>
          </w:tcPr>
          <w:p>
            <w:pPr>
              <w:spacing w:after="20"/>
            </w:pPr>
            <w:r/>
            <w:r>
              <w:rPr>
                <w:sz w:val="17"/>
              </w:rPr>
              <w:t>Same as Zurich; Aviva ignores the horizon.</w:t>
            </w:r>
          </w:p>
        </w:tc>
      </w:tr>
      <w:tr>
        <w:trPr>
          <w:cantSplit/>
        </w:trPr>
        <w:tc>
          <w:tcPr>
            <w:tcW w:type="dxa" w:w="2514"/>
          </w:tcPr>
          <w:p>
            <w:pPr>
              <w:spacing w:after="20"/>
            </w:pPr>
            <w:r/>
            <w:r>
              <w:rPr>
                <w:b/>
                <w:sz w:val="17"/>
              </w:rPr>
              <w:t>P9. 40, wants strong growth but accepts only 7% and would sell</w:t>
            </w:r>
          </w:p>
        </w:tc>
        <w:tc>
          <w:tcPr>
            <w:tcW w:type="dxa" w:w="1575"/>
          </w:tcPr>
          <w:p>
            <w:pPr>
              <w:spacing w:after="20"/>
            </w:pPr>
            <w:r/>
            <w:r>
              <w:rPr>
                <w:sz w:val="17"/>
              </w:rPr>
              <w:t>3</w:t>
            </w:r>
          </w:p>
          <w:p>
            <w:pPr>
              <w:spacing w:after="20"/>
            </w:pPr>
            <w:r>
              <w:rPr>
                <w:sz w:val="17"/>
              </w:rPr>
              <w:t>Capacity Medium</w:t>
            </w:r>
          </w:p>
          <w:p>
            <w:pPr>
              <w:spacing w:after="20"/>
            </w:pPr>
            <w:r>
              <w:rPr>
                <w:sz w:val="17"/>
              </w:rPr>
              <w:t>Flags: mixed attitude</w:t>
            </w:r>
          </w:p>
        </w:tc>
        <w:tc>
          <w:tcPr>
            <w:tcW w:type="dxa" w:w="1353"/>
          </w:tcPr>
          <w:p>
            <w:pPr>
              <w:spacing w:after="20"/>
            </w:pPr>
            <w:r/>
            <w:r>
              <w:rPr>
                <w:sz w:val="17"/>
              </w:rPr>
              <w:t>3</w:t>
            </w:r>
          </w:p>
          <w:p>
            <w:pPr>
              <w:spacing w:after="20"/>
            </w:pPr>
            <w:r>
              <w:rPr>
                <w:sz w:val="17"/>
              </w:rPr>
              <w:t>Prompts: loss</w:t>
            </w:r>
          </w:p>
        </w:tc>
        <w:tc>
          <w:tcPr>
            <w:tcW w:type="dxa" w:w="1466"/>
          </w:tcPr>
          <w:p>
            <w:pPr>
              <w:spacing w:after="20"/>
            </w:pPr>
            <w:r/>
            <w:r>
              <w:rPr>
                <w:sz w:val="17"/>
              </w:rPr>
              <w:t>3</w:t>
            </w:r>
          </w:p>
          <w:p>
            <w:pPr>
              <w:spacing w:after="20"/>
            </w:pPr>
            <w:r>
              <w:rPr>
                <w:sz w:val="17"/>
              </w:rPr>
              <w:t>Capacity Medium</w:t>
            </w:r>
          </w:p>
          <w:p>
            <w:pPr>
              <w:spacing w:after="20"/>
            </w:pPr>
            <w:r>
              <w:rPr>
                <w:sz w:val="17"/>
              </w:rPr>
              <w:t>3 conflict warnings</w:t>
            </w:r>
          </w:p>
        </w:tc>
        <w:tc>
          <w:tcPr>
            <w:tcW w:type="dxa" w:w="2730"/>
          </w:tcPr>
          <w:p>
            <w:pPr>
              <w:spacing w:after="20"/>
            </w:pPr>
            <w:r/>
            <w:r>
              <w:rPr>
                <w:sz w:val="17"/>
              </w:rPr>
              <w:t>Same; all three flag the contradiction.</w:t>
            </w:r>
          </w:p>
        </w:tc>
      </w:tr>
      <w:tr>
        <w:trPr>
          <w:cantSplit/>
        </w:trPr>
        <w:tc>
          <w:tcPr>
            <w:tcW w:type="dxa" w:w="2514"/>
            <w:shd w:val="clear" w:fill="EEF3F9"/>
          </w:tcPr>
          <w:p>
            <w:pPr>
              <w:spacing w:after="20"/>
            </w:pPr>
            <w:r/>
            <w:r>
              <w:rPr>
                <w:b/>
                <w:sz w:val="17"/>
              </w:rPr>
              <w:t>P10. 28, first-time investor; 20 years; about 7%</w:t>
            </w:r>
          </w:p>
        </w:tc>
        <w:tc>
          <w:tcPr>
            <w:tcW w:type="dxa" w:w="1575"/>
            <w:shd w:val="clear" w:fill="EEF3F9"/>
          </w:tcPr>
          <w:p>
            <w:pPr>
              <w:spacing w:after="20"/>
            </w:pPr>
            <w:r/>
            <w:r>
              <w:rPr>
                <w:sz w:val="17"/>
              </w:rPr>
              <w:t>4</w:t>
            </w:r>
          </w:p>
          <w:p>
            <w:pPr>
              <w:spacing w:after="20"/>
            </w:pPr>
            <w:r>
              <w:rPr>
                <w:sz w:val="17"/>
              </w:rPr>
              <w:t>Capacity Medium</w:t>
            </w:r>
          </w:p>
        </w:tc>
        <w:tc>
          <w:tcPr>
            <w:tcW w:type="dxa" w:w="1353"/>
            <w:shd w:val="clear" w:fill="EEF3F9"/>
          </w:tcPr>
          <w:p>
            <w:pPr>
              <w:spacing w:after="20"/>
            </w:pPr>
            <w:r/>
            <w:r>
              <w:rPr>
                <w:sz w:val="17"/>
              </w:rPr>
              <w:t>3</w:t>
            </w:r>
          </w:p>
        </w:tc>
        <w:tc>
          <w:tcPr>
            <w:tcW w:type="dxa" w:w="1466"/>
            <w:shd w:val="clear" w:fill="EEF3F9"/>
          </w:tcPr>
          <w:p>
            <w:pPr>
              <w:spacing w:after="20"/>
            </w:pPr>
            <w:r/>
            <w:r>
              <w:rPr>
                <w:sz w:val="17"/>
              </w:rPr>
              <w:t>3</w:t>
            </w:r>
          </w:p>
          <w:p>
            <w:pPr>
              <w:spacing w:after="20"/>
            </w:pPr>
            <w:r>
              <w:rPr>
                <w:sz w:val="17"/>
              </w:rPr>
              <w:t>Capacity Medium</w:t>
            </w:r>
          </w:p>
          <w:p>
            <w:pPr>
              <w:spacing w:after="20"/>
            </w:pPr>
            <w:r>
              <w:rPr>
                <w:sz w:val="17"/>
              </w:rPr>
              <w:t>1 conflict warning</w:t>
            </w:r>
          </w:p>
        </w:tc>
        <w:tc>
          <w:tcPr>
            <w:tcW w:type="dxa" w:w="2730"/>
            <w:shd w:val="clear" w:fill="EEF3F9"/>
          </w:tcPr>
          <w:p>
            <w:pPr>
              <w:spacing w:after="20"/>
            </w:pPr>
            <w:r/>
            <w:r>
              <w:rPr>
                <w:sz w:val="17"/>
              </w:rPr>
              <w:t>Ours one higher: the reaction and objective answers lift it one level above the loss answer.</w:t>
            </w:r>
          </w:p>
        </w:tc>
      </w:tr>
      <w:tr>
        <w:trPr>
          <w:cantSplit/>
        </w:trPr>
        <w:tc>
          <w:tcPr>
            <w:tcW w:type="dxa" w:w="2514"/>
          </w:tcPr>
          <w:p>
            <w:pPr>
              <w:spacing w:after="20"/>
            </w:pPr>
            <w:r/>
            <w:r>
              <w:rPr>
                <w:b/>
                <w:sz w:val="17"/>
              </w:rPr>
              <w:t>P11. 60, near retirement, balanced; 6 years; about 15%</w:t>
            </w:r>
          </w:p>
        </w:tc>
        <w:tc>
          <w:tcPr>
            <w:tcW w:type="dxa" w:w="1575"/>
          </w:tcPr>
          <w:p>
            <w:pPr>
              <w:spacing w:after="20"/>
            </w:pPr>
            <w:r/>
            <w:r>
              <w:rPr>
                <w:sz w:val="17"/>
              </w:rPr>
              <w:t>4</w:t>
            </w:r>
          </w:p>
          <w:p>
            <w:pPr>
              <w:spacing w:after="20"/>
            </w:pPr>
            <w:r>
              <w:rPr>
                <w:sz w:val="17"/>
              </w:rPr>
              <w:t>Capacity High</w:t>
            </w:r>
          </w:p>
        </w:tc>
        <w:tc>
          <w:tcPr>
            <w:tcW w:type="dxa" w:w="1353"/>
          </w:tcPr>
          <w:p>
            <w:pPr>
              <w:spacing w:after="20"/>
            </w:pPr>
            <w:r/>
            <w:r>
              <w:rPr>
                <w:sz w:val="17"/>
              </w:rPr>
              <w:t>4</w:t>
            </w:r>
          </w:p>
        </w:tc>
        <w:tc>
          <w:tcPr>
            <w:tcW w:type="dxa" w:w="1466"/>
          </w:tcPr>
          <w:p>
            <w:pPr>
              <w:spacing w:after="20"/>
            </w:pPr>
            <w:r/>
            <w:r>
              <w:rPr>
                <w:sz w:val="17"/>
              </w:rPr>
              <w:t>3</w:t>
            </w:r>
          </w:p>
          <w:p>
            <w:pPr>
              <w:spacing w:after="20"/>
            </w:pPr>
            <w:r>
              <w:rPr>
                <w:sz w:val="17"/>
              </w:rPr>
              <w:t>Capacity Medium</w:t>
            </w:r>
          </w:p>
        </w:tc>
        <w:tc>
          <w:tcPr>
            <w:tcW w:type="dxa" w:w="2730"/>
          </w:tcPr>
          <w:p>
            <w:pPr>
              <w:spacing w:after="20"/>
            </w:pPr>
            <w:r/>
            <w:r>
              <w:rPr>
                <w:sz w:val="17"/>
              </w:rPr>
              <w:t>Zurich one lower: it deducts for age 60 and a 6-year term.</w:t>
            </w:r>
          </w:p>
        </w:tc>
      </w:tr>
      <w:tr>
        <w:trPr>
          <w:cantSplit/>
        </w:trPr>
        <w:tc>
          <w:tcPr>
            <w:tcW w:type="dxa" w:w="2514"/>
            <w:shd w:val="clear" w:fill="EEF3F9"/>
          </w:tcPr>
          <w:p>
            <w:pPr>
              <w:spacing w:after="20"/>
            </w:pPr>
            <w:r/>
            <w:r>
              <w:rPr>
                <w:b/>
                <w:sz w:val="17"/>
              </w:rPr>
              <w:t>P12. 42, self-employed, growth; 15 years; about 25%</w:t>
            </w:r>
          </w:p>
        </w:tc>
        <w:tc>
          <w:tcPr>
            <w:tcW w:type="dxa" w:w="1575"/>
            <w:shd w:val="clear" w:fill="EEF3F9"/>
          </w:tcPr>
          <w:p>
            <w:pPr>
              <w:spacing w:after="20"/>
            </w:pPr>
            <w:r/>
            <w:r>
              <w:rPr>
                <w:sz w:val="17"/>
              </w:rPr>
              <w:t>5</w:t>
            </w:r>
          </w:p>
          <w:p>
            <w:pPr>
              <w:spacing w:after="20"/>
            </w:pPr>
            <w:r>
              <w:rPr>
                <w:sz w:val="17"/>
              </w:rPr>
              <w:t>Capacity Medium</w:t>
            </w:r>
          </w:p>
        </w:tc>
        <w:tc>
          <w:tcPr>
            <w:tcW w:type="dxa" w:w="1353"/>
            <w:shd w:val="clear" w:fill="EEF3F9"/>
          </w:tcPr>
          <w:p>
            <w:pPr>
              <w:spacing w:after="20"/>
            </w:pPr>
            <w:r/>
            <w:r>
              <w:rPr>
                <w:sz w:val="17"/>
              </w:rPr>
              <w:t>5</w:t>
            </w:r>
          </w:p>
        </w:tc>
        <w:tc>
          <w:tcPr>
            <w:tcW w:type="dxa" w:w="1466"/>
            <w:shd w:val="clear" w:fill="EEF3F9"/>
          </w:tcPr>
          <w:p>
            <w:pPr>
              <w:spacing w:after="20"/>
            </w:pPr>
            <w:r/>
            <w:r>
              <w:rPr>
                <w:sz w:val="17"/>
              </w:rPr>
              <w:t>5</w:t>
            </w:r>
          </w:p>
          <w:p>
            <w:pPr>
              <w:spacing w:after="20"/>
            </w:pPr>
            <w:r>
              <w:rPr>
                <w:sz w:val="17"/>
              </w:rPr>
              <w:t>Capacity Medium</w:t>
            </w:r>
          </w:p>
        </w:tc>
        <w:tc>
          <w:tcPr>
            <w:tcW w:type="dxa" w:w="2730"/>
            <w:shd w:val="clear" w:fill="EEF3F9"/>
          </w:tcPr>
          <w:p>
            <w:pPr>
              <w:spacing w:after="20"/>
            </w:pPr>
            <w:r/>
            <w:r>
              <w:rPr>
                <w:sz w:val="17"/>
              </w:rPr>
              <w:t>Same.</w:t>
            </w:r>
          </w:p>
        </w:tc>
      </w:tr>
      <w:tr>
        <w:trPr>
          <w:cantSplit/>
        </w:trPr>
        <w:tc>
          <w:tcPr>
            <w:tcW w:type="dxa" w:w="2514"/>
          </w:tcPr>
          <w:p>
            <w:pPr>
              <w:spacing w:after="20"/>
            </w:pPr>
            <w:r/>
            <w:r>
              <w:rPr>
                <w:b/>
                <w:sz w:val="17"/>
              </w:rPr>
              <w:t>P13. 67, drawing income in 2 years, relies on it; about 7%</w:t>
            </w:r>
          </w:p>
        </w:tc>
        <w:tc>
          <w:tcPr>
            <w:tcW w:type="dxa" w:w="1575"/>
          </w:tcPr>
          <w:p>
            <w:pPr>
              <w:spacing w:after="20"/>
            </w:pPr>
            <w:r/>
            <w:r>
              <w:rPr>
                <w:sz w:val="17"/>
              </w:rPr>
              <w:t>2</w:t>
            </w:r>
          </w:p>
          <w:p>
            <w:pPr>
              <w:spacing w:after="20"/>
            </w:pPr>
            <w:r>
              <w:rPr>
                <w:sz w:val="17"/>
              </w:rPr>
              <w:t>Capacity Medium</w:t>
            </w:r>
          </w:p>
          <w:p>
            <w:pPr>
              <w:spacing w:after="20"/>
            </w:pPr>
            <w:r>
              <w:rPr>
                <w:sz w:val="17"/>
              </w:rPr>
              <w:t>Flags: time horizon</w:t>
            </w:r>
          </w:p>
        </w:tc>
        <w:tc>
          <w:tcPr>
            <w:tcW w:type="dxa" w:w="1353"/>
          </w:tcPr>
          <w:p>
            <w:pPr>
              <w:spacing w:after="20"/>
            </w:pPr>
            <w:r/>
            <w:r>
              <w:rPr>
                <w:sz w:val="17"/>
              </w:rPr>
              <w:t>3</w:t>
            </w:r>
          </w:p>
        </w:tc>
        <w:tc>
          <w:tcPr>
            <w:tcW w:type="dxa" w:w="1466"/>
          </w:tcPr>
          <w:p>
            <w:pPr>
              <w:spacing w:after="20"/>
            </w:pPr>
            <w:r/>
            <w:r>
              <w:rPr>
                <w:sz w:val="17"/>
              </w:rPr>
              <w:t>1</w:t>
            </w:r>
          </w:p>
          <w:p>
            <w:pPr>
              <w:spacing w:after="20"/>
            </w:pPr>
            <w:r>
              <w:rPr>
                <w:sz w:val="17"/>
              </w:rPr>
              <w:t>Capacity Medium</w:t>
            </w:r>
          </w:p>
        </w:tc>
        <w:tc>
          <w:tcPr>
            <w:tcW w:type="dxa" w:w="2730"/>
          </w:tcPr>
          <w:p>
            <w:pPr>
              <w:spacing w:after="20"/>
            </w:pPr>
            <w:r/>
            <w:r>
              <w:rPr>
                <w:sz w:val="17"/>
              </w:rPr>
              <w:t>Ours between the two. Capacity Medium, the same as Zurich.</w:t>
            </w:r>
          </w:p>
        </w:tc>
      </w:tr>
      <w:tr>
        <w:trPr>
          <w:cantSplit/>
        </w:trPr>
        <w:tc>
          <w:tcPr>
            <w:tcW w:type="dxa" w:w="2514"/>
            <w:shd w:val="clear" w:fill="EEF3F9"/>
          </w:tcPr>
          <w:p>
            <w:pPr>
              <w:spacing w:after="20"/>
            </w:pPr>
            <w:r/>
            <w:r>
              <w:rPr>
                <w:b/>
                <w:sz w:val="17"/>
              </w:rPr>
              <w:t>P14. 35, inheritance, no experience but keen; 10 years; about 25%</w:t>
            </w:r>
          </w:p>
        </w:tc>
        <w:tc>
          <w:tcPr>
            <w:tcW w:type="dxa" w:w="1575"/>
            <w:shd w:val="clear" w:fill="EEF3F9"/>
          </w:tcPr>
          <w:p>
            <w:pPr>
              <w:spacing w:after="20"/>
            </w:pPr>
            <w:r/>
            <w:r>
              <w:rPr>
                <w:sz w:val="17"/>
              </w:rPr>
              <w:t>5</w:t>
            </w:r>
          </w:p>
          <w:p>
            <w:pPr>
              <w:spacing w:after="20"/>
            </w:pPr>
            <w:r>
              <w:rPr>
                <w:sz w:val="17"/>
              </w:rPr>
              <w:t>Capacity High</w:t>
            </w:r>
          </w:p>
          <w:p>
            <w:pPr>
              <w:spacing w:after="20"/>
            </w:pPr>
            <w:r>
              <w:rPr>
                <w:sz w:val="17"/>
              </w:rPr>
              <w:t>Flags: knowledge</w:t>
            </w:r>
          </w:p>
        </w:tc>
        <w:tc>
          <w:tcPr>
            <w:tcW w:type="dxa" w:w="1353"/>
            <w:shd w:val="clear" w:fill="EEF3F9"/>
          </w:tcPr>
          <w:p>
            <w:pPr>
              <w:spacing w:after="20"/>
            </w:pPr>
            <w:r/>
            <w:r>
              <w:rPr>
                <w:sz w:val="17"/>
              </w:rPr>
              <w:t>5</w:t>
            </w:r>
          </w:p>
        </w:tc>
        <w:tc>
          <w:tcPr>
            <w:tcW w:type="dxa" w:w="1466"/>
            <w:shd w:val="clear" w:fill="EEF3F9"/>
          </w:tcPr>
          <w:p>
            <w:pPr>
              <w:spacing w:after="20"/>
            </w:pPr>
            <w:r/>
            <w:r>
              <w:rPr>
                <w:sz w:val="17"/>
              </w:rPr>
              <w:t>4</w:t>
            </w:r>
          </w:p>
          <w:p>
            <w:pPr>
              <w:spacing w:after="20"/>
            </w:pPr>
            <w:r>
              <w:rPr>
                <w:sz w:val="17"/>
              </w:rPr>
              <w:t>Capacity High</w:t>
            </w:r>
          </w:p>
        </w:tc>
        <w:tc>
          <w:tcPr>
            <w:tcW w:type="dxa" w:w="2730"/>
            <w:shd w:val="clear" w:fill="EEF3F9"/>
          </w:tcPr>
          <w:p>
            <w:pPr>
              <w:spacing w:after="20"/>
            </w:pPr>
            <w:r/>
            <w:r>
              <w:rPr>
                <w:sz w:val="17"/>
              </w:rPr>
              <w:t>Zurich one lower: it deducts for no knowledge. Ours flags it instead.</w:t>
            </w:r>
          </w:p>
        </w:tc>
      </w:tr>
      <w:tr>
        <w:trPr>
          <w:cantSplit/>
        </w:trPr>
        <w:tc>
          <w:tcPr>
            <w:tcW w:type="dxa" w:w="2514"/>
          </w:tcPr>
          <w:p>
            <w:pPr>
              <w:spacing w:after="20"/>
            </w:pPr>
            <w:r/>
            <w:r>
              <w:rPr>
                <w:b/>
                <w:sz w:val="17"/>
              </w:rPr>
              <w:t>P15. 30, very cautious despite 25 years; about 2.5%</w:t>
            </w:r>
          </w:p>
        </w:tc>
        <w:tc>
          <w:tcPr>
            <w:tcW w:type="dxa" w:w="1575"/>
          </w:tcPr>
          <w:p>
            <w:pPr>
              <w:spacing w:after="20"/>
            </w:pPr>
            <w:r/>
            <w:r>
              <w:rPr>
                <w:sz w:val="17"/>
              </w:rPr>
              <w:t>2</w:t>
            </w:r>
          </w:p>
          <w:p>
            <w:pPr>
              <w:spacing w:after="20"/>
            </w:pPr>
            <w:r>
              <w:rPr>
                <w:sz w:val="17"/>
              </w:rPr>
              <w:t>Capacity High</w:t>
            </w:r>
          </w:p>
        </w:tc>
        <w:tc>
          <w:tcPr>
            <w:tcW w:type="dxa" w:w="1353"/>
          </w:tcPr>
          <w:p>
            <w:pPr>
              <w:spacing w:after="20"/>
            </w:pPr>
            <w:r/>
            <w:r>
              <w:rPr>
                <w:sz w:val="17"/>
              </w:rPr>
              <w:t>0 (no-risk)</w:t>
            </w:r>
          </w:p>
        </w:tc>
        <w:tc>
          <w:tcPr>
            <w:tcW w:type="dxa" w:w="1466"/>
          </w:tcPr>
          <w:p>
            <w:pPr>
              <w:spacing w:after="20"/>
            </w:pPr>
            <w:r/>
            <w:r>
              <w:rPr>
                <w:sz w:val="17"/>
              </w:rPr>
              <w:t>2</w:t>
            </w:r>
          </w:p>
          <w:p>
            <w:pPr>
              <w:spacing w:after="20"/>
            </w:pPr>
            <w:r>
              <w:rPr>
                <w:sz w:val="17"/>
              </w:rPr>
              <w:t>Capacity Medium</w:t>
            </w:r>
          </w:p>
        </w:tc>
        <w:tc>
          <w:tcPr>
            <w:tcW w:type="dxa" w:w="2730"/>
          </w:tcPr>
          <w:p>
            <w:pPr>
              <w:spacing w:after="20"/>
            </w:pPr>
            <w:r/>
            <w:r>
              <w:rPr>
                <w:sz w:val="17"/>
              </w:rPr>
              <w:t>Same as Zurich. Aviva's 0 means deposit-type only.</w:t>
            </w:r>
          </w:p>
        </w:tc>
      </w:tr>
      <w:tr>
        <w:trPr>
          <w:cantSplit/>
        </w:trPr>
        <w:tc>
          <w:tcPr>
            <w:tcW w:type="dxa" w:w="2514"/>
            <w:shd w:val="clear" w:fill="EEF3F9"/>
          </w:tcPr>
          <w:p>
            <w:pPr>
              <w:spacing w:after="20"/>
            </w:pPr>
            <w:r/>
            <w:r>
              <w:rPr>
                <w:b/>
                <w:sz w:val="17"/>
              </w:rPr>
              <w:t>P16. 38, balanced, but heavy commitments and little savings; 12 years; about 15%</w:t>
            </w:r>
          </w:p>
        </w:tc>
        <w:tc>
          <w:tcPr>
            <w:tcW w:type="dxa" w:w="1575"/>
            <w:shd w:val="clear" w:fill="EEF3F9"/>
          </w:tcPr>
          <w:p>
            <w:pPr>
              <w:spacing w:after="20"/>
            </w:pPr>
            <w:r/>
            <w:r>
              <w:rPr>
                <w:sz w:val="17"/>
              </w:rPr>
              <w:t>4</w:t>
            </w:r>
          </w:p>
          <w:p>
            <w:pPr>
              <w:spacing w:after="20"/>
            </w:pPr>
            <w:r>
              <w:rPr>
                <w:sz w:val="17"/>
              </w:rPr>
              <w:t>Capacity Low</w:t>
            </w:r>
          </w:p>
        </w:tc>
        <w:tc>
          <w:tcPr>
            <w:tcW w:type="dxa" w:w="1353"/>
            <w:shd w:val="clear" w:fill="EEF3F9"/>
          </w:tcPr>
          <w:p>
            <w:pPr>
              <w:spacing w:after="20"/>
            </w:pPr>
            <w:r/>
            <w:r>
              <w:rPr>
                <w:sz w:val="17"/>
              </w:rPr>
              <w:t>4</w:t>
            </w:r>
          </w:p>
        </w:tc>
        <w:tc>
          <w:tcPr>
            <w:tcW w:type="dxa" w:w="1466"/>
            <w:shd w:val="clear" w:fill="EEF3F9"/>
          </w:tcPr>
          <w:p>
            <w:pPr>
              <w:spacing w:after="20"/>
            </w:pPr>
            <w:r/>
            <w:r>
              <w:rPr>
                <w:sz w:val="17"/>
              </w:rPr>
              <w:t>3</w:t>
            </w:r>
          </w:p>
          <w:p>
            <w:pPr>
              <w:spacing w:after="20"/>
            </w:pPr>
            <w:r>
              <w:rPr>
                <w:sz w:val="17"/>
              </w:rPr>
              <w:t>Capacity Low</w:t>
            </w:r>
          </w:p>
        </w:tc>
        <w:tc>
          <w:tcPr>
            <w:tcW w:type="dxa" w:w="2730"/>
            <w:shd w:val="clear" w:fill="EEF3F9"/>
          </w:tcPr>
          <w:p>
            <w:pPr>
              <w:spacing w:after="20"/>
            </w:pPr>
            <w:r/>
            <w:r>
              <w:rPr>
                <w:sz w:val="17"/>
              </w:rPr>
              <w:t>Zurich one lower. Both rate capacity Low.</w:t>
            </w:r>
          </w:p>
        </w:tc>
      </w:tr>
      <w:tr>
        <w:trPr>
          <w:cantSplit/>
        </w:trPr>
        <w:tc>
          <w:tcPr>
            <w:tcW w:type="dxa" w:w="2514"/>
          </w:tcPr>
          <w:p>
            <w:pPr>
              <w:spacing w:after="20"/>
            </w:pPr>
            <w:r/>
            <w:r>
              <w:rPr>
                <w:b/>
                <w:sz w:val="17"/>
              </w:rPr>
              <w:t>P17. 48, adventurous, but needs the money in 4 years; about 40%</w:t>
            </w:r>
          </w:p>
        </w:tc>
        <w:tc>
          <w:tcPr>
            <w:tcW w:type="dxa" w:w="1575"/>
          </w:tcPr>
          <w:p>
            <w:pPr>
              <w:spacing w:after="20"/>
            </w:pPr>
            <w:r/>
            <w:r>
              <w:rPr>
                <w:sz w:val="17"/>
              </w:rPr>
              <w:t>4</w:t>
            </w:r>
          </w:p>
          <w:p>
            <w:pPr>
              <w:spacing w:after="20"/>
            </w:pPr>
            <w:r>
              <w:rPr>
                <w:sz w:val="17"/>
              </w:rPr>
              <w:t>Capacity High</w:t>
            </w:r>
          </w:p>
          <w:p>
            <w:pPr>
              <w:spacing w:after="20"/>
            </w:pPr>
            <w:r>
              <w:rPr>
                <w:sz w:val="17"/>
              </w:rPr>
              <w:t>Flags: time horizon</w:t>
            </w:r>
          </w:p>
        </w:tc>
        <w:tc>
          <w:tcPr>
            <w:tcW w:type="dxa" w:w="1353"/>
          </w:tcPr>
          <w:p>
            <w:pPr>
              <w:spacing w:after="20"/>
            </w:pPr>
            <w:r/>
            <w:r>
              <w:rPr>
                <w:sz w:val="17"/>
              </w:rPr>
              <w:t>6</w:t>
            </w:r>
          </w:p>
        </w:tc>
        <w:tc>
          <w:tcPr>
            <w:tcW w:type="dxa" w:w="1466"/>
          </w:tcPr>
          <w:p>
            <w:pPr>
              <w:spacing w:after="20"/>
            </w:pPr>
            <w:r/>
            <w:r>
              <w:rPr>
                <w:sz w:val="17"/>
              </w:rPr>
              <w:t>5</w:t>
            </w:r>
          </w:p>
          <w:p>
            <w:pPr>
              <w:spacing w:after="20"/>
            </w:pPr>
            <w:r>
              <w:rPr>
                <w:sz w:val="17"/>
              </w:rPr>
              <w:t>Capacity High</w:t>
            </w:r>
          </w:p>
          <w:p>
            <w:pPr>
              <w:spacing w:after="20"/>
            </w:pPr>
            <w:r>
              <w:rPr>
                <w:sz w:val="17"/>
              </w:rPr>
              <w:t>short-horizon warning</w:t>
            </w:r>
          </w:p>
        </w:tc>
        <w:tc>
          <w:tcPr>
            <w:tcW w:type="dxa" w:w="2730"/>
          </w:tcPr>
          <w:p>
            <w:pPr>
              <w:spacing w:after="20"/>
            </w:pPr>
            <w:r/>
            <w:r>
              <w:rPr>
                <w:sz w:val="17"/>
              </w:rPr>
              <w:t>Ours the strictest on a 4-year horizon; Aviva ignores it.</w:t>
            </w:r>
          </w:p>
        </w:tc>
      </w:tr>
      <w:tr>
        <w:trPr>
          <w:cantSplit/>
        </w:trPr>
        <w:tc>
          <w:tcPr>
            <w:tcW w:type="dxa" w:w="2514"/>
            <w:shd w:val="clear" w:fill="EEF3F9"/>
          </w:tcPr>
          <w:p>
            <w:pPr>
              <w:spacing w:after="20"/>
            </w:pPr>
            <w:r/>
            <w:r>
              <w:rPr>
                <w:b/>
                <w:sz w:val="17"/>
              </w:rPr>
              <w:t>P18. 33, accepts only 2.5% but would invest more and wants maximum return</w:t>
            </w:r>
          </w:p>
        </w:tc>
        <w:tc>
          <w:tcPr>
            <w:tcW w:type="dxa" w:w="1575"/>
            <w:shd w:val="clear" w:fill="EEF3F9"/>
          </w:tcPr>
          <w:p>
            <w:pPr>
              <w:spacing w:after="20"/>
            </w:pPr>
            <w:r/>
            <w:r>
              <w:rPr>
                <w:sz w:val="17"/>
              </w:rPr>
              <w:t>3</w:t>
            </w:r>
          </w:p>
          <w:p>
            <w:pPr>
              <w:spacing w:after="20"/>
            </w:pPr>
            <w:r>
              <w:rPr>
                <w:sz w:val="17"/>
              </w:rPr>
              <w:t>Capacity High</w:t>
            </w:r>
          </w:p>
          <w:p>
            <w:pPr>
              <w:spacing w:after="20"/>
            </w:pPr>
            <w:r>
              <w:rPr>
                <w:sz w:val="17"/>
              </w:rPr>
              <w:t>Flags: mixed attitude</w:t>
            </w:r>
          </w:p>
        </w:tc>
        <w:tc>
          <w:tcPr>
            <w:tcW w:type="dxa" w:w="1353"/>
            <w:shd w:val="clear" w:fill="EEF3F9"/>
          </w:tcPr>
          <w:p>
            <w:pPr>
              <w:spacing w:after="20"/>
            </w:pPr>
            <w:r/>
            <w:r>
              <w:rPr>
                <w:sz w:val="17"/>
              </w:rPr>
              <w:t>3</w:t>
            </w:r>
          </w:p>
          <w:p>
            <w:pPr>
              <w:spacing w:after="20"/>
            </w:pPr>
            <w:r>
              <w:rPr>
                <w:sz w:val="17"/>
              </w:rPr>
              <w:t>Prompts: loss</w:t>
            </w:r>
          </w:p>
        </w:tc>
        <w:tc>
          <w:tcPr>
            <w:tcW w:type="dxa" w:w="1466"/>
            <w:shd w:val="clear" w:fill="EEF3F9"/>
          </w:tcPr>
          <w:p>
            <w:pPr>
              <w:spacing w:after="20"/>
            </w:pPr>
            <w:r/>
            <w:r>
              <w:rPr>
                <w:sz w:val="17"/>
              </w:rPr>
              <w:t>4</w:t>
            </w:r>
          </w:p>
          <w:p>
            <w:pPr>
              <w:spacing w:after="20"/>
            </w:pPr>
            <w:r>
              <w:rPr>
                <w:sz w:val="17"/>
              </w:rPr>
              <w:t>Capacity Medium</w:t>
            </w:r>
          </w:p>
          <w:p>
            <w:pPr>
              <w:spacing w:after="20"/>
            </w:pPr>
            <w:r>
              <w:rPr>
                <w:sz w:val="17"/>
              </w:rPr>
              <w:t>4 conflict warnings</w:t>
            </w:r>
          </w:p>
        </w:tc>
        <w:tc>
          <w:tcPr>
            <w:tcW w:type="dxa" w:w="2730"/>
            <w:shd w:val="clear" w:fill="EEF3F9"/>
          </w:tcPr>
          <w:p>
            <w:pPr>
              <w:spacing w:after="20"/>
            </w:pPr>
            <w:r/>
            <w:r>
              <w:rPr>
                <w:sz w:val="17"/>
              </w:rPr>
              <w:t>Same as Aviva, one below Zurich: the loss answer anchors the rating.</w:t>
            </w:r>
          </w:p>
        </w:tc>
      </w:tr>
    </w:tbl>
    <w:p>
      <w:pPr>
        <w:spacing w:after="40"/>
      </w:pPr>
    </w:p>
    <w:p>
      <w:r>
        <w:br w:type="page"/>
      </w:r>
    </w:p>
    <w:p>
      <w:pPr>
        <w:pStyle w:val="Heading1"/>
      </w:pPr>
      <w:r>
        <w:t>6. What Aviva, Zurich and Standard Life ask</w:t>
      </w:r>
    </w:p>
    <w:p>
      <w:r>
        <w:t>Each provider's questions in full, in the order they are asked, with their answer options.</w:t>
      </w:r>
    </w:p>
    <w:p>
      <w:pPr>
        <w:pStyle w:val="Heading2"/>
      </w:pPr>
      <w:r>
        <w:t>Aviva – Investment Suitability Tool</w:t>
      </w:r>
    </w:p>
    <w:tbl>
      <w:tblPr>
        <w:tblW w:type="auto" w:w="0"/>
        <w:tblLayout w:type="fixed"/>
        <w:tblLook w:firstColumn="1" w:firstRow="1" w:lastColumn="0" w:lastRow="0" w:noHBand="0" w:noVBand="1" w:val="04A0"/>
      </w:tblPr>
      <w:tblGrid>
        <w:gridCol w:w="9972"/>
      </w:tblGrid>
      <w:tr>
        <w:trPr>
          <w:cantSplit/>
        </w:trPr>
        <w:tc>
          <w:tcPr>
            <w:tcW w:type="dxa" w:w="9638"/>
            <w:shd w:val="clear" w:fill="DCE9F7"/>
          </w:tcPr>
          <w:p>
            <w:pPr>
              <w:spacing w:after="40"/>
            </w:pPr>
            <w:r/>
            <w:r>
              <w:rPr>
                <w:b/>
                <w:color w:val="003781"/>
                <w:sz w:val="19"/>
              </w:rPr>
              <w:t xml:space="preserve">How it works  </w:t>
            </w:r>
            <w:r>
              <w:rPr>
                <w:sz w:val="19"/>
              </w:rPr>
              <w:t>5 questions, plus a term slider (5 to 30 years) used only for charts. The rating comes from a lookup of question 4 against question 5, giving 0 (no risk) or 3 to 6. Questions 1 to 3 do not change the rating; they trigger confirmation prompts when answers conflict.</w:t>
            </w:r>
          </w:p>
        </w:tc>
      </w:tr>
    </w:tbl>
    <w:p>
      <w:pPr>
        <w:spacing w:after="40"/>
      </w:pPr>
    </w:p>
    <w:tbl>
      <w:tblPr>
        <w:tblStyle w:val="TableGrid"/>
        <w:tblW w:type="auto" w:w="0"/>
        <w:tblLayout w:type="fixed"/>
        <w:tblLook w:firstColumn="1" w:firstRow="1" w:lastColumn="0" w:lastRow="0" w:noHBand="0" w:noVBand="1" w:val="04A0"/>
      </w:tblPr>
      <w:tblGrid>
        <w:gridCol w:w="3324"/>
        <w:gridCol w:w="3324"/>
        <w:gridCol w:w="3324"/>
      </w:tblGrid>
      <w:tr>
        <w:trPr>
          <w:cantSplit/>
          <w:tblHeader/>
        </w:trPr>
        <w:tc>
          <w:tcPr>
            <w:tcW w:type="dxa" w:w="617"/>
            <w:shd w:val="clear" w:fill="003781"/>
          </w:tcPr>
          <w:p>
            <w:pPr>
              <w:keepNext/>
              <w:spacing w:after="20"/>
            </w:pPr>
            <w:r/>
            <w:r>
              <w:rPr>
                <w:b/>
                <w:color w:val="FFFFFF"/>
                <w:sz w:val="18"/>
              </w:rPr>
              <w:t>#</w:t>
            </w:r>
          </w:p>
        </w:tc>
        <w:tc>
          <w:tcPr>
            <w:tcW w:type="dxa" w:w="4511"/>
            <w:shd w:val="clear" w:fill="003781"/>
          </w:tcPr>
          <w:p>
            <w:pPr>
              <w:keepNext/>
              <w:spacing w:after="20"/>
            </w:pPr>
            <w:r/>
            <w:r>
              <w:rPr>
                <w:b/>
                <w:color w:val="FFFFFF"/>
                <w:sz w:val="18"/>
              </w:rPr>
              <w:t>Question</w:t>
            </w:r>
          </w:p>
        </w:tc>
        <w:tc>
          <w:tcPr>
            <w:tcW w:type="dxa" w:w="4511"/>
            <w:shd w:val="clear" w:fill="003781"/>
          </w:tcPr>
          <w:p>
            <w:pPr>
              <w:keepNext/>
              <w:spacing w:after="20"/>
            </w:pPr>
            <w:r/>
            <w:r>
              <w:rPr>
                <w:b/>
                <w:color w:val="FFFFFF"/>
                <w:sz w:val="18"/>
              </w:rPr>
              <w:t>Answers</w:t>
            </w:r>
          </w:p>
        </w:tc>
      </w:tr>
      <w:tr>
        <w:trPr>
          <w:cantSplit/>
        </w:trPr>
        <w:tc>
          <w:tcPr>
            <w:tcW w:type="dxa" w:w="617"/>
          </w:tcPr>
          <w:p>
            <w:pPr>
              <w:keepNext/>
              <w:spacing w:after="20"/>
            </w:pPr>
            <w:r/>
            <w:r>
              <w:rPr>
                <w:sz w:val="18"/>
              </w:rPr>
              <w:t>1</w:t>
            </w:r>
          </w:p>
        </w:tc>
        <w:tc>
          <w:tcPr>
            <w:tcW w:type="dxa" w:w="4511"/>
          </w:tcPr>
          <w:p>
            <w:pPr>
              <w:keepNext/>
              <w:spacing w:after="20"/>
            </w:pPr>
            <w:r/>
            <w:r>
              <w:rPr>
                <w:sz w:val="18"/>
              </w:rPr>
              <w:t>How experienced an investor are you?</w:t>
            </w:r>
          </w:p>
        </w:tc>
        <w:tc>
          <w:tcPr>
            <w:tcW w:type="dxa" w:w="4511"/>
          </w:tcPr>
          <w:p>
            <w:pPr>
              <w:keepNext/>
              <w:spacing w:after="20"/>
            </w:pPr>
            <w:r/>
            <w:r>
              <w:rPr>
                <w:sz w:val="18"/>
              </w:rPr>
              <w:t>I am not experienced; I have rarely invested in the past</w:t>
            </w:r>
          </w:p>
          <w:p>
            <w:pPr>
              <w:keepNext/>
              <w:spacing w:after="20"/>
            </w:pPr>
            <w:r>
              <w:rPr>
                <w:sz w:val="18"/>
              </w:rPr>
              <w:t>I have invested before, but only in relatively simple products</w:t>
            </w:r>
          </w:p>
          <w:p>
            <w:pPr>
              <w:keepNext/>
              <w:spacing w:after="20"/>
            </w:pPr>
            <w:r>
              <w:rPr>
                <w:sz w:val="18"/>
              </w:rPr>
              <w:t>Although I am not an expert, I do understand how markets work and am comfortable in my ability to make most investment decisions</w:t>
            </w:r>
          </w:p>
          <w:p>
            <w:pPr>
              <w:keepNext/>
              <w:spacing w:after="20"/>
            </w:pPr>
            <w:r>
              <w:rPr>
                <w:sz w:val="18"/>
              </w:rPr>
              <w:t>I have made many investments in the past and would consider myself an experienced investor</w:t>
            </w:r>
          </w:p>
        </w:tc>
      </w:tr>
      <w:tr>
        <w:trPr>
          <w:cantSplit/>
        </w:trPr>
        <w:tc>
          <w:tcPr>
            <w:tcW w:type="dxa" w:w="617"/>
            <w:shd w:val="clear" w:fill="EEF3F9"/>
          </w:tcPr>
          <w:p>
            <w:pPr>
              <w:keepNext/>
              <w:spacing w:after="20"/>
            </w:pPr>
            <w:r/>
            <w:r>
              <w:rPr>
                <w:sz w:val="18"/>
              </w:rPr>
              <w:t>2</w:t>
            </w:r>
          </w:p>
        </w:tc>
        <w:tc>
          <w:tcPr>
            <w:tcW w:type="dxa" w:w="4511"/>
            <w:shd w:val="clear" w:fill="EEF3F9"/>
          </w:tcPr>
          <w:p>
            <w:pPr>
              <w:keepNext/>
              <w:spacing w:after="20"/>
            </w:pPr>
            <w:r/>
            <w:r>
              <w:rPr>
                <w:sz w:val="18"/>
              </w:rPr>
              <w:t>How important to you is the investment you are considering now?</w:t>
            </w:r>
          </w:p>
        </w:tc>
        <w:tc>
          <w:tcPr>
            <w:tcW w:type="dxa" w:w="4511"/>
            <w:shd w:val="clear" w:fill="EEF3F9"/>
          </w:tcPr>
          <w:p>
            <w:pPr>
              <w:keepNext/>
              <w:spacing w:after="20"/>
            </w:pPr>
            <w:r/>
            <w:r>
              <w:rPr>
                <w:sz w:val="18"/>
              </w:rPr>
              <w:t>I am very reliant on this investment and would be in trouble if I lost any of it</w:t>
            </w:r>
          </w:p>
          <w:p>
            <w:pPr>
              <w:keepNext/>
              <w:spacing w:after="20"/>
            </w:pPr>
            <w:r>
              <w:rPr>
                <w:sz w:val="18"/>
              </w:rPr>
              <w:t>I have other funds/sources of income but would feel pain if I suffered significant losses now</w:t>
            </w:r>
          </w:p>
          <w:p>
            <w:pPr>
              <w:keepNext/>
              <w:spacing w:after="20"/>
            </w:pPr>
            <w:r>
              <w:rPr>
                <w:sz w:val="18"/>
              </w:rPr>
              <w:t>I will not be reliant on this investment in the next 10 years, but I expect I will be after that</w:t>
            </w:r>
          </w:p>
          <w:p>
            <w:pPr>
              <w:keepNext/>
              <w:spacing w:after="20"/>
            </w:pPr>
            <w:r>
              <w:rPr>
                <w:sz w:val="18"/>
              </w:rPr>
              <w:t>These are surplus funds and I am unlikely to be dependent on them</w:t>
            </w:r>
          </w:p>
        </w:tc>
      </w:tr>
      <w:tr>
        <w:trPr>
          <w:cantSplit/>
        </w:trPr>
        <w:tc>
          <w:tcPr>
            <w:tcW w:type="dxa" w:w="617"/>
          </w:tcPr>
          <w:p>
            <w:pPr>
              <w:keepNext/>
              <w:spacing w:after="20"/>
            </w:pPr>
            <w:r/>
            <w:r>
              <w:rPr>
                <w:sz w:val="18"/>
              </w:rPr>
              <w:t>3</w:t>
            </w:r>
          </w:p>
        </w:tc>
        <w:tc>
          <w:tcPr>
            <w:tcW w:type="dxa" w:w="4511"/>
          </w:tcPr>
          <w:p>
            <w:pPr>
              <w:keepNext/>
              <w:spacing w:after="20"/>
            </w:pPr>
            <w:r/>
            <w:r>
              <w:rPr>
                <w:sz w:val="18"/>
              </w:rPr>
              <w:t>Thinking of the investment you are about to make, do you agree or disagree: "I want my investment to be safe even if it means lower returns in the long run"?</w:t>
            </w:r>
          </w:p>
        </w:tc>
        <w:tc>
          <w:tcPr>
            <w:tcW w:type="dxa" w:w="4511"/>
          </w:tcPr>
          <w:p>
            <w:pPr>
              <w:keepNext/>
              <w:spacing w:after="20"/>
            </w:pPr>
            <w:r/>
            <w:r>
              <w:rPr>
                <w:sz w:val="18"/>
              </w:rPr>
              <w:t>Strongly agree</w:t>
            </w:r>
          </w:p>
          <w:p>
            <w:pPr>
              <w:keepNext/>
              <w:spacing w:after="20"/>
            </w:pPr>
            <w:r>
              <w:rPr>
                <w:sz w:val="18"/>
              </w:rPr>
              <w:t>Tend to agree</w:t>
            </w:r>
          </w:p>
          <w:p>
            <w:pPr>
              <w:keepNext/>
              <w:spacing w:after="20"/>
            </w:pPr>
            <w:r>
              <w:rPr>
                <w:sz w:val="18"/>
              </w:rPr>
              <w:t>Neither agree nor disagree</w:t>
            </w:r>
          </w:p>
          <w:p>
            <w:pPr>
              <w:keepNext/>
              <w:spacing w:after="20"/>
            </w:pPr>
            <w:r>
              <w:rPr>
                <w:sz w:val="18"/>
              </w:rPr>
              <w:t>Tend to disagree</w:t>
            </w:r>
          </w:p>
          <w:p>
            <w:pPr>
              <w:keepNext/>
              <w:spacing w:after="20"/>
            </w:pPr>
            <w:r>
              <w:rPr>
                <w:sz w:val="18"/>
              </w:rPr>
              <w:t>Strongly disagree</w:t>
            </w:r>
          </w:p>
        </w:tc>
      </w:tr>
      <w:tr>
        <w:trPr>
          <w:cantSplit/>
        </w:trPr>
        <w:tc>
          <w:tcPr>
            <w:tcW w:type="dxa" w:w="617"/>
            <w:shd w:val="clear" w:fill="EEF3F9"/>
          </w:tcPr>
          <w:p>
            <w:pPr>
              <w:keepNext/>
              <w:spacing w:after="20"/>
            </w:pPr>
            <w:r/>
            <w:r>
              <w:rPr>
                <w:sz w:val="18"/>
              </w:rPr>
              <w:t>4</w:t>
            </w:r>
          </w:p>
        </w:tc>
        <w:tc>
          <w:tcPr>
            <w:tcW w:type="dxa" w:w="4511"/>
            <w:shd w:val="clear" w:fill="EEF3F9"/>
          </w:tcPr>
          <w:p>
            <w:pPr>
              <w:keepNext/>
              <w:spacing w:after="20"/>
            </w:pPr>
            <w:r/>
            <w:r>
              <w:rPr>
                <w:sz w:val="18"/>
              </w:rPr>
              <w:t>What risk and return expectations do you have for this investment?</w:t>
            </w:r>
          </w:p>
        </w:tc>
        <w:tc>
          <w:tcPr>
            <w:tcW w:type="dxa" w:w="4511"/>
            <w:shd w:val="clear" w:fill="EEF3F9"/>
          </w:tcPr>
          <w:p>
            <w:pPr>
              <w:keepNext/>
              <w:spacing w:after="20"/>
            </w:pPr>
            <w:r/>
            <w:r>
              <w:rPr>
                <w:sz w:val="18"/>
              </w:rPr>
              <w:t>I would only invest if I had a guarantee of getting at least my original investment back</w:t>
            </w:r>
          </w:p>
          <w:p>
            <w:pPr>
              <w:keepNext/>
              <w:spacing w:after="20"/>
            </w:pPr>
            <w:r>
              <w:rPr>
                <w:sz w:val="18"/>
              </w:rPr>
              <w:t>I want to earn a little more than I could on deposit. I would only take on a small amount of risk to achieve this</w:t>
            </w:r>
          </w:p>
          <w:p>
            <w:pPr>
              <w:keepNext/>
              <w:spacing w:after="20"/>
            </w:pPr>
            <w:r>
              <w:rPr>
                <w:sz w:val="18"/>
              </w:rPr>
              <w:t>I am looking for steady long term growth and am prepared for some short term fluctuations in the value of my investment</w:t>
            </w:r>
          </w:p>
          <w:p>
            <w:pPr>
              <w:keepNext/>
              <w:spacing w:after="20"/>
            </w:pPr>
            <w:r>
              <w:rPr>
                <w:sz w:val="18"/>
              </w:rPr>
              <w:t>I am looking for strong long term growth and understand this could lead to large fluctuations in the value of my investment</w:t>
            </w:r>
          </w:p>
          <w:p>
            <w:pPr>
              <w:keepNext/>
              <w:spacing w:after="20"/>
            </w:pPr>
            <w:r>
              <w:rPr>
                <w:sz w:val="18"/>
              </w:rPr>
              <w:t>I want to maximise returns and am very comfortable taking on a high degree of risk to achieve this</w:t>
            </w:r>
          </w:p>
        </w:tc>
      </w:tr>
      <w:tr>
        <w:trPr>
          <w:cantSplit/>
        </w:trPr>
        <w:tc>
          <w:tcPr>
            <w:tcW w:type="dxa" w:w="617"/>
          </w:tcPr>
          <w:p>
            <w:pPr>
              <w:spacing w:after="20"/>
            </w:pPr>
            <w:r/>
            <w:r>
              <w:rPr>
                <w:sz w:val="18"/>
              </w:rPr>
              <w:t>5</w:t>
            </w:r>
          </w:p>
        </w:tc>
        <w:tc>
          <w:tcPr>
            <w:tcW w:type="dxa" w:w="4511"/>
          </w:tcPr>
          <w:p>
            <w:pPr>
              <w:spacing w:after="20"/>
            </w:pPr>
            <w:r/>
            <w:r>
              <w:rPr>
                <w:sz w:val="18"/>
              </w:rPr>
              <w:t>In order to achieve higher returns you need to be comfortable with short term losses. What is the maximum percentage loss you could tolerate in any 12 month period, before becoming uncomfortable?</w:t>
            </w:r>
          </w:p>
        </w:tc>
        <w:tc>
          <w:tcPr>
            <w:tcW w:type="dxa" w:w="4511"/>
          </w:tcPr>
          <w:p>
            <w:pPr>
              <w:spacing w:after="20"/>
            </w:pPr>
            <w:r/>
            <w:r>
              <w:rPr>
                <w:sz w:val="18"/>
              </w:rPr>
              <w:t>Slider from 0% to 40%</w:t>
            </w:r>
          </w:p>
        </w:tc>
      </w:tr>
    </w:tbl>
    <w:p>
      <w:pPr>
        <w:spacing w:after="40"/>
      </w:pPr>
    </w:p>
    <w:p>
      <w:r>
        <w:br w:type="page"/>
      </w:r>
    </w:p>
    <w:p>
      <w:pPr>
        <w:pStyle w:val="Heading2"/>
      </w:pPr>
      <w:r>
        <w:t>Zurich – Risk Profiler</w:t>
      </w:r>
    </w:p>
    <w:tbl>
      <w:tblPr>
        <w:tblW w:type="auto" w:w="0"/>
        <w:tblLayout w:type="fixed"/>
        <w:tblLook w:firstColumn="1" w:firstRow="1" w:lastColumn="0" w:lastRow="0" w:noHBand="0" w:noVBand="1" w:val="04A0"/>
      </w:tblPr>
      <w:tblGrid>
        <w:gridCol w:w="9972"/>
      </w:tblGrid>
      <w:tr>
        <w:trPr>
          <w:cantSplit/>
        </w:trPr>
        <w:tc>
          <w:tcPr>
            <w:tcW w:type="dxa" w:w="9638"/>
            <w:shd w:val="clear" w:fill="DCE9F7"/>
          </w:tcPr>
          <w:p>
            <w:pPr>
              <w:spacing w:after="40"/>
            </w:pPr>
            <w:r/>
            <w:r>
              <w:rPr>
                <w:b/>
                <w:color w:val="003781"/>
                <w:sz w:val="19"/>
              </w:rPr>
              <w:t xml:space="preserve">How it works  </w:t>
            </w:r>
            <w:r>
              <w:rPr>
                <w:sz w:val="19"/>
              </w:rPr>
              <w:t>9 questions on one page. Questions 4 to 7 are scored (8, 6, 4, 2 or 0 points each), and the total is adjusted for age, term and knowledge to give Risk Profile 1 to 7. Questions 8 and 9 give a separate Capacity for Loss (Low, Medium or High).</w:t>
            </w:r>
          </w:p>
        </w:tc>
      </w:tr>
    </w:tbl>
    <w:p>
      <w:pPr>
        <w:spacing w:after="40"/>
      </w:pPr>
    </w:p>
    <w:tbl>
      <w:tblPr>
        <w:tblStyle w:val="TableGrid"/>
        <w:tblW w:type="auto" w:w="0"/>
        <w:tblLayout w:type="fixed"/>
        <w:tblLook w:firstColumn="1" w:firstRow="1" w:lastColumn="0" w:lastRow="0" w:noHBand="0" w:noVBand="1" w:val="04A0"/>
      </w:tblPr>
      <w:tblGrid>
        <w:gridCol w:w="3324"/>
        <w:gridCol w:w="3324"/>
        <w:gridCol w:w="3324"/>
      </w:tblGrid>
      <w:tr>
        <w:trPr>
          <w:cantSplit/>
          <w:tblHeader/>
        </w:trPr>
        <w:tc>
          <w:tcPr>
            <w:tcW w:type="dxa" w:w="617"/>
            <w:shd w:val="clear" w:fill="003781"/>
          </w:tcPr>
          <w:p>
            <w:pPr>
              <w:keepNext/>
              <w:spacing w:after="20"/>
            </w:pPr>
            <w:r/>
            <w:r>
              <w:rPr>
                <w:b/>
                <w:color w:val="FFFFFF"/>
                <w:sz w:val="18"/>
              </w:rPr>
              <w:t>#</w:t>
            </w:r>
          </w:p>
        </w:tc>
        <w:tc>
          <w:tcPr>
            <w:tcW w:type="dxa" w:w="4511"/>
            <w:shd w:val="clear" w:fill="003781"/>
          </w:tcPr>
          <w:p>
            <w:pPr>
              <w:keepNext/>
              <w:spacing w:after="20"/>
            </w:pPr>
            <w:r/>
            <w:r>
              <w:rPr>
                <w:b/>
                <w:color w:val="FFFFFF"/>
                <w:sz w:val="18"/>
              </w:rPr>
              <w:t>Question</w:t>
            </w:r>
          </w:p>
        </w:tc>
        <w:tc>
          <w:tcPr>
            <w:tcW w:type="dxa" w:w="4511"/>
            <w:shd w:val="clear" w:fill="003781"/>
          </w:tcPr>
          <w:p>
            <w:pPr>
              <w:keepNext/>
              <w:spacing w:after="20"/>
            </w:pPr>
            <w:r/>
            <w:r>
              <w:rPr>
                <w:b/>
                <w:color w:val="FFFFFF"/>
                <w:sz w:val="18"/>
              </w:rPr>
              <w:t>Answers</w:t>
            </w:r>
          </w:p>
        </w:tc>
      </w:tr>
      <w:tr>
        <w:trPr>
          <w:cantSplit/>
        </w:trPr>
        <w:tc>
          <w:tcPr>
            <w:tcW w:type="dxa" w:w="617"/>
          </w:tcPr>
          <w:p>
            <w:pPr>
              <w:spacing w:after="20"/>
            </w:pPr>
            <w:r/>
            <w:r>
              <w:rPr>
                <w:sz w:val="18"/>
              </w:rPr>
              <w:t>1</w:t>
            </w:r>
          </w:p>
        </w:tc>
        <w:tc>
          <w:tcPr>
            <w:tcW w:type="dxa" w:w="4511"/>
          </w:tcPr>
          <w:p>
            <w:pPr>
              <w:spacing w:after="20"/>
            </w:pPr>
            <w:r/>
            <w:r>
              <w:rPr>
                <w:sz w:val="18"/>
              </w:rPr>
              <w:t>What age are you?</w:t>
            </w:r>
          </w:p>
        </w:tc>
        <w:tc>
          <w:tcPr>
            <w:tcW w:type="dxa" w:w="4511"/>
          </w:tcPr>
          <w:p>
            <w:pPr>
              <w:spacing w:after="20"/>
            </w:pPr>
            <w:r/>
            <w:r>
              <w:rPr>
                <w:sz w:val="18"/>
              </w:rPr>
              <w:t>Slider from 19 to 100</w:t>
            </w:r>
          </w:p>
        </w:tc>
      </w:tr>
      <w:tr>
        <w:trPr>
          <w:cantSplit/>
        </w:trPr>
        <w:tc>
          <w:tcPr>
            <w:tcW w:type="dxa" w:w="617"/>
            <w:shd w:val="clear" w:fill="EEF3F9"/>
          </w:tcPr>
          <w:p>
            <w:pPr>
              <w:spacing w:after="20"/>
            </w:pPr>
            <w:r/>
            <w:r>
              <w:rPr>
                <w:sz w:val="18"/>
              </w:rPr>
              <w:t>2</w:t>
            </w:r>
          </w:p>
        </w:tc>
        <w:tc>
          <w:tcPr>
            <w:tcW w:type="dxa" w:w="4511"/>
            <w:shd w:val="clear" w:fill="EEF3F9"/>
          </w:tcPr>
          <w:p>
            <w:pPr>
              <w:spacing w:after="20"/>
            </w:pPr>
            <w:r/>
            <w:r>
              <w:rPr>
                <w:sz w:val="18"/>
              </w:rPr>
              <w:t>How long do you plan to invest for?</w:t>
            </w:r>
          </w:p>
        </w:tc>
        <w:tc>
          <w:tcPr>
            <w:tcW w:type="dxa" w:w="4511"/>
            <w:shd w:val="clear" w:fill="EEF3F9"/>
          </w:tcPr>
          <w:p>
            <w:pPr>
              <w:spacing w:after="20"/>
            </w:pPr>
            <w:r/>
            <w:r>
              <w:rPr>
                <w:sz w:val="18"/>
              </w:rPr>
              <w:t>Slider from 1 to 15+ years</w:t>
            </w:r>
          </w:p>
        </w:tc>
      </w:tr>
      <w:tr>
        <w:trPr>
          <w:cantSplit/>
        </w:trPr>
        <w:tc>
          <w:tcPr>
            <w:tcW w:type="dxa" w:w="617"/>
          </w:tcPr>
          <w:p>
            <w:pPr>
              <w:spacing w:after="20"/>
            </w:pPr>
            <w:r/>
            <w:r>
              <w:rPr>
                <w:sz w:val="18"/>
              </w:rPr>
              <w:t>3</w:t>
            </w:r>
          </w:p>
        </w:tc>
        <w:tc>
          <w:tcPr>
            <w:tcW w:type="dxa" w:w="4511"/>
          </w:tcPr>
          <w:p>
            <w:pPr>
              <w:spacing w:after="20"/>
            </w:pPr>
            <w:r/>
            <w:r>
              <w:rPr>
                <w:sz w:val="18"/>
              </w:rPr>
              <w:t>How would you describe your investment knowledge?</w:t>
            </w:r>
          </w:p>
        </w:tc>
        <w:tc>
          <w:tcPr>
            <w:tcW w:type="dxa" w:w="4511"/>
          </w:tcPr>
          <w:p>
            <w:pPr>
              <w:spacing w:after="20"/>
            </w:pPr>
            <w:r/>
            <w:r>
              <w:rPr>
                <w:sz w:val="18"/>
              </w:rPr>
              <w:t>Expert: I have an in-depth knowledge of how investments work</w:t>
            </w:r>
          </w:p>
          <w:p>
            <w:pPr>
              <w:spacing w:after="20"/>
            </w:pPr>
            <w:r>
              <w:rPr>
                <w:sz w:val="18"/>
              </w:rPr>
              <w:t>High: I have a good understanding of the different types of investments and their risks</w:t>
            </w:r>
          </w:p>
          <w:p>
            <w:pPr>
              <w:spacing w:after="20"/>
            </w:pPr>
            <w:r>
              <w:rPr>
                <w:sz w:val="18"/>
              </w:rPr>
              <w:t>Moderate: I have knowledge of the basic types of investments and their risks</w:t>
            </w:r>
          </w:p>
          <w:p>
            <w:pPr>
              <w:spacing w:after="20"/>
            </w:pPr>
            <w:r>
              <w:rPr>
                <w:sz w:val="18"/>
              </w:rPr>
              <w:t>Little: I have little knowledge about investments and their risks</w:t>
            </w:r>
          </w:p>
          <w:p>
            <w:pPr>
              <w:spacing w:after="20"/>
            </w:pPr>
            <w:r>
              <w:rPr>
                <w:sz w:val="18"/>
              </w:rPr>
              <w:t>None: I have no investment knowledge</w:t>
            </w:r>
          </w:p>
        </w:tc>
      </w:tr>
      <w:tr>
        <w:trPr>
          <w:cantSplit/>
        </w:trPr>
        <w:tc>
          <w:tcPr>
            <w:tcW w:type="dxa" w:w="617"/>
            <w:shd w:val="clear" w:fill="EEF3F9"/>
          </w:tcPr>
          <w:p>
            <w:pPr>
              <w:spacing w:after="20"/>
            </w:pPr>
            <w:r/>
            <w:r>
              <w:rPr>
                <w:sz w:val="18"/>
              </w:rPr>
              <w:t>4</w:t>
            </w:r>
          </w:p>
        </w:tc>
        <w:tc>
          <w:tcPr>
            <w:tcW w:type="dxa" w:w="4511"/>
            <w:shd w:val="clear" w:fill="EEF3F9"/>
          </w:tcPr>
          <w:p>
            <w:pPr>
              <w:spacing w:after="20"/>
            </w:pPr>
            <w:r/>
            <w:r>
              <w:rPr>
                <w:sz w:val="18"/>
              </w:rPr>
              <w:t>What is your investment objective?</w:t>
            </w:r>
          </w:p>
        </w:tc>
        <w:tc>
          <w:tcPr>
            <w:tcW w:type="dxa" w:w="4511"/>
            <w:shd w:val="clear" w:fill="EEF3F9"/>
          </w:tcPr>
          <w:p>
            <w:pPr>
              <w:spacing w:after="20"/>
            </w:pPr>
            <w:r/>
            <w:r>
              <w:rPr>
                <w:sz w:val="18"/>
              </w:rPr>
              <w:t>To maximise returns, regardless of risk</w:t>
            </w:r>
          </w:p>
          <w:p>
            <w:pPr>
              <w:spacing w:after="20"/>
            </w:pPr>
            <w:r>
              <w:rPr>
                <w:sz w:val="18"/>
              </w:rPr>
              <w:t>To make high returns, without excessive risk</w:t>
            </w:r>
          </w:p>
          <w:p>
            <w:pPr>
              <w:spacing w:after="20"/>
            </w:pPr>
            <w:r>
              <w:rPr>
                <w:sz w:val="18"/>
              </w:rPr>
              <w:t>To make good returns, with limited risk to my capital</w:t>
            </w:r>
          </w:p>
          <w:p>
            <w:pPr>
              <w:spacing w:after="20"/>
            </w:pPr>
            <w:r>
              <w:rPr>
                <w:sz w:val="18"/>
              </w:rPr>
              <w:t>To make returns which beat inflation, without significant risk to my capital</w:t>
            </w:r>
          </w:p>
          <w:p>
            <w:pPr>
              <w:spacing w:after="20"/>
            </w:pPr>
            <w:r>
              <w:rPr>
                <w:sz w:val="18"/>
              </w:rPr>
              <w:t>To protect my capital</w:t>
            </w:r>
          </w:p>
        </w:tc>
      </w:tr>
      <w:tr>
        <w:trPr>
          <w:cantSplit/>
        </w:trPr>
        <w:tc>
          <w:tcPr>
            <w:tcW w:type="dxa" w:w="617"/>
          </w:tcPr>
          <w:p>
            <w:pPr>
              <w:spacing w:after="20"/>
            </w:pPr>
            <w:r/>
            <w:r>
              <w:rPr>
                <w:sz w:val="18"/>
              </w:rPr>
              <w:t>5</w:t>
            </w:r>
          </w:p>
        </w:tc>
        <w:tc>
          <w:tcPr>
            <w:tcW w:type="dxa" w:w="4511"/>
          </w:tcPr>
          <w:p>
            <w:pPr>
              <w:spacing w:after="20"/>
            </w:pPr>
            <w:r/>
            <w:r>
              <w:rPr>
                <w:sz w:val="18"/>
              </w:rPr>
              <w:t>How concerned would you be with a short-term (6 months) 10% decline in your investment?</w:t>
            </w:r>
          </w:p>
        </w:tc>
        <w:tc>
          <w:tcPr>
            <w:tcW w:type="dxa" w:w="4511"/>
          </w:tcPr>
          <w:p>
            <w:pPr>
              <w:spacing w:after="20"/>
            </w:pPr>
            <w:r/>
            <w:r>
              <w:rPr>
                <w:sz w:val="18"/>
              </w:rPr>
              <w:t>Not concerned</w:t>
            </w:r>
          </w:p>
          <w:p>
            <w:pPr>
              <w:spacing w:after="20"/>
            </w:pPr>
            <w:r>
              <w:rPr>
                <w:sz w:val="18"/>
              </w:rPr>
              <w:t>Slightly concerned</w:t>
            </w:r>
          </w:p>
          <w:p>
            <w:pPr>
              <w:spacing w:after="20"/>
            </w:pPr>
            <w:r>
              <w:rPr>
                <w:sz w:val="18"/>
              </w:rPr>
              <w:t>Moderately concerned</w:t>
            </w:r>
          </w:p>
          <w:p>
            <w:pPr>
              <w:spacing w:after="20"/>
            </w:pPr>
            <w:r>
              <w:rPr>
                <w:sz w:val="18"/>
              </w:rPr>
              <w:t>Very concerned</w:t>
            </w:r>
          </w:p>
          <w:p>
            <w:pPr>
              <w:spacing w:after="20"/>
            </w:pPr>
            <w:r>
              <w:rPr>
                <w:sz w:val="18"/>
              </w:rPr>
              <w:t>Extremely concerned</w:t>
            </w:r>
          </w:p>
        </w:tc>
      </w:tr>
      <w:tr>
        <w:trPr>
          <w:cantSplit/>
        </w:trPr>
        <w:tc>
          <w:tcPr>
            <w:tcW w:type="dxa" w:w="617"/>
            <w:shd w:val="clear" w:fill="EEF3F9"/>
          </w:tcPr>
          <w:p>
            <w:pPr>
              <w:spacing w:after="20"/>
            </w:pPr>
            <w:r/>
            <w:r>
              <w:rPr>
                <w:sz w:val="18"/>
              </w:rPr>
              <w:t>6</w:t>
            </w:r>
          </w:p>
        </w:tc>
        <w:tc>
          <w:tcPr>
            <w:tcW w:type="dxa" w:w="4511"/>
            <w:shd w:val="clear" w:fill="EEF3F9"/>
          </w:tcPr>
          <w:p>
            <w:pPr>
              <w:spacing w:after="20"/>
            </w:pPr>
            <w:r/>
            <w:r>
              <w:rPr>
                <w:sz w:val="18"/>
              </w:rPr>
              <w:t>What is your appetite for taking risk? If you invested €10,000 today, what range of potential values would you consider to be an acceptable return for your investment after 5 years?</w:t>
            </w:r>
          </w:p>
        </w:tc>
        <w:tc>
          <w:tcPr>
            <w:tcW w:type="dxa" w:w="4511"/>
            <w:shd w:val="clear" w:fill="EEF3F9"/>
          </w:tcPr>
          <w:p>
            <w:pPr>
              <w:spacing w:after="20"/>
            </w:pPr>
            <w:r/>
            <w:r>
              <w:rPr>
                <w:sz w:val="18"/>
              </w:rPr>
              <w:t>Between €6,300 and €17,200</w:t>
            </w:r>
          </w:p>
          <w:p>
            <w:pPr>
              <w:spacing w:after="20"/>
            </w:pPr>
            <w:r>
              <w:rPr>
                <w:sz w:val="18"/>
              </w:rPr>
              <w:t>Between €6,800 and €16,300</w:t>
            </w:r>
          </w:p>
          <w:p>
            <w:pPr>
              <w:spacing w:after="20"/>
            </w:pPr>
            <w:r>
              <w:rPr>
                <w:sz w:val="18"/>
              </w:rPr>
              <w:t>Between €7,900 and €14,000</w:t>
            </w:r>
          </w:p>
          <w:p>
            <w:pPr>
              <w:spacing w:after="20"/>
            </w:pPr>
            <w:r>
              <w:rPr>
                <w:sz w:val="18"/>
              </w:rPr>
              <w:t>Between €8,900 and €12,100</w:t>
            </w:r>
          </w:p>
          <w:p>
            <w:pPr>
              <w:spacing w:after="20"/>
            </w:pPr>
            <w:r>
              <w:rPr>
                <w:sz w:val="18"/>
              </w:rPr>
              <w:t>Between €9,800 and €11,600</w:t>
            </w:r>
          </w:p>
        </w:tc>
      </w:tr>
      <w:tr>
        <w:trPr>
          <w:cantSplit/>
        </w:trPr>
        <w:tc>
          <w:tcPr>
            <w:tcW w:type="dxa" w:w="617"/>
          </w:tcPr>
          <w:p>
            <w:pPr>
              <w:spacing w:after="20"/>
            </w:pPr>
            <w:r/>
            <w:r>
              <w:rPr>
                <w:sz w:val="18"/>
              </w:rPr>
              <w:t>7</w:t>
            </w:r>
          </w:p>
        </w:tc>
        <w:tc>
          <w:tcPr>
            <w:tcW w:type="dxa" w:w="4511"/>
          </w:tcPr>
          <w:p>
            <w:pPr>
              <w:spacing w:after="20"/>
            </w:pPr>
            <w:r/>
            <w:r>
              <w:rPr>
                <w:sz w:val="18"/>
              </w:rPr>
              <w:t>What is your approach to taking risks? If you could increase the value of your investment by taking more risk, would you:</w:t>
            </w:r>
          </w:p>
        </w:tc>
        <w:tc>
          <w:tcPr>
            <w:tcW w:type="dxa" w:w="4511"/>
          </w:tcPr>
          <w:p>
            <w:pPr>
              <w:spacing w:after="20"/>
            </w:pPr>
            <w:r/>
            <w:r>
              <w:rPr>
                <w:sz w:val="18"/>
              </w:rPr>
              <w:t>Take a LOT more risk with ALL of your money</w:t>
            </w:r>
          </w:p>
          <w:p>
            <w:pPr>
              <w:spacing w:after="20"/>
            </w:pPr>
            <w:r>
              <w:rPr>
                <w:sz w:val="18"/>
              </w:rPr>
              <w:t>Take a LITTLE more risk with ALL of your money</w:t>
            </w:r>
          </w:p>
          <w:p>
            <w:pPr>
              <w:spacing w:after="20"/>
            </w:pPr>
            <w:r>
              <w:rPr>
                <w:sz w:val="18"/>
              </w:rPr>
              <w:t>Take a LITTLE more risk with SOME of your money</w:t>
            </w:r>
          </w:p>
          <w:p>
            <w:pPr>
              <w:spacing w:after="20"/>
            </w:pPr>
            <w:r>
              <w:rPr>
                <w:sz w:val="18"/>
              </w:rPr>
              <w:t>Be UNWILLING to take any more risk</w:t>
            </w:r>
          </w:p>
        </w:tc>
      </w:tr>
      <w:tr>
        <w:trPr>
          <w:cantSplit/>
        </w:trPr>
        <w:tc>
          <w:tcPr>
            <w:tcW w:type="dxa" w:w="617"/>
            <w:shd w:val="clear" w:fill="EEF3F9"/>
          </w:tcPr>
          <w:p>
            <w:pPr>
              <w:spacing w:after="20"/>
            </w:pPr>
            <w:r/>
            <w:r>
              <w:rPr>
                <w:sz w:val="18"/>
              </w:rPr>
              <w:t>8</w:t>
            </w:r>
          </w:p>
        </w:tc>
        <w:tc>
          <w:tcPr>
            <w:tcW w:type="dxa" w:w="4511"/>
            <w:shd w:val="clear" w:fill="EEF3F9"/>
          </w:tcPr>
          <w:p>
            <w:pPr>
              <w:spacing w:after="20"/>
            </w:pPr>
            <w:r/>
            <w:r>
              <w:rPr>
                <w:sz w:val="18"/>
              </w:rPr>
              <w:t>Financial emergency: do you have other savings available to you, should you encounter a financial emergency?</w:t>
            </w:r>
          </w:p>
        </w:tc>
        <w:tc>
          <w:tcPr>
            <w:tcW w:type="dxa" w:w="4511"/>
            <w:shd w:val="clear" w:fill="EEF3F9"/>
          </w:tcPr>
          <w:p>
            <w:pPr>
              <w:spacing w:after="20"/>
            </w:pPr>
            <w:r/>
            <w:r>
              <w:rPr>
                <w:sz w:val="18"/>
              </w:rPr>
              <w:t>No. I have no other savings I can use in the event of an emergency</w:t>
            </w:r>
          </w:p>
          <w:p>
            <w:pPr>
              <w:spacing w:after="20"/>
            </w:pPr>
            <w:r>
              <w:rPr>
                <w:sz w:val="18"/>
              </w:rPr>
              <w:t>I have some other savings, but nothing earmarked for a financial emergency</w:t>
            </w:r>
          </w:p>
          <w:p>
            <w:pPr>
              <w:spacing w:after="20"/>
            </w:pPr>
            <w:r>
              <w:rPr>
                <w:sz w:val="18"/>
              </w:rPr>
              <w:t>Yes. I have specific savings that I can use in an emergency</w:t>
            </w:r>
          </w:p>
        </w:tc>
      </w:tr>
      <w:tr>
        <w:trPr>
          <w:cantSplit/>
        </w:trPr>
        <w:tc>
          <w:tcPr>
            <w:tcW w:type="dxa" w:w="617"/>
          </w:tcPr>
          <w:p>
            <w:pPr>
              <w:spacing w:after="20"/>
            </w:pPr>
            <w:r/>
            <w:r>
              <w:rPr>
                <w:sz w:val="18"/>
              </w:rPr>
              <w:t>9</w:t>
            </w:r>
          </w:p>
        </w:tc>
        <w:tc>
          <w:tcPr>
            <w:tcW w:type="dxa" w:w="4511"/>
          </w:tcPr>
          <w:p>
            <w:pPr>
              <w:spacing w:after="20"/>
            </w:pPr>
            <w:r/>
            <w:r>
              <w:rPr>
                <w:sz w:val="18"/>
              </w:rPr>
              <w:t>Financial well-being: if this investment were to perform poorly, what impact would this have on your financial well-being?</w:t>
            </w:r>
          </w:p>
        </w:tc>
        <w:tc>
          <w:tcPr>
            <w:tcW w:type="dxa" w:w="4511"/>
          </w:tcPr>
          <w:p>
            <w:pPr>
              <w:spacing w:after="20"/>
            </w:pPr>
            <w:r/>
            <w:r>
              <w:rPr>
                <w:sz w:val="18"/>
              </w:rPr>
              <w:t>It would have a big impact. This investment is required for a specific purpose</w:t>
            </w:r>
          </w:p>
          <w:p>
            <w:pPr>
              <w:spacing w:after="20"/>
            </w:pPr>
            <w:r>
              <w:rPr>
                <w:sz w:val="18"/>
              </w:rPr>
              <w:t>It would have some impact. I would need to make some adjustments to my future plans</w:t>
            </w:r>
          </w:p>
          <w:p>
            <w:pPr>
              <w:spacing w:after="20"/>
            </w:pPr>
            <w:r>
              <w:rPr>
                <w:sz w:val="18"/>
              </w:rPr>
              <w:t>It would have no impact, as I have other savings</w:t>
            </w:r>
          </w:p>
        </w:tc>
      </w:tr>
    </w:tbl>
    <w:p>
      <w:pPr>
        <w:spacing w:after="40"/>
      </w:pPr>
    </w:p>
    <w:p>
      <w:r>
        <w:br w:type="page"/>
      </w:r>
    </w:p>
    <w:p>
      <w:pPr>
        <w:pStyle w:val="Heading2"/>
      </w:pPr>
      <w:r>
        <w:t>Standard Life – EV Risk Profiler</w:t>
      </w:r>
    </w:p>
    <w:tbl>
      <w:tblPr>
        <w:tblW w:type="auto" w:w="0"/>
        <w:tblLayout w:type="fixed"/>
        <w:tblLook w:firstColumn="1" w:firstRow="1" w:lastColumn="0" w:lastRow="0" w:noHBand="0" w:noVBand="1" w:val="04A0"/>
      </w:tblPr>
      <w:tblGrid>
        <w:gridCol w:w="9972"/>
      </w:tblGrid>
      <w:tr>
        <w:trPr>
          <w:cantSplit/>
        </w:trPr>
        <w:tc>
          <w:tcPr>
            <w:tcW w:type="dxa" w:w="9638"/>
            <w:shd w:val="clear" w:fill="DCE9F7"/>
          </w:tcPr>
          <w:p>
            <w:pPr>
              <w:spacing w:after="40"/>
            </w:pPr>
            <w:r/>
            <w:r>
              <w:rPr>
                <w:b/>
                <w:color w:val="003781"/>
                <w:sz w:val="19"/>
              </w:rPr>
              <w:t xml:space="preserve">How it works  </w:t>
            </w:r>
            <w:r>
              <w:rPr>
                <w:sz w:val="19"/>
              </w:rPr>
              <w:t>13 questions. Each answer is scored and the total is compared with EV's scorecard (not published) to give one of five categories: Low, Low-Medium, Medium, Medium-High or High. Three optional sustainability questions follow and are not scored. Irish Life asks the same 13 questions, plus two: "When I consider investments that have an element of risk I feel quite anxious" and what you would do if your investment fell significantly six months after investing.</w:t>
            </w:r>
          </w:p>
        </w:tc>
      </w:tr>
    </w:tbl>
    <w:p>
      <w:pPr>
        <w:spacing w:after="40"/>
      </w:pPr>
    </w:p>
    <w:tbl>
      <w:tblPr>
        <w:tblStyle w:val="TableGrid"/>
        <w:tblW w:type="auto" w:w="0"/>
        <w:tblLayout w:type="fixed"/>
        <w:tblLook w:firstColumn="1" w:firstRow="1" w:lastColumn="0" w:lastRow="0" w:noHBand="0" w:noVBand="1" w:val="04A0"/>
      </w:tblPr>
      <w:tblGrid>
        <w:gridCol w:w="3324"/>
        <w:gridCol w:w="3324"/>
        <w:gridCol w:w="3324"/>
      </w:tblGrid>
      <w:tr>
        <w:trPr>
          <w:cantSplit/>
          <w:tblHeader/>
        </w:trPr>
        <w:tc>
          <w:tcPr>
            <w:tcW w:type="dxa" w:w="617"/>
            <w:shd w:val="clear" w:fill="003781"/>
          </w:tcPr>
          <w:p>
            <w:pPr>
              <w:keepNext/>
              <w:spacing w:after="20"/>
            </w:pPr>
            <w:r/>
            <w:r>
              <w:rPr>
                <w:b/>
                <w:color w:val="FFFFFF"/>
                <w:sz w:val="18"/>
              </w:rPr>
              <w:t>#</w:t>
            </w:r>
          </w:p>
        </w:tc>
        <w:tc>
          <w:tcPr>
            <w:tcW w:type="dxa" w:w="4511"/>
            <w:shd w:val="clear" w:fill="003781"/>
          </w:tcPr>
          <w:p>
            <w:pPr>
              <w:keepNext/>
              <w:spacing w:after="20"/>
            </w:pPr>
            <w:r/>
            <w:r>
              <w:rPr>
                <w:b/>
                <w:color w:val="FFFFFF"/>
                <w:sz w:val="18"/>
              </w:rPr>
              <w:t>Question</w:t>
            </w:r>
          </w:p>
        </w:tc>
        <w:tc>
          <w:tcPr>
            <w:tcW w:type="dxa" w:w="4511"/>
            <w:shd w:val="clear" w:fill="003781"/>
          </w:tcPr>
          <w:p>
            <w:pPr>
              <w:keepNext/>
              <w:spacing w:after="20"/>
            </w:pPr>
            <w:r/>
            <w:r>
              <w:rPr>
                <w:b/>
                <w:color w:val="FFFFFF"/>
                <w:sz w:val="18"/>
              </w:rPr>
              <w:t>Answers</w:t>
            </w:r>
          </w:p>
        </w:tc>
      </w:tr>
      <w:tr>
        <w:trPr>
          <w:cantSplit/>
        </w:trPr>
        <w:tc>
          <w:tcPr>
            <w:tcW w:type="dxa" w:w="617"/>
          </w:tcPr>
          <w:p>
            <w:pPr>
              <w:spacing w:after="20"/>
            </w:pPr>
            <w:r/>
            <w:r>
              <w:rPr>
                <w:sz w:val="18"/>
              </w:rPr>
              <w:t>1</w:t>
            </w:r>
          </w:p>
        </w:tc>
        <w:tc>
          <w:tcPr>
            <w:tcW w:type="dxa" w:w="4511"/>
          </w:tcPr>
          <w:p>
            <w:pPr>
              <w:spacing w:after="20"/>
            </w:pPr>
            <w:r/>
            <w:r>
              <w:rPr>
                <w:sz w:val="18"/>
              </w:rPr>
              <w:t>I would enjoy exploring investment opportunities for my money.</w:t>
            </w:r>
          </w:p>
        </w:tc>
        <w:tc>
          <w:tcPr>
            <w:tcW w:type="dxa" w:w="4511"/>
          </w:tcPr>
          <w:p>
            <w:pPr>
              <w:spacing w:after="20"/>
            </w:pPr>
            <w:r/>
            <w:r>
              <w:rPr>
                <w:sz w:val="18"/>
              </w:rPr>
              <w:t>Strongly agree</w:t>
            </w:r>
          </w:p>
          <w:p>
            <w:pPr>
              <w:spacing w:after="20"/>
            </w:pPr>
            <w:r>
              <w:rPr>
                <w:sz w:val="18"/>
              </w:rPr>
              <w:t>Tend to agree</w:t>
            </w:r>
          </w:p>
          <w:p>
            <w:pPr>
              <w:spacing w:after="20"/>
            </w:pPr>
            <w:r>
              <w:rPr>
                <w:sz w:val="18"/>
              </w:rPr>
              <w:t>In between</w:t>
            </w:r>
          </w:p>
          <w:p>
            <w:pPr>
              <w:spacing w:after="20"/>
            </w:pPr>
            <w:r>
              <w:rPr>
                <w:sz w:val="18"/>
              </w:rPr>
              <w:t>Tend to disagree</w:t>
            </w:r>
          </w:p>
          <w:p>
            <w:pPr>
              <w:spacing w:after="20"/>
            </w:pPr>
            <w:r>
              <w:rPr>
                <w:sz w:val="18"/>
              </w:rPr>
              <w:t>Strongly disagree</w:t>
            </w:r>
          </w:p>
        </w:tc>
      </w:tr>
      <w:tr>
        <w:trPr>
          <w:cantSplit/>
        </w:trPr>
        <w:tc>
          <w:tcPr>
            <w:tcW w:type="dxa" w:w="617"/>
            <w:shd w:val="clear" w:fill="EEF3F9"/>
          </w:tcPr>
          <w:p>
            <w:pPr>
              <w:spacing w:after="20"/>
            </w:pPr>
            <w:r/>
            <w:r>
              <w:rPr>
                <w:sz w:val="18"/>
              </w:rPr>
              <w:t>2</w:t>
            </w:r>
          </w:p>
        </w:tc>
        <w:tc>
          <w:tcPr>
            <w:tcW w:type="dxa" w:w="4511"/>
            <w:shd w:val="clear" w:fill="EEF3F9"/>
          </w:tcPr>
          <w:p>
            <w:pPr>
              <w:spacing w:after="20"/>
            </w:pPr>
            <w:r/>
            <w:r>
              <w:rPr>
                <w:sz w:val="18"/>
              </w:rPr>
              <w:t>I would go for the best possible return even if there were risk involved.</w:t>
            </w:r>
          </w:p>
        </w:tc>
        <w:tc>
          <w:tcPr>
            <w:tcW w:type="dxa" w:w="4511"/>
            <w:shd w:val="clear" w:fill="EEF3F9"/>
          </w:tcPr>
          <w:p>
            <w:pPr>
              <w:spacing w:after="20"/>
            </w:pPr>
            <w:r/>
            <w:r>
              <w:rPr>
                <w:sz w:val="18"/>
              </w:rPr>
              <w:t>Always</w:t>
            </w:r>
          </w:p>
          <w:p>
            <w:pPr>
              <w:spacing w:after="20"/>
            </w:pPr>
            <w:r>
              <w:rPr>
                <w:sz w:val="18"/>
              </w:rPr>
              <w:t>Usually</w:t>
            </w:r>
          </w:p>
          <w:p>
            <w:pPr>
              <w:spacing w:after="20"/>
            </w:pPr>
            <w:r>
              <w:rPr>
                <w:sz w:val="18"/>
              </w:rPr>
              <w:t>Sometimes</w:t>
            </w:r>
          </w:p>
          <w:p>
            <w:pPr>
              <w:spacing w:after="20"/>
            </w:pPr>
            <w:r>
              <w:rPr>
                <w:sz w:val="18"/>
              </w:rPr>
              <w:t>Rarely</w:t>
            </w:r>
          </w:p>
          <w:p>
            <w:pPr>
              <w:spacing w:after="20"/>
            </w:pPr>
            <w:r>
              <w:rPr>
                <w:sz w:val="18"/>
              </w:rPr>
              <w:t>Never</w:t>
            </w:r>
          </w:p>
        </w:tc>
      </w:tr>
      <w:tr>
        <w:trPr>
          <w:cantSplit/>
        </w:trPr>
        <w:tc>
          <w:tcPr>
            <w:tcW w:type="dxa" w:w="617"/>
          </w:tcPr>
          <w:p>
            <w:pPr>
              <w:spacing w:after="20"/>
            </w:pPr>
            <w:r/>
            <w:r>
              <w:rPr>
                <w:sz w:val="18"/>
              </w:rPr>
              <w:t>3</w:t>
            </w:r>
          </w:p>
        </w:tc>
        <w:tc>
          <w:tcPr>
            <w:tcW w:type="dxa" w:w="4511"/>
          </w:tcPr>
          <w:p>
            <w:pPr>
              <w:spacing w:after="20"/>
            </w:pPr>
            <w:r/>
            <w:r>
              <w:rPr>
                <w:sz w:val="18"/>
              </w:rPr>
              <w:t>How would you describe your typical attitude when making important financial decisions?</w:t>
            </w:r>
          </w:p>
        </w:tc>
        <w:tc>
          <w:tcPr>
            <w:tcW w:type="dxa" w:w="4511"/>
          </w:tcPr>
          <w:p>
            <w:pPr>
              <w:spacing w:after="20"/>
            </w:pPr>
            <w:r/>
            <w:r>
              <w:rPr>
                <w:sz w:val="18"/>
              </w:rPr>
              <w:t>Very adventurous</w:t>
            </w:r>
          </w:p>
          <w:p>
            <w:pPr>
              <w:spacing w:after="20"/>
            </w:pPr>
            <w:r>
              <w:rPr>
                <w:sz w:val="18"/>
              </w:rPr>
              <w:t>Fairly adventurous</w:t>
            </w:r>
          </w:p>
          <w:p>
            <w:pPr>
              <w:spacing w:after="20"/>
            </w:pPr>
            <w:r>
              <w:rPr>
                <w:sz w:val="18"/>
              </w:rPr>
              <w:t>Average</w:t>
            </w:r>
          </w:p>
          <w:p>
            <w:pPr>
              <w:spacing w:after="20"/>
            </w:pPr>
            <w:r>
              <w:rPr>
                <w:sz w:val="18"/>
              </w:rPr>
              <w:t>Fairly cautious</w:t>
            </w:r>
          </w:p>
          <w:p>
            <w:pPr>
              <w:spacing w:after="20"/>
            </w:pPr>
            <w:r>
              <w:rPr>
                <w:sz w:val="18"/>
              </w:rPr>
              <w:t>Very cautious</w:t>
            </w:r>
          </w:p>
        </w:tc>
      </w:tr>
      <w:tr>
        <w:trPr>
          <w:cantSplit/>
        </w:trPr>
        <w:tc>
          <w:tcPr>
            <w:tcW w:type="dxa" w:w="617"/>
            <w:shd w:val="clear" w:fill="EEF3F9"/>
          </w:tcPr>
          <w:p>
            <w:pPr>
              <w:spacing w:after="20"/>
            </w:pPr>
            <w:r/>
            <w:r>
              <w:rPr>
                <w:sz w:val="18"/>
              </w:rPr>
              <w:t>4</w:t>
            </w:r>
          </w:p>
        </w:tc>
        <w:tc>
          <w:tcPr>
            <w:tcW w:type="dxa" w:w="4511"/>
            <w:shd w:val="clear" w:fill="EEF3F9"/>
          </w:tcPr>
          <w:p>
            <w:pPr>
              <w:spacing w:after="20"/>
            </w:pPr>
            <w:r/>
            <w:r>
              <w:rPr>
                <w:sz w:val="18"/>
              </w:rPr>
              <w:t>What amount of risk do you feel you have taken with your past financial decisions?</w:t>
            </w:r>
          </w:p>
        </w:tc>
        <w:tc>
          <w:tcPr>
            <w:tcW w:type="dxa" w:w="4511"/>
            <w:shd w:val="clear" w:fill="EEF3F9"/>
          </w:tcPr>
          <w:p>
            <w:pPr>
              <w:spacing w:after="20"/>
            </w:pPr>
            <w:r/>
            <w:r>
              <w:rPr>
                <w:sz w:val="18"/>
              </w:rPr>
              <w:t>Very large</w:t>
            </w:r>
          </w:p>
          <w:p>
            <w:pPr>
              <w:spacing w:after="20"/>
            </w:pPr>
            <w:r>
              <w:rPr>
                <w:sz w:val="18"/>
              </w:rPr>
              <w:t>Large</w:t>
            </w:r>
          </w:p>
          <w:p>
            <w:pPr>
              <w:spacing w:after="20"/>
            </w:pPr>
            <w:r>
              <w:rPr>
                <w:sz w:val="18"/>
              </w:rPr>
              <w:t>Medium</w:t>
            </w:r>
          </w:p>
          <w:p>
            <w:pPr>
              <w:spacing w:after="20"/>
            </w:pPr>
            <w:r>
              <w:rPr>
                <w:sz w:val="18"/>
              </w:rPr>
              <w:t>Small</w:t>
            </w:r>
          </w:p>
          <w:p>
            <w:pPr>
              <w:spacing w:after="20"/>
            </w:pPr>
            <w:r>
              <w:rPr>
                <w:sz w:val="18"/>
              </w:rPr>
              <w:t>Very small</w:t>
            </w:r>
          </w:p>
        </w:tc>
      </w:tr>
      <w:tr>
        <w:trPr>
          <w:cantSplit/>
        </w:trPr>
        <w:tc>
          <w:tcPr>
            <w:tcW w:type="dxa" w:w="617"/>
          </w:tcPr>
          <w:p>
            <w:pPr>
              <w:spacing w:after="20"/>
            </w:pPr>
            <w:r/>
            <w:r>
              <w:rPr>
                <w:sz w:val="18"/>
              </w:rPr>
              <w:t>5</w:t>
            </w:r>
          </w:p>
        </w:tc>
        <w:tc>
          <w:tcPr>
            <w:tcW w:type="dxa" w:w="4511"/>
          </w:tcPr>
          <w:p>
            <w:pPr>
              <w:spacing w:after="20"/>
            </w:pPr>
            <w:r/>
            <w:r>
              <w:rPr>
                <w:sz w:val="18"/>
              </w:rPr>
              <w:t>To reach my financial goal I prefer an investment which is safe and grows slowly but steadily, even if it means lower growth overall.</w:t>
            </w:r>
          </w:p>
        </w:tc>
        <w:tc>
          <w:tcPr>
            <w:tcW w:type="dxa" w:w="4511"/>
          </w:tcPr>
          <w:p>
            <w:pPr>
              <w:spacing w:after="20"/>
            </w:pPr>
            <w:r/>
            <w:r>
              <w:rPr>
                <w:sz w:val="18"/>
              </w:rPr>
              <w:t>Strongly agree</w:t>
            </w:r>
          </w:p>
          <w:p>
            <w:pPr>
              <w:spacing w:after="20"/>
            </w:pPr>
            <w:r>
              <w:rPr>
                <w:sz w:val="18"/>
              </w:rPr>
              <w:t>Tend to agree</w:t>
            </w:r>
          </w:p>
          <w:p>
            <w:pPr>
              <w:spacing w:after="20"/>
            </w:pPr>
            <w:r>
              <w:rPr>
                <w:sz w:val="18"/>
              </w:rPr>
              <w:t>In between</w:t>
            </w:r>
          </w:p>
          <w:p>
            <w:pPr>
              <w:spacing w:after="20"/>
            </w:pPr>
            <w:r>
              <w:rPr>
                <w:sz w:val="18"/>
              </w:rPr>
              <w:t>Tend to disagree</w:t>
            </w:r>
          </w:p>
          <w:p>
            <w:pPr>
              <w:spacing w:after="20"/>
            </w:pPr>
            <w:r>
              <w:rPr>
                <w:sz w:val="18"/>
              </w:rPr>
              <w:t>Strongly disagree</w:t>
            </w:r>
          </w:p>
        </w:tc>
      </w:tr>
      <w:tr>
        <w:trPr>
          <w:cantSplit/>
        </w:trPr>
        <w:tc>
          <w:tcPr>
            <w:tcW w:type="dxa" w:w="617"/>
            <w:shd w:val="clear" w:fill="EEF3F9"/>
          </w:tcPr>
          <w:p>
            <w:pPr>
              <w:spacing w:after="20"/>
            </w:pPr>
            <w:r/>
            <w:r>
              <w:rPr>
                <w:sz w:val="18"/>
              </w:rPr>
              <w:t>6</w:t>
            </w:r>
          </w:p>
        </w:tc>
        <w:tc>
          <w:tcPr>
            <w:tcW w:type="dxa" w:w="4511"/>
            <w:shd w:val="clear" w:fill="EEF3F9"/>
          </w:tcPr>
          <w:p>
            <w:pPr>
              <w:spacing w:after="20"/>
            </w:pPr>
            <w:r/>
            <w:r>
              <w:rPr>
                <w:sz w:val="18"/>
              </w:rPr>
              <w:t>I am looking for high investment growth. I am willing to accept the possibility of greater losses to achieve this.</w:t>
            </w:r>
          </w:p>
        </w:tc>
        <w:tc>
          <w:tcPr>
            <w:tcW w:type="dxa" w:w="4511"/>
            <w:shd w:val="clear" w:fill="EEF3F9"/>
          </w:tcPr>
          <w:p>
            <w:pPr>
              <w:spacing w:after="20"/>
            </w:pPr>
            <w:r/>
            <w:r>
              <w:rPr>
                <w:sz w:val="18"/>
              </w:rPr>
              <w:t>Strongly agree</w:t>
            </w:r>
          </w:p>
          <w:p>
            <w:pPr>
              <w:spacing w:after="20"/>
            </w:pPr>
            <w:r>
              <w:rPr>
                <w:sz w:val="18"/>
              </w:rPr>
              <w:t>Tend to agree</w:t>
            </w:r>
          </w:p>
          <w:p>
            <w:pPr>
              <w:spacing w:after="20"/>
            </w:pPr>
            <w:r>
              <w:rPr>
                <w:sz w:val="18"/>
              </w:rPr>
              <w:t>In between</w:t>
            </w:r>
          </w:p>
          <w:p>
            <w:pPr>
              <w:spacing w:after="20"/>
            </w:pPr>
            <w:r>
              <w:rPr>
                <w:sz w:val="18"/>
              </w:rPr>
              <w:t>Tend to disagree</w:t>
            </w:r>
          </w:p>
          <w:p>
            <w:pPr>
              <w:spacing w:after="20"/>
            </w:pPr>
            <w:r>
              <w:rPr>
                <w:sz w:val="18"/>
              </w:rPr>
              <w:t>Strongly disagree</w:t>
            </w:r>
          </w:p>
        </w:tc>
      </w:tr>
      <w:tr>
        <w:trPr>
          <w:cantSplit/>
        </w:trPr>
        <w:tc>
          <w:tcPr>
            <w:tcW w:type="dxa" w:w="617"/>
          </w:tcPr>
          <w:p>
            <w:pPr>
              <w:spacing w:after="20"/>
            </w:pPr>
            <w:r/>
            <w:r>
              <w:rPr>
                <w:sz w:val="18"/>
              </w:rPr>
              <w:t>7</w:t>
            </w:r>
          </w:p>
        </w:tc>
        <w:tc>
          <w:tcPr>
            <w:tcW w:type="dxa" w:w="4511"/>
          </w:tcPr>
          <w:p>
            <w:pPr>
              <w:spacing w:after="20"/>
            </w:pPr>
            <w:r/>
            <w:r>
              <w:rPr>
                <w:sz w:val="18"/>
              </w:rPr>
              <w:t>If you had money to invest, how much would you be willing to place in an investment with possible high returns but a similar chance of losing some of your money?</w:t>
            </w:r>
          </w:p>
        </w:tc>
        <w:tc>
          <w:tcPr>
            <w:tcW w:type="dxa" w:w="4511"/>
          </w:tcPr>
          <w:p>
            <w:pPr>
              <w:spacing w:after="20"/>
            </w:pPr>
            <w:r/>
            <w:r>
              <w:rPr>
                <w:sz w:val="18"/>
              </w:rPr>
              <w:t>All of it</w:t>
            </w:r>
          </w:p>
          <w:p>
            <w:pPr>
              <w:spacing w:after="20"/>
            </w:pPr>
            <w:r>
              <w:rPr>
                <w:sz w:val="18"/>
              </w:rPr>
              <w:t>More than half</w:t>
            </w:r>
          </w:p>
          <w:p>
            <w:pPr>
              <w:spacing w:after="20"/>
            </w:pPr>
            <w:r>
              <w:rPr>
                <w:sz w:val="18"/>
              </w:rPr>
              <w:t>Half</w:t>
            </w:r>
          </w:p>
          <w:p>
            <w:pPr>
              <w:spacing w:after="20"/>
            </w:pPr>
            <w:r>
              <w:rPr>
                <w:sz w:val="18"/>
              </w:rPr>
              <w:t>Less than half</w:t>
            </w:r>
          </w:p>
          <w:p>
            <w:pPr>
              <w:spacing w:after="20"/>
            </w:pPr>
            <w:r>
              <w:rPr>
                <w:sz w:val="18"/>
              </w:rPr>
              <w:t>Very little, if any</w:t>
            </w:r>
          </w:p>
        </w:tc>
      </w:tr>
      <w:tr>
        <w:trPr>
          <w:cantSplit/>
        </w:trPr>
        <w:tc>
          <w:tcPr>
            <w:tcW w:type="dxa" w:w="617"/>
            <w:shd w:val="clear" w:fill="EEF3F9"/>
          </w:tcPr>
          <w:p>
            <w:pPr>
              <w:spacing w:after="20"/>
            </w:pPr>
            <w:r/>
            <w:r>
              <w:rPr>
                <w:sz w:val="18"/>
              </w:rPr>
              <w:t>8</w:t>
            </w:r>
          </w:p>
        </w:tc>
        <w:tc>
          <w:tcPr>
            <w:tcW w:type="dxa" w:w="4511"/>
            <w:shd w:val="clear" w:fill="EEF3F9"/>
          </w:tcPr>
          <w:p>
            <w:pPr>
              <w:spacing w:after="20"/>
            </w:pPr>
            <w:r/>
            <w:r>
              <w:rPr>
                <w:sz w:val="18"/>
              </w:rPr>
              <w:t>How do you think a friend who knows you well would describe your attitude to taking financial risks?</w:t>
            </w:r>
          </w:p>
        </w:tc>
        <w:tc>
          <w:tcPr>
            <w:tcW w:type="dxa" w:w="4511"/>
            <w:shd w:val="clear" w:fill="EEF3F9"/>
          </w:tcPr>
          <w:p>
            <w:pPr>
              <w:spacing w:after="20"/>
            </w:pPr>
            <w:r/>
            <w:r>
              <w:rPr>
                <w:sz w:val="18"/>
              </w:rPr>
              <w:t>Daring</w:t>
            </w:r>
          </w:p>
          <w:p>
            <w:pPr>
              <w:spacing w:after="20"/>
            </w:pPr>
            <w:r>
              <w:rPr>
                <w:sz w:val="18"/>
              </w:rPr>
              <w:t>Sometimes daring</w:t>
            </w:r>
          </w:p>
          <w:p>
            <w:pPr>
              <w:spacing w:after="20"/>
            </w:pPr>
            <w:r>
              <w:rPr>
                <w:sz w:val="18"/>
              </w:rPr>
              <w:t>A thoughtful risk taker</w:t>
            </w:r>
          </w:p>
          <w:p>
            <w:pPr>
              <w:spacing w:after="20"/>
            </w:pPr>
            <w:r>
              <w:rPr>
                <w:sz w:val="18"/>
              </w:rPr>
              <w:t>Careful</w:t>
            </w:r>
          </w:p>
          <w:p>
            <w:pPr>
              <w:spacing w:after="20"/>
            </w:pPr>
            <w:r>
              <w:rPr>
                <w:sz w:val="18"/>
              </w:rPr>
              <w:t>Very cautious and risk averse</w:t>
            </w:r>
          </w:p>
        </w:tc>
      </w:tr>
      <w:tr>
        <w:trPr>
          <w:cantSplit/>
        </w:trPr>
        <w:tc>
          <w:tcPr>
            <w:tcW w:type="dxa" w:w="617"/>
          </w:tcPr>
          <w:p>
            <w:pPr>
              <w:spacing w:after="20"/>
            </w:pPr>
            <w:r/>
            <w:r>
              <w:rPr>
                <w:sz w:val="18"/>
              </w:rPr>
              <w:t>9</w:t>
            </w:r>
          </w:p>
        </w:tc>
        <w:tc>
          <w:tcPr>
            <w:tcW w:type="dxa" w:w="4511"/>
          </w:tcPr>
          <w:p>
            <w:pPr>
              <w:spacing w:after="20"/>
            </w:pPr>
            <w:r/>
            <w:r>
              <w:rPr>
                <w:sz w:val="18"/>
              </w:rPr>
              <w:t>If you had picked an investment with potential for large gains but also the risk of large losses, how would you feel?</w:t>
            </w:r>
          </w:p>
        </w:tc>
        <w:tc>
          <w:tcPr>
            <w:tcW w:type="dxa" w:w="4511"/>
          </w:tcPr>
          <w:p>
            <w:pPr>
              <w:spacing w:after="20"/>
            </w:pPr>
            <w:r/>
            <w:r>
              <w:rPr>
                <w:sz w:val="18"/>
              </w:rPr>
              <w:t>Panicked and very uncomfortable</w:t>
            </w:r>
          </w:p>
          <w:p>
            <w:pPr>
              <w:spacing w:after="20"/>
            </w:pPr>
            <w:r>
              <w:rPr>
                <w:sz w:val="18"/>
              </w:rPr>
              <w:t>Quite uneasy</w:t>
            </w:r>
          </w:p>
          <w:p>
            <w:pPr>
              <w:spacing w:after="20"/>
            </w:pPr>
            <w:r>
              <w:rPr>
                <w:sz w:val="18"/>
              </w:rPr>
              <w:t>A little concerned</w:t>
            </w:r>
          </w:p>
          <w:p>
            <w:pPr>
              <w:spacing w:after="20"/>
            </w:pPr>
            <w:r>
              <w:rPr>
                <w:sz w:val="18"/>
              </w:rPr>
              <w:t>Accepting of the possible highs and lows</w:t>
            </w:r>
          </w:p>
          <w:p>
            <w:pPr>
              <w:spacing w:after="20"/>
            </w:pPr>
            <w:r>
              <w:rPr>
                <w:sz w:val="18"/>
              </w:rPr>
              <w:t>Excited by the potential for gain</w:t>
            </w:r>
          </w:p>
        </w:tc>
      </w:tr>
      <w:tr>
        <w:trPr>
          <w:cantSplit/>
        </w:trPr>
        <w:tc>
          <w:tcPr>
            <w:tcW w:type="dxa" w:w="617"/>
            <w:shd w:val="clear" w:fill="EEF3F9"/>
          </w:tcPr>
          <w:p>
            <w:pPr>
              <w:spacing w:after="20"/>
            </w:pPr>
            <w:r/>
            <w:r>
              <w:rPr>
                <w:sz w:val="18"/>
              </w:rPr>
              <w:t>10</w:t>
            </w:r>
          </w:p>
        </w:tc>
        <w:tc>
          <w:tcPr>
            <w:tcW w:type="dxa" w:w="4511"/>
            <w:shd w:val="clear" w:fill="EEF3F9"/>
          </w:tcPr>
          <w:p>
            <w:pPr>
              <w:spacing w:after="20"/>
            </w:pPr>
            <w:r/>
            <w:r>
              <w:rPr>
                <w:sz w:val="18"/>
              </w:rPr>
              <w:t>Imagine that you have some money to invest and a choice of two investment products. Which option would you choose?</w:t>
            </w:r>
          </w:p>
        </w:tc>
        <w:tc>
          <w:tcPr>
            <w:tcW w:type="dxa" w:w="4511"/>
            <w:shd w:val="clear" w:fill="EEF3F9"/>
          </w:tcPr>
          <w:p>
            <w:pPr>
              <w:spacing w:after="20"/>
            </w:pPr>
            <w:r/>
            <w:r>
              <w:rPr>
                <w:sz w:val="18"/>
              </w:rPr>
              <w:t>A product with low average annual return but almost no risk of loss of the initial investment</w:t>
            </w:r>
          </w:p>
          <w:p>
            <w:pPr>
              <w:spacing w:after="20"/>
            </w:pPr>
            <w:r>
              <w:rPr>
                <w:sz w:val="18"/>
              </w:rPr>
              <w:t>A product with higher average annual return but some risk of losing part of the initial investment</w:t>
            </w:r>
          </w:p>
          <w:p>
            <w:pPr>
              <w:spacing w:after="20"/>
            </w:pPr>
            <w:r>
              <w:rPr>
                <w:sz w:val="18"/>
              </w:rPr>
              <w:t>A mixture of the two products</w:t>
            </w:r>
          </w:p>
        </w:tc>
      </w:tr>
      <w:tr>
        <w:trPr>
          <w:cantSplit/>
        </w:trPr>
        <w:tc>
          <w:tcPr>
            <w:tcW w:type="dxa" w:w="617"/>
          </w:tcPr>
          <w:p>
            <w:pPr>
              <w:spacing w:after="20"/>
            </w:pPr>
            <w:r/>
            <w:r>
              <w:rPr>
                <w:sz w:val="18"/>
              </w:rPr>
              <w:t>11</w:t>
            </w:r>
          </w:p>
        </w:tc>
        <w:tc>
          <w:tcPr>
            <w:tcW w:type="dxa" w:w="4511"/>
          </w:tcPr>
          <w:p>
            <w:pPr>
              <w:spacing w:after="20"/>
            </w:pPr>
            <w:r/>
            <w:r>
              <w:rPr>
                <w:sz w:val="18"/>
              </w:rPr>
              <w:t>I would prefer small certain gains to large uncertain ones.</w:t>
            </w:r>
          </w:p>
        </w:tc>
        <w:tc>
          <w:tcPr>
            <w:tcW w:type="dxa" w:w="4511"/>
          </w:tcPr>
          <w:p>
            <w:pPr>
              <w:spacing w:after="20"/>
            </w:pPr>
            <w:r/>
            <w:r>
              <w:rPr>
                <w:sz w:val="18"/>
              </w:rPr>
              <w:t>Strongly agree</w:t>
            </w:r>
          </w:p>
          <w:p>
            <w:pPr>
              <w:spacing w:after="20"/>
            </w:pPr>
            <w:r>
              <w:rPr>
                <w:sz w:val="18"/>
              </w:rPr>
              <w:t>Tend to agree</w:t>
            </w:r>
          </w:p>
          <w:p>
            <w:pPr>
              <w:spacing w:after="20"/>
            </w:pPr>
            <w:r>
              <w:rPr>
                <w:sz w:val="18"/>
              </w:rPr>
              <w:t>In between</w:t>
            </w:r>
          </w:p>
          <w:p>
            <w:pPr>
              <w:spacing w:after="20"/>
            </w:pPr>
            <w:r>
              <w:rPr>
                <w:sz w:val="18"/>
              </w:rPr>
              <w:t>Tend to disagree</w:t>
            </w:r>
          </w:p>
          <w:p>
            <w:pPr>
              <w:spacing w:after="20"/>
            </w:pPr>
            <w:r>
              <w:rPr>
                <w:sz w:val="18"/>
              </w:rPr>
              <w:t>Strongly disagree</w:t>
            </w:r>
          </w:p>
        </w:tc>
      </w:tr>
      <w:tr>
        <w:trPr>
          <w:cantSplit/>
        </w:trPr>
        <w:tc>
          <w:tcPr>
            <w:tcW w:type="dxa" w:w="617"/>
            <w:shd w:val="clear" w:fill="EEF3F9"/>
          </w:tcPr>
          <w:p>
            <w:pPr>
              <w:spacing w:after="20"/>
            </w:pPr>
            <w:r/>
            <w:r>
              <w:rPr>
                <w:sz w:val="18"/>
              </w:rPr>
              <w:t>12</w:t>
            </w:r>
          </w:p>
        </w:tc>
        <w:tc>
          <w:tcPr>
            <w:tcW w:type="dxa" w:w="4511"/>
            <w:shd w:val="clear" w:fill="EEF3F9"/>
          </w:tcPr>
          <w:p>
            <w:pPr>
              <w:spacing w:after="20"/>
            </w:pPr>
            <w:r/>
            <w:r>
              <w:rPr>
                <w:sz w:val="18"/>
              </w:rPr>
              <w:t>When considering a major financial decision, which statement BEST describes the way you think about the possible losses or the possible gains?</w:t>
            </w:r>
          </w:p>
        </w:tc>
        <w:tc>
          <w:tcPr>
            <w:tcW w:type="dxa" w:w="4511"/>
            <w:shd w:val="clear" w:fill="EEF3F9"/>
          </w:tcPr>
          <w:p>
            <w:pPr>
              <w:spacing w:after="20"/>
            </w:pPr>
            <w:r/>
            <w:r>
              <w:rPr>
                <w:sz w:val="18"/>
              </w:rPr>
              <w:t>I'm excited about the possible gains</w:t>
            </w:r>
          </w:p>
          <w:p>
            <w:pPr>
              <w:spacing w:after="20"/>
            </w:pPr>
            <w:r>
              <w:rPr>
                <w:sz w:val="18"/>
              </w:rPr>
              <w:t>I'm optimistic about possible gains</w:t>
            </w:r>
          </w:p>
          <w:p>
            <w:pPr>
              <w:spacing w:after="20"/>
            </w:pPr>
            <w:r>
              <w:rPr>
                <w:sz w:val="18"/>
              </w:rPr>
              <w:t>I think about both the possible gains and losses</w:t>
            </w:r>
          </w:p>
          <w:p>
            <w:pPr>
              <w:spacing w:after="20"/>
            </w:pPr>
            <w:r>
              <w:rPr>
                <w:sz w:val="18"/>
              </w:rPr>
              <w:t>I am conscious of the possible losses</w:t>
            </w:r>
          </w:p>
          <w:p>
            <w:pPr>
              <w:spacing w:after="20"/>
            </w:pPr>
            <w:r>
              <w:rPr>
                <w:sz w:val="18"/>
              </w:rPr>
              <w:t>I worry about the possible losses</w:t>
            </w:r>
          </w:p>
        </w:tc>
      </w:tr>
      <w:tr>
        <w:trPr>
          <w:cantSplit/>
        </w:trPr>
        <w:tc>
          <w:tcPr>
            <w:tcW w:type="dxa" w:w="617"/>
          </w:tcPr>
          <w:p>
            <w:pPr>
              <w:spacing w:after="20"/>
            </w:pPr>
            <w:r/>
            <w:r>
              <w:rPr>
                <w:sz w:val="18"/>
              </w:rPr>
              <w:t>13</w:t>
            </w:r>
          </w:p>
        </w:tc>
        <w:tc>
          <w:tcPr>
            <w:tcW w:type="dxa" w:w="4511"/>
          </w:tcPr>
          <w:p>
            <w:pPr>
              <w:spacing w:after="20"/>
            </w:pPr>
            <w:r/>
            <w:r>
              <w:rPr>
                <w:sz w:val="18"/>
              </w:rPr>
              <w:t>I want my investment money to be safe even if it means lower returns.</w:t>
            </w:r>
          </w:p>
        </w:tc>
        <w:tc>
          <w:tcPr>
            <w:tcW w:type="dxa" w:w="4511"/>
          </w:tcPr>
          <w:p>
            <w:pPr>
              <w:spacing w:after="20"/>
            </w:pPr>
            <w:r/>
            <w:r>
              <w:rPr>
                <w:sz w:val="18"/>
              </w:rPr>
              <w:t>Strongly agree</w:t>
            </w:r>
          </w:p>
          <w:p>
            <w:pPr>
              <w:spacing w:after="20"/>
            </w:pPr>
            <w:r>
              <w:rPr>
                <w:sz w:val="18"/>
              </w:rPr>
              <w:t>Tend to agree</w:t>
            </w:r>
          </w:p>
          <w:p>
            <w:pPr>
              <w:spacing w:after="20"/>
            </w:pPr>
            <w:r>
              <w:rPr>
                <w:sz w:val="18"/>
              </w:rPr>
              <w:t>In between</w:t>
            </w:r>
          </w:p>
          <w:p>
            <w:pPr>
              <w:spacing w:after="20"/>
            </w:pPr>
            <w:r>
              <w:rPr>
                <w:sz w:val="18"/>
              </w:rPr>
              <w:t>Tend to disagree</w:t>
            </w:r>
          </w:p>
          <w:p>
            <w:pPr>
              <w:spacing w:after="20"/>
            </w:pPr>
            <w:r>
              <w:rPr>
                <w:sz w:val="18"/>
              </w:rPr>
              <w:t>Strongly disagree</w:t>
            </w:r>
          </w:p>
        </w:tc>
      </w:tr>
    </w:tbl>
    <w:p>
      <w:pPr>
        <w:spacing w:after="40"/>
      </w:pPr>
    </w:p>
    <w:p>
      <w:r>
        <w:br w:type="page"/>
      </w:r>
    </w:p>
    <w:p>
      <w:pPr>
        <w:pStyle w:val="Heading1"/>
      </w:pPr>
      <w:r>
        <w:t>7. Checks and flags</w:t>
      </w:r>
    </w:p>
    <w:p>
      <w:r>
        <w:t>Flags do not block the client. They are shown for review and recorded for the adviser.</w:t>
      </w:r>
    </w:p>
    <w:tbl>
      <w:tblPr>
        <w:tblStyle w:val="TableGrid"/>
        <w:tblW w:type="auto" w:w="0"/>
        <w:tblLayout w:type="fixed"/>
        <w:tblLook w:firstColumn="1" w:firstRow="1" w:lastColumn="0" w:lastRow="0" w:noHBand="0" w:noVBand="1" w:val="04A0"/>
      </w:tblPr>
      <w:tblGrid>
        <w:gridCol w:w="3324"/>
        <w:gridCol w:w="3324"/>
        <w:gridCol w:w="3324"/>
      </w:tblGrid>
      <w:tr>
        <w:trPr>
          <w:cantSplit/>
          <w:tblHeader/>
        </w:trPr>
        <w:tc>
          <w:tcPr>
            <w:tcW w:type="dxa" w:w="1344"/>
            <w:shd w:val="clear" w:fill="003781"/>
          </w:tcPr>
          <w:p>
            <w:pPr>
              <w:keepNext/>
              <w:spacing w:after="20"/>
            </w:pPr>
            <w:r/>
            <w:r>
              <w:rPr>
                <w:b/>
                <w:color w:val="FFFFFF"/>
                <w:sz w:val="19"/>
              </w:rPr>
              <w:t>Flag</w:t>
            </w:r>
          </w:p>
        </w:tc>
        <w:tc>
          <w:tcPr>
            <w:tcW w:type="dxa" w:w="4147"/>
            <w:shd w:val="clear" w:fill="003781"/>
          </w:tcPr>
          <w:p>
            <w:pPr>
              <w:keepNext/>
              <w:spacing w:after="20"/>
            </w:pPr>
            <w:r/>
            <w:r>
              <w:rPr>
                <w:b/>
                <w:color w:val="FFFFFF"/>
                <w:sz w:val="19"/>
              </w:rPr>
              <w:t>Shown when</w:t>
            </w:r>
          </w:p>
        </w:tc>
        <w:tc>
          <w:tcPr>
            <w:tcW w:type="dxa" w:w="4147"/>
            <w:shd w:val="clear" w:fill="003781"/>
          </w:tcPr>
          <w:p>
            <w:pPr>
              <w:keepNext/>
              <w:spacing w:after="20"/>
            </w:pPr>
            <w:r/>
            <w:r>
              <w:rPr>
                <w:b/>
                <w:color w:val="FFFFFF"/>
                <w:sz w:val="19"/>
              </w:rPr>
              <w:t>Basis</w:t>
            </w:r>
          </w:p>
        </w:tc>
      </w:tr>
      <w:tr>
        <w:trPr>
          <w:cantSplit/>
        </w:trPr>
        <w:tc>
          <w:tcPr>
            <w:tcW w:type="dxa" w:w="1344"/>
          </w:tcPr>
          <w:p>
            <w:pPr>
              <w:keepNext/>
              <w:spacing w:after="20"/>
            </w:pPr>
            <w:r/>
            <w:r>
              <w:rPr>
                <w:b/>
                <w:sz w:val="19"/>
              </w:rPr>
              <w:t>F1 Mixed attitude</w:t>
            </w:r>
          </w:p>
        </w:tc>
        <w:tc>
          <w:tcPr>
            <w:tcW w:type="dxa" w:w="4147"/>
          </w:tcPr>
          <w:p>
            <w:pPr>
              <w:keepNext/>
              <w:spacing w:after="20"/>
            </w:pPr>
            <w:r/>
            <w:r>
              <w:rPr>
                <w:sz w:val="19"/>
              </w:rPr>
              <w:t>The highest and lowest of the Q4, Q5 and Q6 ratings are 3 or more apart</w:t>
            </w:r>
          </w:p>
        </w:tc>
        <w:tc>
          <w:tcPr>
            <w:tcW w:type="dxa" w:w="4147"/>
          </w:tcPr>
          <w:p>
            <w:pPr>
              <w:keepNext/>
              <w:spacing w:after="20"/>
            </w:pPr>
            <w:r/>
            <w:r>
              <w:rPr>
                <w:sz w:val="19"/>
              </w:rPr>
              <w:t>ESMA 49, 51. Zurich and Aviva both check this.</w:t>
            </w:r>
          </w:p>
        </w:tc>
      </w:tr>
      <w:tr>
        <w:trPr>
          <w:cantSplit/>
        </w:trPr>
        <w:tc>
          <w:tcPr>
            <w:tcW w:type="dxa" w:w="1344"/>
            <w:shd w:val="clear" w:fill="EEF3F9"/>
          </w:tcPr>
          <w:p>
            <w:pPr>
              <w:keepNext/>
              <w:spacing w:after="20"/>
            </w:pPr>
            <w:r/>
            <w:r>
              <w:rPr>
                <w:b/>
                <w:sz w:val="19"/>
              </w:rPr>
              <w:t>F2 Knowledge</w:t>
            </w:r>
          </w:p>
        </w:tc>
        <w:tc>
          <w:tcPr>
            <w:tcW w:type="dxa" w:w="4147"/>
            <w:shd w:val="clear" w:fill="EEF3F9"/>
          </w:tcPr>
          <w:p>
            <w:pPr>
              <w:keepNext/>
              <w:spacing w:after="20"/>
            </w:pPr>
            <w:r/>
            <w:r>
              <w:rPr>
                <w:sz w:val="19"/>
              </w:rPr>
              <w:t>Risk rating 5 or more and knowledge Low (after the Q8 check)</w:t>
            </w:r>
          </w:p>
        </w:tc>
        <w:tc>
          <w:tcPr>
            <w:tcW w:type="dxa" w:w="4147"/>
            <w:shd w:val="clear" w:fill="EEF3F9"/>
          </w:tcPr>
          <w:p>
            <w:pPr>
              <w:keepNext/>
              <w:spacing w:after="20"/>
            </w:pPr>
            <w:r/>
            <w:r>
              <w:rPr>
                <w:sz w:val="19"/>
              </w:rPr>
              <w:t>ESMA 51, 52</w:t>
            </w:r>
          </w:p>
        </w:tc>
      </w:tr>
      <w:tr>
        <w:trPr>
          <w:cantSplit/>
        </w:trPr>
        <w:tc>
          <w:tcPr>
            <w:tcW w:type="dxa" w:w="1344"/>
          </w:tcPr>
          <w:p>
            <w:pPr>
              <w:keepNext/>
              <w:spacing w:after="20"/>
            </w:pPr>
            <w:r/>
            <w:r>
              <w:rPr>
                <w:b/>
                <w:sz w:val="19"/>
              </w:rPr>
              <w:t>F3 Capacity</w:t>
            </w:r>
          </w:p>
        </w:tc>
        <w:tc>
          <w:tcPr>
            <w:tcW w:type="dxa" w:w="4147"/>
          </w:tcPr>
          <w:p>
            <w:pPr>
              <w:keepNext/>
              <w:spacing w:after="20"/>
            </w:pPr>
            <w:r/>
            <w:r>
              <w:rPr>
                <w:sz w:val="19"/>
              </w:rPr>
              <w:t>Risk rating 5 or more with Low capacity. The client is asked to confirm; the adviser records how it is addressed.</w:t>
            </w:r>
          </w:p>
        </w:tc>
        <w:tc>
          <w:tcPr>
            <w:tcW w:type="dxa" w:w="4147"/>
          </w:tcPr>
          <w:p>
            <w:pPr>
              <w:keepNext/>
              <w:spacing w:after="20"/>
            </w:pPr>
            <w:r/>
            <w:r>
              <w:rPr>
                <w:sz w:val="19"/>
              </w:rPr>
              <w:t>ESMA 80: the client must be able to bear the losses. Aviva asks for confirmation; Zurich reports capacity separately.</w:t>
            </w:r>
          </w:p>
        </w:tc>
      </w:tr>
      <w:tr>
        <w:trPr>
          <w:cantSplit/>
        </w:trPr>
        <w:tc>
          <w:tcPr>
            <w:tcW w:type="dxa" w:w="1344"/>
            <w:shd w:val="clear" w:fill="EEF3F9"/>
          </w:tcPr>
          <w:p>
            <w:pPr>
              <w:keepNext/>
              <w:spacing w:after="20"/>
            </w:pPr>
            <w:r/>
            <w:r>
              <w:rPr>
                <w:b/>
                <w:sz w:val="19"/>
              </w:rPr>
              <w:t>F4 Limited</w:t>
            </w:r>
          </w:p>
        </w:tc>
        <w:tc>
          <w:tcPr>
            <w:tcW w:type="dxa" w:w="4147"/>
            <w:shd w:val="clear" w:fill="EEF3F9"/>
          </w:tcPr>
          <w:p>
            <w:pPr>
              <w:keepNext/>
              <w:spacing w:after="20"/>
            </w:pPr>
            <w:r/>
            <w:r>
              <w:rPr>
                <w:sz w:val="19"/>
              </w:rPr>
              <w:t>The time limit lowers the attitude rating, or the horizon is under 5 years and the rating is above 3</w:t>
            </w:r>
          </w:p>
        </w:tc>
        <w:tc>
          <w:tcPr>
            <w:tcW w:type="dxa" w:w="4147"/>
            <w:shd w:val="clear" w:fill="EEF3F9"/>
          </w:tcPr>
          <w:p>
            <w:pPr>
              <w:keepNext/>
              <w:spacing w:after="20"/>
            </w:pPr>
            <w:r/>
            <w:r>
              <w:rPr>
                <w:sz w:val="19"/>
              </w:rPr>
              <w:t>ESMA 80. Zurich warns when the term is 5 years or less.</w:t>
            </w:r>
          </w:p>
        </w:tc>
      </w:tr>
      <w:tr>
        <w:trPr>
          <w:cantSplit/>
        </w:trPr>
        <w:tc>
          <w:tcPr>
            <w:tcW w:type="dxa" w:w="1344"/>
          </w:tcPr>
          <w:p>
            <w:pPr>
              <w:keepNext/>
              <w:spacing w:after="20"/>
            </w:pPr>
            <w:r/>
            <w:r>
              <w:rPr>
                <w:b/>
                <w:sz w:val="19"/>
              </w:rPr>
              <w:t>F5 Age</w:t>
            </w:r>
          </w:p>
        </w:tc>
        <w:tc>
          <w:tcPr>
            <w:tcW w:type="dxa" w:w="4147"/>
          </w:tcPr>
          <w:p>
            <w:pPr>
              <w:keepNext/>
              <w:spacing w:after="20"/>
            </w:pPr>
            <w:r/>
            <w:r>
              <w:rPr>
                <w:sz w:val="19"/>
              </w:rPr>
              <w:t>Age 65 or over with an attitude rating of 5 or more</w:t>
            </w:r>
          </w:p>
        </w:tc>
        <w:tc>
          <w:tcPr>
            <w:tcW w:type="dxa" w:w="4147"/>
          </w:tcPr>
          <w:p>
            <w:pPr>
              <w:keepNext/>
              <w:spacing w:after="20"/>
            </w:pPr>
            <w:r/>
            <w:r>
              <w:rPr>
                <w:sz w:val="19"/>
              </w:rPr>
              <w:t>ESMA 24, 40, 55</w:t>
            </w:r>
          </w:p>
        </w:tc>
      </w:tr>
      <w:tr>
        <w:trPr>
          <w:cantSplit/>
        </w:trPr>
        <w:tc>
          <w:tcPr>
            <w:tcW w:type="dxa" w:w="1344"/>
            <w:shd w:val="clear" w:fill="EEF3F9"/>
          </w:tcPr>
          <w:p>
            <w:pPr>
              <w:spacing w:after="20"/>
            </w:pPr>
            <w:r/>
            <w:r>
              <w:rPr>
                <w:b/>
                <w:sz w:val="19"/>
              </w:rPr>
              <w:t>F6 Changed answers</w:t>
            </w:r>
          </w:p>
        </w:tc>
        <w:tc>
          <w:tcPr>
            <w:tcW w:type="dxa" w:w="4147"/>
            <w:shd w:val="clear" w:fill="EEF3F9"/>
          </w:tcPr>
          <w:p>
            <w:pPr>
              <w:spacing w:after="20"/>
            </w:pPr>
            <w:r/>
            <w:r>
              <w:rPr>
                <w:sz w:val="19"/>
              </w:rPr>
              <w:t>Answers changed after the result was shown</w:t>
            </w:r>
          </w:p>
        </w:tc>
        <w:tc>
          <w:tcPr>
            <w:tcW w:type="dxa" w:w="4147"/>
            <w:shd w:val="clear" w:fill="EEF3F9"/>
          </w:tcPr>
          <w:p>
            <w:pPr>
              <w:spacing w:after="20"/>
            </w:pPr>
            <w:r/>
            <w:r>
              <w:rPr>
                <w:sz w:val="19"/>
              </w:rPr>
              <w:t>ESMA 50, 58: guard against steering a client to a product</w:t>
            </w:r>
          </w:p>
        </w:tc>
      </w:tr>
    </w:tbl>
    <w:p>
      <w:pPr>
        <w:spacing w:after="40"/>
      </w:pPr>
    </w:p>
    <w:p>
      <w:pPr>
        <w:pStyle w:val="Heading1"/>
      </w:pPr>
      <w:r>
        <w:t>8. Decisions</w:t>
      </w:r>
    </w:p>
    <w:p>
      <w:pPr>
        <w:pStyle w:val="Heading2"/>
      </w:pPr>
      <w:r>
        <w:t>Taken</w:t>
      </w:r>
    </w:p>
    <w:p>
      <w:pPr>
        <w:pStyle w:val="ListBullet"/>
      </w:pPr>
      <w:r>
        <w:t>Highest rating: 6, as Aviva. Level 7 is not offered.</w:t>
      </w:r>
    </w:p>
    <w:p>
      <w:pPr>
        <w:pStyle w:val="ListBullet"/>
      </w:pPr>
      <w:r>
        <w:t>Age: a flag only (65 or over with an attitude rating of 5 or more). With 6 as the highest rating, the earlier 70+ limit had no effect, so it is removed.</w:t>
      </w:r>
    </w:p>
    <w:p>
      <w:pPr>
        <w:pStyle w:val="ListBullet"/>
      </w:pPr>
      <w:r>
        <w:t>Capacity for loss: a separate result (Low, Medium, High) that does not change the rating, in line with Aviva and Zurich. Under 3 months' savings, or relying on the money, cannot reach High (built into the two-question score). Too low for the rating: client confirmation and an adviser flag.</w:t>
      </w:r>
    </w:p>
    <w:p>
      <w:pPr>
        <w:pStyle w:val="ListBullet"/>
      </w:pPr>
      <w:r>
        <w:t>Attitude: the loss answer (Q4, a slider) anchors the rating, which can be at most one level above it.</w:t>
      </w:r>
    </w:p>
    <w:p>
      <w:pPr>
        <w:pStyle w:val="ListBullet"/>
      </w:pPr>
      <w:r>
        <w:t>Knowledge: a description (Q7) and an ordering check (Q8, ranking four investments by risk); a flag only.</w:t>
      </w:r>
    </w:p>
    <w:p>
      <w:pPr>
        <w:pStyle w:val="ListBullet"/>
      </w:pPr>
      <w:r>
        <w:t>Loss figures: our own rule (twice the middle of each ESMA band), not Aviva's figures (Appendix A).</w:t>
      </w:r>
    </w:p>
    <w:p>
      <w:pPr>
        <w:pStyle w:val="ListBullet"/>
      </w:pPr>
      <w:r>
        <w:t>Time horizon: 3 to 5 years is limited to 4 and flagged, in line with Zurich.</w:t>
      </w:r>
    </w:p>
    <w:p>
      <w:pPr>
        <w:pStyle w:val="ListBullet"/>
      </w:pPr>
      <w:r>
        <w:t>No complex or illiquid products, so no extra questions.</w:t>
      </w:r>
    </w:p>
    <w:p>
      <w:pPr>
        <w:pStyle w:val="ListBullet"/>
      </w:pPr>
      <w:r>
        <w:t>Joint applicants and sustainability preferences: out of scope.</w:t>
      </w:r>
    </w:p>
    <w:p>
      <w:pPr>
        <w:pStyle w:val="Heading2"/>
      </w:pPr>
      <w:r>
        <w:t>Still open</w:t>
      </w:r>
    </w:p>
    <w:p>
      <w:pPr>
        <w:pStyle w:val="ListBullet"/>
      </w:pPr>
      <w:r>
        <w:t>Q4 as a slider: confirm the 0.5% step and the round-down rule with Compliance and the UI design.</w:t>
      </w:r>
    </w:p>
    <w:p>
      <w:pPr>
        <w:pStyle w:val="ListBullet"/>
      </w:pPr>
      <w:r>
        <w:t>Confirm the loss rule. It uses the middle of each band, which replaces the earlier "top of band" choice: the top would make us more cautious than both Aviva and Zurich.</w:t>
      </w:r>
    </w:p>
    <w:p>
      <w:pPr>
        <w:pStyle w:val="ListBullet"/>
      </w:pPr>
      <w:r>
        <w:t>Capacity bands: Low 2–3, Medium 4, High 5–6 (as written) or Low 2–3, Medium 4–5, High 6, which matches Zurich for all 18 test clients. Decide which.</w:t>
      </w:r>
    </w:p>
    <w:p>
      <w:pPr>
        <w:pStyle w:val="ListBullet"/>
      </w:pPr>
      <w:r>
        <w:t>Capacity: Compliance to confirm that a confirmation and a recorded adviser response is enough. ESMA para 80 says the client must be able to bear any losses; a warning alone lets a client with Low capacity reach 6.</w:t>
      </w:r>
    </w:p>
    <w:p>
      <w:pPr>
        <w:pStyle w:val="ListBullet"/>
      </w:pPr>
      <w:r>
        <w:t>Time limits in Q3 (3 to 5 years: 4; 5 years or more: no limit): check against the recommended holding periods of the funds offered.</w:t>
      </w:r>
    </w:p>
    <w:p>
      <w:pPr>
        <w:pStyle w:val="ListBullet"/>
      </w:pPr>
      <w:r>
        <w:t>Test the loss figures against our funds' worst 12-month falls and KID stress scenarios.</w:t>
      </w:r>
    </w:p>
    <w:p>
      <w:pPr>
        <w:pStyle w:val="ListBullet"/>
      </w:pPr>
      <w:r>
        <w:t>Compliance: confirm which rules govern (IDD for insurance-based investments; the ESMA MiFID guidelines used here) and add Consumer Protection Code references.</w:t>
      </w:r>
    </w:p>
    <w:p>
      <w:r>
        <w:br w:type="page"/>
      </w:r>
    </w:p>
    <w:p>
      <w:pPr>
        <w:pStyle w:val="Heading1"/>
      </w:pPr>
      <w:r>
        <w:t>Appendix A. Where the Q4 loss figures come from</w:t>
      </w:r>
    </w:p>
    <w:tbl>
      <w:tblPr>
        <w:tblStyle w:val="TableGrid"/>
        <w:tblW w:type="auto" w:w="0"/>
        <w:tblLayout w:type="fixed"/>
        <w:tblLook w:firstColumn="1" w:firstRow="1" w:lastColumn="0" w:lastRow="0" w:noHBand="0" w:noVBand="1" w:val="04A0"/>
      </w:tblPr>
      <w:tblGrid>
        <w:gridCol w:w="1662"/>
        <w:gridCol w:w="1662"/>
        <w:gridCol w:w="1662"/>
        <w:gridCol w:w="1662"/>
        <w:gridCol w:w="1662"/>
        <w:gridCol w:w="1662"/>
      </w:tblGrid>
      <w:tr>
        <w:trPr>
          <w:cantSplit/>
          <w:tblHeader/>
        </w:trPr>
        <w:tc>
          <w:tcPr>
            <w:tcW w:type="dxa" w:w="1063"/>
            <w:shd w:val="clear" w:fill="003781"/>
          </w:tcPr>
          <w:p>
            <w:pPr>
              <w:keepNext/>
              <w:spacing w:after="20"/>
            </w:pPr>
            <w:r/>
            <w:r>
              <w:rPr>
                <w:b/>
                <w:color w:val="FFFFFF"/>
                <w:sz w:val="18"/>
              </w:rPr>
              <w:t>ESMA level</w:t>
            </w:r>
          </w:p>
        </w:tc>
        <w:tc>
          <w:tcPr>
            <w:tcW w:type="dxa" w:w="1411"/>
            <w:shd w:val="clear" w:fill="003781"/>
          </w:tcPr>
          <w:p>
            <w:pPr>
              <w:keepNext/>
              <w:spacing w:after="20"/>
            </w:pPr>
            <w:r/>
            <w:r>
              <w:rPr>
                <w:b/>
                <w:color w:val="FFFFFF"/>
                <w:sz w:val="18"/>
              </w:rPr>
              <w:t>Volatility band</w:t>
            </w:r>
          </w:p>
        </w:tc>
        <w:tc>
          <w:tcPr>
            <w:tcW w:type="dxa" w:w="1345"/>
            <w:shd w:val="clear" w:fill="003781"/>
          </w:tcPr>
          <w:p>
            <w:pPr>
              <w:keepNext/>
              <w:spacing w:after="20"/>
            </w:pPr>
            <w:r/>
            <w:r>
              <w:rPr>
                <w:b/>
                <w:color w:val="FFFFFF"/>
                <w:sz w:val="18"/>
              </w:rPr>
              <w:t>Middle of band</w:t>
            </w:r>
          </w:p>
        </w:tc>
        <w:tc>
          <w:tcPr>
            <w:tcW w:type="dxa" w:w="2074"/>
            <w:shd w:val="clear" w:fill="003781"/>
          </w:tcPr>
          <w:p>
            <w:pPr>
              <w:keepNext/>
              <w:spacing w:after="20"/>
            </w:pPr>
            <w:r/>
            <w:r>
              <w:rPr>
                <w:b/>
                <w:color w:val="FFFFFF"/>
                <w:sz w:val="18"/>
              </w:rPr>
              <w:t>Our Q4 figure (2 × middle)</w:t>
            </w:r>
          </w:p>
        </w:tc>
        <w:tc>
          <w:tcPr>
            <w:tcW w:type="dxa" w:w="2018"/>
            <w:shd w:val="clear" w:fill="003781"/>
          </w:tcPr>
          <w:p>
            <w:pPr>
              <w:keepNext/>
              <w:spacing w:after="20"/>
            </w:pPr>
            <w:r/>
            <w:r>
              <w:rPr>
                <w:b/>
                <w:color w:val="FFFFFF"/>
                <w:sz w:val="18"/>
              </w:rPr>
              <w:t>Aviva 12-month worst case</w:t>
            </w:r>
          </w:p>
        </w:tc>
        <w:tc>
          <w:tcPr>
            <w:tcW w:type="dxa" w:w="1726"/>
            <w:shd w:val="clear" w:fill="003781"/>
          </w:tcPr>
          <w:p>
            <w:pPr>
              <w:keepNext/>
              <w:spacing w:after="20"/>
            </w:pPr>
            <w:r/>
            <w:r>
              <w:rPr>
                <w:b/>
                <w:color w:val="FFFFFF"/>
                <w:sz w:val="18"/>
              </w:rPr>
              <w:t>Aviva decision table</w:t>
            </w:r>
          </w:p>
        </w:tc>
      </w:tr>
      <w:tr>
        <w:trPr>
          <w:cantSplit/>
        </w:trPr>
        <w:tc>
          <w:tcPr>
            <w:tcW w:type="dxa" w:w="1063"/>
          </w:tcPr>
          <w:p>
            <w:pPr>
              <w:keepNext/>
              <w:spacing w:after="20"/>
            </w:pPr>
            <w:r/>
            <w:r>
              <w:rPr>
                <w:b/>
                <w:sz w:val="18"/>
              </w:rPr>
              <w:t>1</w:t>
            </w:r>
          </w:p>
        </w:tc>
        <w:tc>
          <w:tcPr>
            <w:tcW w:type="dxa" w:w="1411"/>
          </w:tcPr>
          <w:p>
            <w:pPr>
              <w:keepNext/>
              <w:spacing w:after="20"/>
            </w:pPr>
            <w:r/>
            <w:r>
              <w:rPr>
                <w:sz w:val="18"/>
              </w:rPr>
              <w:t>0–0.5%</w:t>
            </w:r>
          </w:p>
        </w:tc>
        <w:tc>
          <w:tcPr>
            <w:tcW w:type="dxa" w:w="1345"/>
          </w:tcPr>
          <w:p>
            <w:pPr>
              <w:keepNext/>
              <w:spacing w:after="20"/>
            </w:pPr>
            <w:r/>
            <w:r>
              <w:rPr>
                <w:sz w:val="18"/>
              </w:rPr>
              <w:t>0.25%</w:t>
            </w:r>
          </w:p>
        </w:tc>
        <w:tc>
          <w:tcPr>
            <w:tcW w:type="dxa" w:w="2074"/>
          </w:tcPr>
          <w:p>
            <w:pPr>
              <w:keepNext/>
              <w:spacing w:after="20"/>
            </w:pPr>
            <w:r/>
            <w:r>
              <w:rPr>
                <w:sz w:val="18"/>
              </w:rPr>
              <w:t>No fall</w:t>
            </w:r>
          </w:p>
        </w:tc>
        <w:tc>
          <w:tcPr>
            <w:tcW w:type="dxa" w:w="2018"/>
          </w:tcPr>
          <w:p>
            <w:pPr>
              <w:keepNext/>
              <w:spacing w:after="20"/>
            </w:pPr>
            <w:r/>
            <w:r>
              <w:rPr>
                <w:sz w:val="18"/>
              </w:rPr>
              <w:t>none</w:t>
            </w:r>
          </w:p>
        </w:tc>
        <w:tc>
          <w:tcPr>
            <w:tcW w:type="dxa" w:w="1726"/>
          </w:tcPr>
          <w:p>
            <w:pPr>
              <w:keepNext/>
              <w:spacing w:after="20"/>
            </w:pPr>
            <w:r/>
            <w:r>
              <w:rPr>
                <w:sz w:val="18"/>
              </w:rPr>
              <w:t>–</w:t>
            </w:r>
          </w:p>
        </w:tc>
      </w:tr>
      <w:tr>
        <w:trPr>
          <w:cantSplit/>
        </w:trPr>
        <w:tc>
          <w:tcPr>
            <w:tcW w:type="dxa" w:w="1063"/>
            <w:shd w:val="clear" w:fill="EEF3F9"/>
          </w:tcPr>
          <w:p>
            <w:pPr>
              <w:keepNext/>
              <w:spacing w:after="20"/>
            </w:pPr>
            <w:r/>
            <w:r>
              <w:rPr>
                <w:b/>
                <w:sz w:val="18"/>
              </w:rPr>
              <w:t>2</w:t>
            </w:r>
          </w:p>
        </w:tc>
        <w:tc>
          <w:tcPr>
            <w:tcW w:type="dxa" w:w="1411"/>
            <w:shd w:val="clear" w:fill="EEF3F9"/>
          </w:tcPr>
          <w:p>
            <w:pPr>
              <w:keepNext/>
              <w:spacing w:after="20"/>
            </w:pPr>
            <w:r/>
            <w:r>
              <w:rPr>
                <w:sz w:val="18"/>
              </w:rPr>
              <w:t>0.5–2%</w:t>
            </w:r>
          </w:p>
        </w:tc>
        <w:tc>
          <w:tcPr>
            <w:tcW w:type="dxa" w:w="1345"/>
            <w:shd w:val="clear" w:fill="EEF3F9"/>
          </w:tcPr>
          <w:p>
            <w:pPr>
              <w:keepNext/>
              <w:spacing w:after="20"/>
            </w:pPr>
            <w:r/>
            <w:r>
              <w:rPr>
                <w:sz w:val="18"/>
              </w:rPr>
              <w:t>1.25%</w:t>
            </w:r>
          </w:p>
        </w:tc>
        <w:tc>
          <w:tcPr>
            <w:tcW w:type="dxa" w:w="2074"/>
            <w:shd w:val="clear" w:fill="EEF3F9"/>
          </w:tcPr>
          <w:p>
            <w:pPr>
              <w:keepNext/>
              <w:spacing w:after="20"/>
            </w:pPr>
            <w:r/>
            <w:r>
              <w:rPr>
                <w:sz w:val="18"/>
              </w:rPr>
              <w:t>2.5%</w:t>
            </w:r>
          </w:p>
        </w:tc>
        <w:tc>
          <w:tcPr>
            <w:tcW w:type="dxa" w:w="2018"/>
            <w:shd w:val="clear" w:fill="EEF3F9"/>
          </w:tcPr>
          <w:p>
            <w:pPr>
              <w:keepNext/>
              <w:spacing w:after="20"/>
            </w:pPr>
            <w:r/>
            <w:r>
              <w:rPr>
                <w:sz w:val="18"/>
              </w:rPr>
              <w:t>0%</w:t>
            </w:r>
          </w:p>
        </w:tc>
        <w:tc>
          <w:tcPr>
            <w:tcW w:type="dxa" w:w="1726"/>
            <w:shd w:val="clear" w:fill="EEF3F9"/>
          </w:tcPr>
          <w:p>
            <w:pPr>
              <w:keepNext/>
              <w:spacing w:after="20"/>
            </w:pPr>
            <w:r/>
            <w:r>
              <w:rPr>
                <w:sz w:val="18"/>
              </w:rPr>
              <w:t>not used</w:t>
            </w:r>
          </w:p>
        </w:tc>
      </w:tr>
      <w:tr>
        <w:trPr>
          <w:cantSplit/>
        </w:trPr>
        <w:tc>
          <w:tcPr>
            <w:tcW w:type="dxa" w:w="1063"/>
          </w:tcPr>
          <w:p>
            <w:pPr>
              <w:keepNext/>
              <w:spacing w:after="20"/>
            </w:pPr>
            <w:r/>
            <w:r>
              <w:rPr>
                <w:b/>
                <w:sz w:val="18"/>
              </w:rPr>
              <w:t>3</w:t>
            </w:r>
          </w:p>
        </w:tc>
        <w:tc>
          <w:tcPr>
            <w:tcW w:type="dxa" w:w="1411"/>
          </w:tcPr>
          <w:p>
            <w:pPr>
              <w:keepNext/>
              <w:spacing w:after="20"/>
            </w:pPr>
            <w:r/>
            <w:r>
              <w:rPr>
                <w:sz w:val="18"/>
              </w:rPr>
              <w:t>2–5%</w:t>
            </w:r>
          </w:p>
        </w:tc>
        <w:tc>
          <w:tcPr>
            <w:tcW w:type="dxa" w:w="1345"/>
          </w:tcPr>
          <w:p>
            <w:pPr>
              <w:keepNext/>
              <w:spacing w:after="20"/>
            </w:pPr>
            <w:r/>
            <w:r>
              <w:rPr>
                <w:sz w:val="18"/>
              </w:rPr>
              <w:t>3.5%</w:t>
            </w:r>
          </w:p>
        </w:tc>
        <w:tc>
          <w:tcPr>
            <w:tcW w:type="dxa" w:w="2074"/>
          </w:tcPr>
          <w:p>
            <w:pPr>
              <w:keepNext/>
              <w:spacing w:after="20"/>
            </w:pPr>
            <w:r/>
            <w:r>
              <w:rPr>
                <w:sz w:val="18"/>
              </w:rPr>
              <w:t>7%</w:t>
            </w:r>
          </w:p>
        </w:tc>
        <w:tc>
          <w:tcPr>
            <w:tcW w:type="dxa" w:w="2018"/>
          </w:tcPr>
          <w:p>
            <w:pPr>
              <w:keepNext/>
              <w:spacing w:after="20"/>
            </w:pPr>
            <w:r/>
            <w:r>
              <w:rPr>
                <w:sz w:val="18"/>
              </w:rPr>
              <w:t>4.3%</w:t>
            </w:r>
          </w:p>
        </w:tc>
        <w:tc>
          <w:tcPr>
            <w:tcW w:type="dxa" w:w="1726"/>
          </w:tcPr>
          <w:p>
            <w:pPr>
              <w:keepNext/>
              <w:spacing w:after="20"/>
            </w:pPr>
            <w:r/>
            <w:r>
              <w:rPr>
                <w:sz w:val="18"/>
              </w:rPr>
              <w:t>below 8%</w:t>
            </w:r>
          </w:p>
        </w:tc>
      </w:tr>
      <w:tr>
        <w:trPr>
          <w:cantSplit/>
        </w:trPr>
        <w:tc>
          <w:tcPr>
            <w:tcW w:type="dxa" w:w="1063"/>
            <w:shd w:val="clear" w:fill="EEF3F9"/>
          </w:tcPr>
          <w:p>
            <w:pPr>
              <w:keepNext/>
              <w:spacing w:after="20"/>
            </w:pPr>
            <w:r/>
            <w:r>
              <w:rPr>
                <w:b/>
                <w:sz w:val="18"/>
              </w:rPr>
              <w:t>4</w:t>
            </w:r>
          </w:p>
        </w:tc>
        <w:tc>
          <w:tcPr>
            <w:tcW w:type="dxa" w:w="1411"/>
            <w:shd w:val="clear" w:fill="EEF3F9"/>
          </w:tcPr>
          <w:p>
            <w:pPr>
              <w:keepNext/>
              <w:spacing w:after="20"/>
            </w:pPr>
            <w:r/>
            <w:r>
              <w:rPr>
                <w:sz w:val="18"/>
              </w:rPr>
              <w:t>5–10%</w:t>
            </w:r>
          </w:p>
        </w:tc>
        <w:tc>
          <w:tcPr>
            <w:tcW w:type="dxa" w:w="1345"/>
            <w:shd w:val="clear" w:fill="EEF3F9"/>
          </w:tcPr>
          <w:p>
            <w:pPr>
              <w:keepNext/>
              <w:spacing w:after="20"/>
            </w:pPr>
            <w:r/>
            <w:r>
              <w:rPr>
                <w:sz w:val="18"/>
              </w:rPr>
              <w:t>7.5%</w:t>
            </w:r>
          </w:p>
        </w:tc>
        <w:tc>
          <w:tcPr>
            <w:tcW w:type="dxa" w:w="2074"/>
            <w:shd w:val="clear" w:fill="EEF3F9"/>
          </w:tcPr>
          <w:p>
            <w:pPr>
              <w:keepNext/>
              <w:spacing w:after="20"/>
            </w:pPr>
            <w:r/>
            <w:r>
              <w:rPr>
                <w:sz w:val="18"/>
              </w:rPr>
              <w:t>15%</w:t>
            </w:r>
          </w:p>
        </w:tc>
        <w:tc>
          <w:tcPr>
            <w:tcW w:type="dxa" w:w="2018"/>
            <w:shd w:val="clear" w:fill="EEF3F9"/>
          </w:tcPr>
          <w:p>
            <w:pPr>
              <w:keepNext/>
              <w:spacing w:after="20"/>
            </w:pPr>
            <w:r/>
            <w:r>
              <w:rPr>
                <w:sz w:val="18"/>
              </w:rPr>
              <w:t>11.5%</w:t>
            </w:r>
          </w:p>
        </w:tc>
        <w:tc>
          <w:tcPr>
            <w:tcW w:type="dxa" w:w="1726"/>
            <w:shd w:val="clear" w:fill="EEF3F9"/>
          </w:tcPr>
          <w:p>
            <w:pPr>
              <w:keepNext/>
              <w:spacing w:after="20"/>
            </w:pPr>
            <w:r/>
            <w:r>
              <w:rPr>
                <w:sz w:val="18"/>
              </w:rPr>
              <w:t>from 8%</w:t>
            </w:r>
          </w:p>
        </w:tc>
      </w:tr>
      <w:tr>
        <w:trPr>
          <w:cantSplit/>
        </w:trPr>
        <w:tc>
          <w:tcPr>
            <w:tcW w:type="dxa" w:w="1063"/>
          </w:tcPr>
          <w:p>
            <w:pPr>
              <w:keepNext/>
              <w:spacing w:after="20"/>
            </w:pPr>
            <w:r/>
            <w:r>
              <w:rPr>
                <w:b/>
                <w:sz w:val="18"/>
              </w:rPr>
              <w:t>5</w:t>
            </w:r>
          </w:p>
        </w:tc>
        <w:tc>
          <w:tcPr>
            <w:tcW w:type="dxa" w:w="1411"/>
          </w:tcPr>
          <w:p>
            <w:pPr>
              <w:keepNext/>
              <w:spacing w:after="20"/>
            </w:pPr>
            <w:r/>
            <w:r>
              <w:rPr>
                <w:sz w:val="18"/>
              </w:rPr>
              <w:t>10–15%</w:t>
            </w:r>
          </w:p>
        </w:tc>
        <w:tc>
          <w:tcPr>
            <w:tcW w:type="dxa" w:w="1345"/>
          </w:tcPr>
          <w:p>
            <w:pPr>
              <w:keepNext/>
              <w:spacing w:after="20"/>
            </w:pPr>
            <w:r/>
            <w:r>
              <w:rPr>
                <w:sz w:val="18"/>
              </w:rPr>
              <w:t>12.5%</w:t>
            </w:r>
          </w:p>
        </w:tc>
        <w:tc>
          <w:tcPr>
            <w:tcW w:type="dxa" w:w="2074"/>
          </w:tcPr>
          <w:p>
            <w:pPr>
              <w:keepNext/>
              <w:spacing w:after="20"/>
            </w:pPr>
            <w:r/>
            <w:r>
              <w:rPr>
                <w:sz w:val="18"/>
              </w:rPr>
              <w:t>25%</w:t>
            </w:r>
          </w:p>
        </w:tc>
        <w:tc>
          <w:tcPr>
            <w:tcW w:type="dxa" w:w="2018"/>
          </w:tcPr>
          <w:p>
            <w:pPr>
              <w:keepNext/>
              <w:spacing w:after="20"/>
            </w:pPr>
            <w:r/>
            <w:r>
              <w:rPr>
                <w:sz w:val="18"/>
              </w:rPr>
              <w:t>20.8%</w:t>
            </w:r>
          </w:p>
        </w:tc>
        <w:tc>
          <w:tcPr>
            <w:tcW w:type="dxa" w:w="1726"/>
          </w:tcPr>
          <w:p>
            <w:pPr>
              <w:keepNext/>
              <w:spacing w:after="20"/>
            </w:pPr>
            <w:r/>
            <w:r>
              <w:rPr>
                <w:sz w:val="18"/>
              </w:rPr>
              <w:t>from 16–18%</w:t>
            </w:r>
          </w:p>
        </w:tc>
      </w:tr>
      <w:tr>
        <w:trPr>
          <w:cantSplit/>
        </w:trPr>
        <w:tc>
          <w:tcPr>
            <w:tcW w:type="dxa" w:w="1063"/>
            <w:shd w:val="clear" w:fill="EEF3F9"/>
          </w:tcPr>
          <w:p>
            <w:pPr>
              <w:keepNext/>
              <w:spacing w:after="20"/>
            </w:pPr>
            <w:r/>
            <w:r>
              <w:rPr>
                <w:b/>
                <w:sz w:val="18"/>
              </w:rPr>
              <w:t>6</w:t>
            </w:r>
          </w:p>
        </w:tc>
        <w:tc>
          <w:tcPr>
            <w:tcW w:type="dxa" w:w="1411"/>
            <w:shd w:val="clear" w:fill="EEF3F9"/>
          </w:tcPr>
          <w:p>
            <w:pPr>
              <w:keepNext/>
              <w:spacing w:after="20"/>
            </w:pPr>
            <w:r/>
            <w:r>
              <w:rPr>
                <w:sz w:val="18"/>
              </w:rPr>
              <w:t>15–25%</w:t>
            </w:r>
          </w:p>
        </w:tc>
        <w:tc>
          <w:tcPr>
            <w:tcW w:type="dxa" w:w="1345"/>
            <w:shd w:val="clear" w:fill="EEF3F9"/>
          </w:tcPr>
          <w:p>
            <w:pPr>
              <w:keepNext/>
              <w:spacing w:after="20"/>
            </w:pPr>
            <w:r/>
            <w:r>
              <w:rPr>
                <w:sz w:val="18"/>
              </w:rPr>
              <w:t>20%</w:t>
            </w:r>
          </w:p>
        </w:tc>
        <w:tc>
          <w:tcPr>
            <w:tcW w:type="dxa" w:w="2074"/>
            <w:shd w:val="clear" w:fill="EEF3F9"/>
          </w:tcPr>
          <w:p>
            <w:pPr>
              <w:keepNext/>
              <w:spacing w:after="20"/>
            </w:pPr>
            <w:r/>
            <w:r>
              <w:rPr>
                <w:sz w:val="18"/>
              </w:rPr>
              <w:t>40% or more</w:t>
            </w:r>
          </w:p>
        </w:tc>
        <w:tc>
          <w:tcPr>
            <w:tcW w:type="dxa" w:w="2018"/>
            <w:shd w:val="clear" w:fill="EEF3F9"/>
          </w:tcPr>
          <w:p>
            <w:pPr>
              <w:keepNext/>
              <w:spacing w:after="20"/>
            </w:pPr>
            <w:r/>
            <w:r>
              <w:rPr>
                <w:sz w:val="18"/>
              </w:rPr>
              <w:t>35.3%</w:t>
            </w:r>
          </w:p>
        </w:tc>
        <w:tc>
          <w:tcPr>
            <w:tcW w:type="dxa" w:w="1726"/>
            <w:shd w:val="clear" w:fill="EEF3F9"/>
          </w:tcPr>
          <w:p>
            <w:pPr>
              <w:keepNext/>
              <w:spacing w:after="20"/>
            </w:pPr>
            <w:r/>
            <w:r>
              <w:rPr>
                <w:sz w:val="18"/>
              </w:rPr>
              <w:t>from 28–35%</w:t>
            </w:r>
          </w:p>
        </w:tc>
      </w:tr>
      <w:tr>
        <w:trPr>
          <w:cantSplit/>
        </w:trPr>
        <w:tc>
          <w:tcPr>
            <w:tcW w:type="dxa" w:w="1063"/>
          </w:tcPr>
          <w:p>
            <w:pPr>
              <w:spacing w:after="20"/>
            </w:pPr>
            <w:r/>
            <w:r>
              <w:rPr>
                <w:b/>
                <w:sz w:val="18"/>
              </w:rPr>
              <w:t>7</w:t>
            </w:r>
          </w:p>
        </w:tc>
        <w:tc>
          <w:tcPr>
            <w:tcW w:type="dxa" w:w="1411"/>
          </w:tcPr>
          <w:p>
            <w:pPr>
              <w:spacing w:after="20"/>
            </w:pPr>
            <w:r/>
            <w:r>
              <w:rPr>
                <w:sz w:val="18"/>
              </w:rPr>
              <w:t>over 25%</w:t>
            </w:r>
          </w:p>
        </w:tc>
        <w:tc>
          <w:tcPr>
            <w:tcW w:type="dxa" w:w="1345"/>
          </w:tcPr>
          <w:p>
            <w:pPr>
              <w:spacing w:after="20"/>
            </w:pPr>
            <w:r/>
            <w:r>
              <w:rPr>
                <w:sz w:val="18"/>
              </w:rPr>
              <w:t>–</w:t>
            </w:r>
          </w:p>
        </w:tc>
        <w:tc>
          <w:tcPr>
            <w:tcW w:type="dxa" w:w="2074"/>
          </w:tcPr>
          <w:p>
            <w:pPr>
              <w:spacing w:after="20"/>
            </w:pPr>
            <w:r/>
            <w:r>
              <w:rPr>
                <w:sz w:val="18"/>
              </w:rPr>
              <w:t>not offered</w:t>
            </w:r>
          </w:p>
        </w:tc>
        <w:tc>
          <w:tcPr>
            <w:tcW w:type="dxa" w:w="2018"/>
          </w:tcPr>
          <w:p>
            <w:pPr>
              <w:spacing w:after="20"/>
            </w:pPr>
            <w:r/>
            <w:r>
              <w:rPr>
                <w:sz w:val="18"/>
              </w:rPr>
              <w:t>55%</w:t>
            </w:r>
          </w:p>
        </w:tc>
        <w:tc>
          <w:tcPr>
            <w:tcW w:type="dxa" w:w="1726"/>
          </w:tcPr>
          <w:p>
            <w:pPr>
              <w:spacing w:after="20"/>
            </w:pPr>
            <w:r/>
            <w:r>
              <w:rPr>
                <w:sz w:val="18"/>
              </w:rPr>
              <w:t>not used</w:t>
            </w:r>
          </w:p>
        </w:tc>
      </w:tr>
    </w:tbl>
    <w:p>
      <w:pPr>
        <w:spacing w:after="40"/>
      </w:pPr>
    </w:p>
    <w:tbl>
      <w:tblPr>
        <w:tblW w:type="auto" w:w="0"/>
        <w:tblLayout w:type="fixed"/>
        <w:tblLook w:firstColumn="1" w:firstRow="1" w:lastColumn="0" w:lastRow="0" w:noHBand="0" w:noVBand="1" w:val="04A0"/>
      </w:tblPr>
      <w:tblGrid>
        <w:gridCol w:w="9972"/>
      </w:tblGrid>
      <w:tr>
        <w:trPr>
          <w:cantSplit/>
        </w:trPr>
        <w:tc>
          <w:tcPr>
            <w:tcW w:type="dxa" w:w="9638"/>
            <w:shd w:val="clear" w:fill="F2F2F2"/>
          </w:tcPr>
          <w:p>
            <w:pPr>
              <w:spacing w:after="40"/>
            </w:pPr>
            <w:r/>
            <w:r>
              <w:rPr>
                <w:b/>
                <w:color w:val="003781"/>
                <w:sz w:val="19"/>
              </w:rPr>
              <w:t xml:space="preserve">Our rule  </w:t>
            </w:r>
            <w:r>
              <w:rPr>
                <w:sz w:val="19"/>
              </w:rPr>
              <w:t>A bad year is a fall of twice a fund's volatility (about 1 year in 40). Q4 uses twice the middle of each ESMA band. The top answer (40% or more) gives 6; level 7 is not offered.</w:t>
            </w:r>
          </w:p>
          <w:p>
            <w:pPr>
              <w:spacing w:after="40"/>
            </w:pPr>
            <w:r>
              <w:rPr>
                <w:b/>
                <w:color w:val="003781"/>
                <w:sz w:val="19"/>
              </w:rPr>
              <w:t xml:space="preserve">Against Aviva and Zurich  </w:t>
            </w:r>
            <w:r>
              <w:rPr>
                <w:sz w:val="19"/>
              </w:rPr>
              <w:t>Aviva uses the same rule but takes off its expected return, so its figures are a few points lower. Zurich's 5-year worst cases (11%, 21%, 32%, 37%) are higher. Ours sit between.</w:t>
            </w:r>
          </w:p>
          <w:p>
            <w:pPr>
              <w:spacing w:after="40"/>
            </w:pPr>
            <w:r>
              <w:rPr>
                <w:b/>
                <w:color w:val="003781"/>
                <w:sz w:val="19"/>
              </w:rPr>
              <w:t xml:space="preserve">Why the middle of the band  </w:t>
            </w:r>
            <w:r>
              <w:rPr>
                <w:sz w:val="19"/>
              </w:rPr>
              <w:t>The top of each band (20% for level 4, 50% for level 6) would be more cautious than both competitors.</w:t>
            </w:r>
          </w:p>
          <w:p>
            <w:pPr>
              <w:spacing w:after="40"/>
            </w:pPr>
            <w:r>
              <w:rPr>
                <w:b/>
                <w:color w:val="003781"/>
                <w:sz w:val="19"/>
              </w:rPr>
              <w:t xml:space="preserve">Can we stand over it?  </w:t>
            </w:r>
            <w:r>
              <w:rPr>
                <w:sz w:val="19"/>
              </w:rPr>
              <w:t>Yes, as a documented convention. Real markets can fall further than this assumes, so test it against our funds' worst 12-month falls and KID stress scenarios, and have Compliance sign it off.</w:t>
            </w:r>
          </w:p>
        </w:tc>
      </w:tr>
    </w:tbl>
    <w:p>
      <w:pPr>
        <w:spacing w:after="40"/>
      </w:pPr>
    </w:p>
    <w:p>
      <w:r>
        <w:br w:type="page"/>
      </w:r>
    </w:p>
    <w:p>
      <w:pPr>
        <w:pStyle w:val="Heading1"/>
      </w:pPr>
      <w:r>
        <w:t>Appendix B. ESMA suitability guidelines coverage</w:t>
      </w:r>
    </w:p>
    <w:p>
      <w:r>
        <w:t>ESMA, Guidelines on certain aspects of the MiFID II suitability requirements (ESMA35-43-3172, 2023).</w:t>
      </w:r>
    </w:p>
    <w:tbl>
      <w:tblPr>
        <w:tblStyle w:val="TableGrid"/>
        <w:tblW w:type="auto" w:w="0"/>
        <w:tblLayout w:type="fixed"/>
        <w:tblLook w:firstColumn="1" w:firstRow="1" w:lastColumn="0" w:lastRow="0" w:noHBand="0" w:noVBand="1" w:val="04A0"/>
      </w:tblPr>
      <w:tblGrid>
        <w:gridCol w:w="3324"/>
        <w:gridCol w:w="3324"/>
        <w:gridCol w:w="3324"/>
      </w:tblGrid>
      <w:tr>
        <w:trPr>
          <w:cantSplit/>
          <w:tblHeader/>
        </w:trPr>
        <w:tc>
          <w:tcPr>
            <w:tcW w:type="dxa" w:w="1203"/>
            <w:shd w:val="clear" w:fill="003781"/>
          </w:tcPr>
          <w:p>
            <w:pPr>
              <w:keepNext/>
              <w:spacing w:after="20"/>
            </w:pPr>
            <w:r/>
            <w:r>
              <w:rPr>
                <w:b/>
                <w:color w:val="FFFFFF"/>
                <w:sz w:val="18"/>
              </w:rPr>
              <w:t>Guideline</w:t>
            </w:r>
          </w:p>
        </w:tc>
        <w:tc>
          <w:tcPr>
            <w:tcW w:type="dxa" w:w="4217"/>
            <w:shd w:val="clear" w:fill="003781"/>
          </w:tcPr>
          <w:p>
            <w:pPr>
              <w:keepNext/>
              <w:spacing w:after="20"/>
            </w:pPr>
            <w:r/>
            <w:r>
              <w:rPr>
                <w:b/>
                <w:color w:val="FFFFFF"/>
                <w:sz w:val="18"/>
              </w:rPr>
              <w:t>What it requires</w:t>
            </w:r>
          </w:p>
        </w:tc>
        <w:tc>
          <w:tcPr>
            <w:tcW w:type="dxa" w:w="4217"/>
            <w:shd w:val="clear" w:fill="003781"/>
          </w:tcPr>
          <w:p>
            <w:pPr>
              <w:keepNext/>
              <w:spacing w:after="20"/>
            </w:pPr>
            <w:r/>
            <w:r>
              <w:rPr>
                <w:b/>
                <w:color w:val="FFFFFF"/>
                <w:sz w:val="18"/>
              </w:rPr>
              <w:t>How it is covered</w:t>
            </w:r>
          </w:p>
        </w:tc>
      </w:tr>
      <w:tr>
        <w:trPr>
          <w:cantSplit/>
        </w:trPr>
        <w:tc>
          <w:tcPr>
            <w:tcW w:type="dxa" w:w="1203"/>
          </w:tcPr>
          <w:p>
            <w:pPr>
              <w:keepNext/>
              <w:spacing w:after="20"/>
            </w:pPr>
            <w:r/>
            <w:r>
              <w:rPr>
                <w:b/>
                <w:sz w:val="18"/>
              </w:rPr>
              <w:t>1 (paras 11–18)</w:t>
            </w:r>
          </w:p>
        </w:tc>
        <w:tc>
          <w:tcPr>
            <w:tcW w:type="dxa" w:w="4217"/>
          </w:tcPr>
          <w:p>
            <w:pPr>
              <w:keepNext/>
              <w:spacing w:after="20"/>
            </w:pPr>
            <w:r/>
            <w:r>
              <w:rPr>
                <w:sz w:val="18"/>
              </w:rPr>
              <w:t>Explain why the questions are asked; the firm, not the client, decides suitability; no disclaimers shifting responsibility</w:t>
            </w:r>
          </w:p>
        </w:tc>
        <w:tc>
          <w:tcPr>
            <w:tcW w:type="dxa" w:w="4217"/>
          </w:tcPr>
          <w:p>
            <w:pPr>
              <w:keepNext/>
              <w:spacing w:after="20"/>
            </w:pPr>
            <w:r/>
            <w:r>
              <w:rPr>
                <w:sz w:val="18"/>
              </w:rPr>
              <w:t>Introduction wording. The client is never asked to confirm a product is suitable.</w:t>
            </w:r>
          </w:p>
        </w:tc>
      </w:tr>
      <w:tr>
        <w:trPr>
          <w:cantSplit/>
        </w:trPr>
        <w:tc>
          <w:tcPr>
            <w:tcW w:type="dxa" w:w="1203"/>
            <w:shd w:val="clear" w:fill="EEF3F9"/>
          </w:tcPr>
          <w:p>
            <w:pPr>
              <w:keepNext/>
              <w:spacing w:after="20"/>
            </w:pPr>
            <w:r/>
            <w:r>
              <w:rPr>
                <w:b/>
                <w:sz w:val="18"/>
              </w:rPr>
              <w:t>2 (paras 19–32)</w:t>
            </w:r>
          </w:p>
        </w:tc>
        <w:tc>
          <w:tcPr>
            <w:tcW w:type="dxa" w:w="4217"/>
            <w:shd w:val="clear" w:fill="EEF3F9"/>
          </w:tcPr>
          <w:p>
            <w:pPr>
              <w:keepNext/>
              <w:spacing w:after="20"/>
            </w:pPr>
            <w:r/>
            <w:r>
              <w:rPr>
                <w:sz w:val="18"/>
              </w:rPr>
              <w:t>Clear questions, one topic each; no option to skip financial questions; age, family, employment, liquidity needs; understanding of risk; alerts for inconsistent answers</w:t>
            </w:r>
          </w:p>
        </w:tc>
        <w:tc>
          <w:tcPr>
            <w:tcW w:type="dxa" w:w="4217"/>
            <w:shd w:val="clear" w:fill="EEF3F9"/>
          </w:tcPr>
          <w:p>
            <w:pPr>
              <w:keepNext/>
              <w:spacing w:after="20"/>
            </w:pPr>
            <w:r/>
            <w:r>
              <w:rPr>
                <w:sz w:val="18"/>
              </w:rPr>
              <w:t>Q1–Q8 and date of birth; one topic per question; no "prefer not to say" on Q1–Q2; flags F1–F5</w:t>
            </w:r>
          </w:p>
        </w:tc>
      </w:tr>
      <w:tr>
        <w:trPr>
          <w:cantSplit/>
        </w:trPr>
        <w:tc>
          <w:tcPr>
            <w:tcW w:type="dxa" w:w="1203"/>
          </w:tcPr>
          <w:p>
            <w:pPr>
              <w:keepNext/>
              <w:spacing w:after="20"/>
            </w:pPr>
            <w:r/>
            <w:r>
              <w:rPr>
                <w:b/>
                <w:sz w:val="18"/>
              </w:rPr>
              <w:t>3 (paras 33–43)</w:t>
            </w:r>
          </w:p>
        </w:tc>
        <w:tc>
          <w:tcPr>
            <w:tcW w:type="dxa" w:w="4217"/>
          </w:tcPr>
          <w:p>
            <w:pPr>
              <w:keepNext/>
              <w:spacing w:after="20"/>
            </w:pPr>
            <w:r/>
            <w:r>
              <w:rPr>
                <w:sz w:val="18"/>
              </w:rPr>
              <w:t>Information in proportion to the products; income, assets and commitments; more care for vulnerable clients</w:t>
            </w:r>
          </w:p>
        </w:tc>
        <w:tc>
          <w:tcPr>
            <w:tcW w:type="dxa" w:w="4217"/>
          </w:tcPr>
          <w:p>
            <w:pPr>
              <w:keepNext/>
              <w:spacing w:after="20"/>
            </w:pPr>
            <w:r/>
            <w:r>
              <w:rPr>
                <w:sz w:val="18"/>
              </w:rPr>
              <w:t>Q1–Q2; date of birth; no complex or illiquid products, so no extra questions</w:t>
            </w:r>
          </w:p>
        </w:tc>
      </w:tr>
      <w:tr>
        <w:trPr>
          <w:cantSplit/>
        </w:trPr>
        <w:tc>
          <w:tcPr>
            <w:tcW w:type="dxa" w:w="1203"/>
            <w:shd w:val="clear" w:fill="EEF3F9"/>
          </w:tcPr>
          <w:p>
            <w:pPr>
              <w:keepNext/>
              <w:spacing w:after="20"/>
            </w:pPr>
            <w:r/>
            <w:r>
              <w:rPr>
                <w:b/>
                <w:sz w:val="18"/>
              </w:rPr>
              <w:t>4 (paras 44–52)</w:t>
            </w:r>
          </w:p>
        </w:tc>
        <w:tc>
          <w:tcPr>
            <w:tcW w:type="dxa" w:w="4217"/>
            <w:shd w:val="clear" w:fill="EEF3F9"/>
          </w:tcPr>
          <w:p>
            <w:pPr>
              <w:keepNext/>
              <w:spacing w:after="20"/>
            </w:pPr>
            <w:r/>
            <w:r>
              <w:rPr>
                <w:sz w:val="18"/>
              </w:rPr>
              <w:t>Reliable answers without relying on self-assessment; objective criteria; guard against overestimated knowledge; consistency checks</w:t>
            </w:r>
          </w:p>
        </w:tc>
        <w:tc>
          <w:tcPr>
            <w:tcW w:type="dxa" w:w="4217"/>
            <w:shd w:val="clear" w:fill="EEF3F9"/>
          </w:tcPr>
          <w:p>
            <w:pPr>
              <w:keepNext/>
              <w:spacing w:after="20"/>
            </w:pPr>
            <w:r/>
            <w:r>
              <w:rPr>
                <w:sz w:val="18"/>
              </w:rPr>
              <w:t>Q4–Q6 use € figures and choices; Q7 is based on facts and Q8 tests real knowledge; flags F1, F2.</w:t>
            </w:r>
          </w:p>
        </w:tc>
      </w:tr>
      <w:tr>
        <w:trPr>
          <w:cantSplit/>
        </w:trPr>
        <w:tc>
          <w:tcPr>
            <w:tcW w:type="dxa" w:w="1203"/>
          </w:tcPr>
          <w:p>
            <w:pPr>
              <w:keepNext/>
              <w:spacing w:after="20"/>
            </w:pPr>
            <w:r/>
            <w:r>
              <w:rPr>
                <w:b/>
                <w:sz w:val="18"/>
              </w:rPr>
              <w:t>5 (paras 53–59)</w:t>
            </w:r>
          </w:p>
        </w:tc>
        <w:tc>
          <w:tcPr>
            <w:tcW w:type="dxa" w:w="4217"/>
          </w:tcPr>
          <w:p>
            <w:pPr>
              <w:keepNext/>
              <w:spacing w:after="20"/>
            </w:pPr>
            <w:r/>
            <w:r>
              <w:rPr>
                <w:sz w:val="18"/>
              </w:rPr>
              <w:t>Keep information up to date; review at events such as retirement; do not steer clients to change answers; tell clients when their profile changes</w:t>
            </w:r>
          </w:p>
        </w:tc>
        <w:tc>
          <w:tcPr>
            <w:tcW w:type="dxa" w:w="4217"/>
          </w:tcPr>
          <w:p>
            <w:pPr>
              <w:keepNext/>
              <w:spacing w:after="20"/>
            </w:pPr>
            <w:r/>
            <w:r>
              <w:rPr>
                <w:sz w:val="18"/>
              </w:rPr>
              <w:t>Process: review periodically and at retirement; log changes (F6)</w:t>
            </w:r>
          </w:p>
        </w:tc>
      </w:tr>
      <w:tr>
        <w:trPr>
          <w:cantSplit/>
        </w:trPr>
        <w:tc>
          <w:tcPr>
            <w:tcW w:type="dxa" w:w="1203"/>
            <w:shd w:val="clear" w:fill="EEF3F9"/>
          </w:tcPr>
          <w:p>
            <w:pPr>
              <w:keepNext/>
              <w:spacing w:after="20"/>
            </w:pPr>
            <w:r/>
            <w:r>
              <w:rPr>
                <w:b/>
                <w:sz w:val="18"/>
              </w:rPr>
              <w:t>8 (paras 76–90)</w:t>
            </w:r>
          </w:p>
        </w:tc>
        <w:tc>
          <w:tcPr>
            <w:tcW w:type="dxa" w:w="4217"/>
            <w:shd w:val="clear" w:fill="EEF3F9"/>
          </w:tcPr>
          <w:p>
            <w:pPr>
              <w:keepNext/>
              <w:spacing w:after="20"/>
            </w:pPr>
            <w:r/>
            <w:r>
              <w:rPr>
                <w:sz w:val="18"/>
              </w:rPr>
              <w:t>Take account of ability to bear losses and time horizon; tools fit for purpose; documented and tested decision rules</w:t>
            </w:r>
          </w:p>
        </w:tc>
        <w:tc>
          <w:tcPr>
            <w:tcW w:type="dxa" w:w="4217"/>
            <w:shd w:val="clear" w:fill="EEF3F9"/>
          </w:tcPr>
          <w:p>
            <w:pPr>
              <w:keepNext/>
              <w:spacing w:after="20"/>
            </w:pPr>
            <w:r/>
            <w:r>
              <w:rPr>
                <w:sz w:val="18"/>
              </w:rPr>
              <w:t>Time limit; capacity reported with confirmation (F3); age flag (F5); this document as the design record; worked examples as the first test cases</w:t>
            </w:r>
          </w:p>
        </w:tc>
      </w:tr>
      <w:tr>
        <w:trPr>
          <w:cantSplit/>
        </w:trPr>
        <w:tc>
          <w:tcPr>
            <w:tcW w:type="dxa" w:w="1203"/>
          </w:tcPr>
          <w:p>
            <w:pPr>
              <w:keepNext/>
              <w:spacing w:after="20"/>
            </w:pPr>
            <w:r/>
            <w:r>
              <w:rPr>
                <w:b/>
                <w:sz w:val="18"/>
              </w:rPr>
              <w:t>6, 7, 9</w:t>
            </w:r>
          </w:p>
        </w:tc>
        <w:tc>
          <w:tcPr>
            <w:tcW w:type="dxa" w:w="4217"/>
          </w:tcPr>
          <w:p>
            <w:pPr>
              <w:keepNext/>
              <w:spacing w:after="20"/>
            </w:pPr>
            <w:r/>
            <w:r>
              <w:rPr>
                <w:sz w:val="18"/>
              </w:rPr>
              <w:t>Legal entities, product complexity, equivalent products</w:t>
            </w:r>
          </w:p>
        </w:tc>
        <w:tc>
          <w:tcPr>
            <w:tcW w:type="dxa" w:w="4217"/>
          </w:tcPr>
          <w:p>
            <w:pPr>
              <w:keepNext/>
              <w:spacing w:after="20"/>
            </w:pPr>
            <w:r/>
            <w:r>
              <w:rPr>
                <w:sz w:val="18"/>
              </w:rPr>
              <w:t>Not client questions, or out of scope</w:t>
            </w:r>
          </w:p>
        </w:tc>
      </w:tr>
      <w:tr>
        <w:trPr>
          <w:cantSplit/>
        </w:trPr>
        <w:tc>
          <w:tcPr>
            <w:tcW w:type="dxa" w:w="1203"/>
            <w:shd w:val="clear" w:fill="EEF3F9"/>
          </w:tcPr>
          <w:p>
            <w:pPr>
              <w:spacing w:after="20"/>
            </w:pPr>
            <w:r/>
            <w:r>
              <w:rPr>
                <w:b/>
                <w:sz w:val="18"/>
              </w:rPr>
              <w:t>10–12</w:t>
            </w:r>
          </w:p>
        </w:tc>
        <w:tc>
          <w:tcPr>
            <w:tcW w:type="dxa" w:w="4217"/>
            <w:shd w:val="clear" w:fill="EEF3F9"/>
          </w:tcPr>
          <w:p>
            <w:pPr>
              <w:spacing w:after="20"/>
            </w:pPr>
            <w:r/>
            <w:r>
              <w:rPr>
                <w:sz w:val="18"/>
              </w:rPr>
              <w:t>Suitability report, staff, records</w:t>
            </w:r>
          </w:p>
        </w:tc>
        <w:tc>
          <w:tcPr>
            <w:tcW w:type="dxa" w:w="4217"/>
            <w:shd w:val="clear" w:fill="EEF3F9"/>
          </w:tcPr>
          <w:p>
            <w:pPr>
              <w:spacing w:after="20"/>
            </w:pPr>
            <w:r/>
            <w:r>
              <w:rPr>
                <w:sz w:val="18"/>
              </w:rPr>
              <w:t>Record the answers, ratings, flags and any override reason, with the questionnaire version and date</w:t>
            </w:r>
          </w:p>
        </w:tc>
      </w:tr>
    </w:tbl>
    <w:p>
      <w:pPr>
        <w:spacing w:after="40"/>
      </w:pP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78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78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3781"/>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