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45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BioVault: Biobank and Biospecimen Management System</w:t>
      </w:r>
    </w:p>
    <w:p>
      <w:pPr>
        <w:pStyle w:val="Subtitle"/>
      </w:pPr>
      <w:r>
        <w:t xml:space="preserve">Complete Database Design, Implementation, Testing, and Bonus Application</w:t>
      </w:r>
    </w:p>
    <w:p>
      <w:pPr>
        <w:pStyle w:val="Author"/>
      </w:pPr>
      <w:r>
        <w:t xml:space="preserve">[REPLACE WITH STUDENT NAME]</w:t>
      </w:r>
    </w:p>
    <w:p>
      <w:pPr>
        <w:pStyle w:val="Date"/>
      </w:pPr>
      <w:r>
        <w:t xml:space="preserve">Fundamentals of Databases —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ubmission-inform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Submission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[REPLACE WITH STUDENT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[REPLACE WITH STUDENT 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Fundamentals of Databases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topic</w:t>
            </w:r>
          </w:p>
        </w:tc>
        <w:tc>
          <w:tcPr/>
          <w:p>
            <w:pPr>
              <w:pStyle w:val="Compact"/>
            </w:pPr>
            <w:r>
              <w:t xml:space="preserve">Biobank and Biospecimen Management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BioVault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DBMS</w:t>
            </w:r>
          </w:p>
        </w:tc>
        <w:tc>
          <w:tcPr/>
          <w:p>
            <w:pPr>
              <w:pStyle w:val="Compac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 application</w:t>
            </w:r>
          </w:p>
        </w:tc>
        <w:tc>
          <w:tcPr/>
          <w:p>
            <w:pPr>
              <w:pStyle w:val="Compact"/>
            </w:pPr>
            <w:r>
              <w:t xml:space="preserve">Python/Tkinter desktop CRUD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Entirely synthetic; no real human data</w:t>
            </w:r>
          </w:p>
        </w:tc>
      </w:tr>
    </w:tbl>
    <w:bookmarkEnd w:id="9"/>
    <w:bookmarkStart w:id="10" w:name="executive-summa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BioVault is a relational database and connected desktop application for managing</w:t>
      </w:r>
      <w:r>
        <w:t xml:space="preserve"> </w:t>
      </w:r>
      <w:r>
        <w:t xml:space="preserve">an anonymized research biobank. The system follows biospecimens through donor</w:t>
      </w:r>
      <w:r>
        <w:t xml:space="preserve"> </w:t>
      </w:r>
      <w:r>
        <w:t xml:space="preserve">registration, versioned consent, collection, processing, aliquoting, physical</w:t>
      </w:r>
      <w:r>
        <w:t xml:space="preserve"> </w:t>
      </w:r>
      <w:r>
        <w:t xml:space="preserve">storage, laboratory testing, and authorized research consumption. It addresses</w:t>
      </w:r>
      <w:r>
        <w:t xml:space="preserve"> </w:t>
      </w:r>
      <w:r>
        <w:t xml:space="preserve">the central data-management problem of biobanking: a specimen must remain</w:t>
      </w:r>
      <w:r>
        <w:t xml:space="preserve"> </w:t>
      </w:r>
      <w:r>
        <w:t xml:space="preserve">traceable and scientifically useful while use remains ethically authorized,</w:t>
      </w:r>
      <w:r>
        <w:t xml:space="preserve"> </w:t>
      </w:r>
      <w:r>
        <w:t xml:space="preserve">inventory remains accurate, and direct donor identity stays outside the research</w:t>
      </w:r>
      <w:r>
        <w:t xml:space="preserve"> </w:t>
      </w:r>
      <w:r>
        <w:t xml:space="preserve">database.</w:t>
      </w:r>
    </w:p>
    <w:p>
      <w:pPr>
        <w:pStyle w:val="BodyText"/>
      </w:pPr>
      <w:r>
        <w:t xml:space="preserve">The PostgreSQL design contains 15 relations, including lookup and audit</w:t>
      </w:r>
      <w:r>
        <w:t xml:space="preserve"> </w:t>
      </w:r>
      <w:r>
        <w:t xml:space="preserve">relations, and resolves the project/researcher many-to-many relationship through</w:t>
      </w:r>
      <w:r>
        <w:t xml:space="preserve"> </w:t>
      </w:r>
      <w:r>
        <w:t xml:space="preserve">an associative table. It is normalized to Third Normal Form. Candidate keys,</w:t>
      </w:r>
      <w:r>
        <w:t xml:space="preserve"> </w:t>
      </w:r>
      <w:r>
        <w:t xml:space="preserve">primary keys, foreign keys, unique constraints, checks, and targeted indexes</w:t>
      </w:r>
      <w:r>
        <w:t xml:space="preserve"> </w:t>
      </w:r>
      <w:r>
        <w:t xml:space="preserve">protect both identity and performance. Three views provide operational inventory,</w:t>
      </w:r>
      <w:r>
        <w:t xml:space="preserve"> </w:t>
      </w:r>
      <w:r>
        <w:t xml:space="preserve">project-usage, and consent summaries. A transactional trigger locks an aliquot</w:t>
      </w:r>
      <w:r>
        <w:t xml:space="preserve"> </w:t>
      </w:r>
      <w:r>
        <w:t xml:space="preserve">before research use, validates active consent and project authorization, rejects</w:t>
      </w:r>
      <w:r>
        <w:t xml:space="preserve"> </w:t>
      </w:r>
      <w:r>
        <w:t xml:space="preserve">inventory overdraw, and deducts quantity atomically. A separate generic trigger</w:t>
      </w:r>
      <w:r>
        <w:t xml:space="preserve"> </w:t>
      </w:r>
      <w:r>
        <w:t xml:space="preserve">records critical updates and deletes in an audit history.</w:t>
      </w:r>
    </w:p>
    <w:p>
      <w:pPr>
        <w:pStyle w:val="BodyText"/>
      </w:pPr>
      <w:r>
        <w:t xml:space="preserve">The submitted dataset is synthetic and includes at least ten meaningful records</w:t>
      </w:r>
      <w:r>
        <w:t xml:space="preserve"> </w:t>
      </w:r>
      <w:r>
        <w:t xml:space="preserve">for each main table. Sixteen SQL demonstrations cover retrieval, joins,</w:t>
      </w:r>
      <w:r>
        <w:t xml:space="preserve"> </w:t>
      </w:r>
      <w:r>
        <w:t xml:space="preserve">aggregation, subqueries,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, a recursive CTE, a window function, views, and</w:t>
      </w:r>
      <w:r>
        <w:t xml:space="preserve"> </w:t>
      </w:r>
      <w:r>
        <w:t xml:space="preserve">reversible data modifications. Automated PostgreSQL tests prove important</w:t>
      </w:r>
      <w:r>
        <w:t xml:space="preserve"> </w:t>
      </w:r>
      <w:r>
        <w:t xml:space="preserve">constraints and business rules. Eight Python tests prove the application data</w:t>
      </w:r>
      <w:r>
        <w:t xml:space="preserve"> </w:t>
      </w:r>
      <w:r>
        <w:t xml:space="preserve">layer and complete donor CRUD lifecycle.</w:t>
      </w:r>
    </w:p>
    <w:p>
      <w:pPr>
        <w:pStyle w:val="BodyText"/>
      </w:pPr>
      <w:r>
        <w:t xml:space="preserve">For the bonus, a Python/Tkinter application connects directly to PostgreSQL and</w:t>
      </w:r>
      <w:r>
        <w:t xml:space="preserve"> </w:t>
      </w:r>
      <w:r>
        <w:t xml:space="preserve">provides live dashboard counts, searching, joined sample and test views, and</w:t>
      </w:r>
      <w:r>
        <w:t xml:space="preserve"> </w:t>
      </w:r>
      <w:r>
        <w:t xml:space="preserve">validated create/update/delete operations. A zero-configuration SQLite mirror is</w:t>
      </w:r>
      <w:r>
        <w:t xml:space="preserve"> </w:t>
      </w:r>
      <w:r>
        <w:t xml:space="preserve">included only so the user interface can be demonstrated immediately on a clean</w:t>
      </w:r>
      <w:r>
        <w:t xml:space="preserve"> </w:t>
      </w:r>
      <w:r>
        <w:t xml:space="preserve">computer; PostgreSQL remains the academic source of truth.</w:t>
      </w:r>
    </w:p>
    <w:bookmarkEnd w:id="10"/>
    <w:bookmarkStart w:id="11" w:name="problem-statemen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1. Problem statement</w:t>
      </w:r>
    </w:p>
    <w:p>
      <w:pPr>
        <w:pStyle w:val="FirstParagraph"/>
      </w:pPr>
      <w:r>
        <w:t xml:space="preserve">Research biobanks collect biological material and associated data so approved</w:t>
      </w:r>
      <w:r>
        <w:t xml:space="preserve"> </w:t>
      </w:r>
      <w:r>
        <w:t xml:space="preserve">studies can reuse high-quality specimens. A spreadsheet is inadequate because</w:t>
      </w:r>
      <w:r>
        <w:t xml:space="preserve"> </w:t>
      </w:r>
      <w:r>
        <w:t xml:space="preserve">the same donor may have multiple consent documents and collection events; a</w:t>
      </w:r>
      <w:r>
        <w:t xml:space="preserve"> </w:t>
      </w:r>
      <w:r>
        <w:t xml:space="preserve">sample may create multiple aliquots; a researcher may belong to multiple</w:t>
      </w:r>
      <w:r>
        <w:t xml:space="preserve"> </w:t>
      </w:r>
      <w:r>
        <w:t xml:space="preserve">projects; and each physical use changes inventory. The system must also preserve</w:t>
      </w:r>
      <w:r>
        <w:t xml:space="preserve"> </w:t>
      </w:r>
      <w:r>
        <w:t xml:space="preserve">history. Deleting the last assay row must not accidentally erase the specimen,</w:t>
      </w:r>
      <w:r>
        <w:t xml:space="preserve"> </w:t>
      </w:r>
      <w:r>
        <w:t xml:space="preserve">project, or consent context.</w:t>
      </w:r>
    </w:p>
    <w:p>
      <w:pPr>
        <w:pStyle w:val="BodyText"/>
      </w:pPr>
      <w:r>
        <w:t xml:space="preserve">BioVault therefore requires a database that can answer operational and</w:t>
      </w:r>
      <w:r>
        <w:t xml:space="preserve"> </w:t>
      </w:r>
      <w:r>
        <w:t xml:space="preserve">governance questions such as:</w:t>
      </w:r>
    </w:p>
    <w:p>
      <w:pPr>
        <w:pStyle w:val="Compact"/>
        <w:numPr>
          <w:ilvl w:val="0"/>
          <w:numId w:val="1001"/>
        </w:numPr>
      </w:pPr>
      <w:r>
        <w:t xml:space="preserve">Which accepted aliquots remain available, in what quantity, and at which exact</w:t>
      </w:r>
      <w:r>
        <w:t xml:space="preserve"> </w:t>
      </w:r>
      <w:r>
        <w:t xml:space="preserve">freezer location?</w:t>
      </w:r>
    </w:p>
    <w:p>
      <w:pPr>
        <w:pStyle w:val="Compact"/>
        <w:numPr>
          <w:ilvl w:val="0"/>
          <w:numId w:val="1001"/>
        </w:numPr>
      </w:pPr>
      <w:r>
        <w:t xml:space="preserve">Was general research use consent active on the date a specimen was consumed?</w:t>
      </w:r>
    </w:p>
    <w:p>
      <w:pPr>
        <w:pStyle w:val="Compact"/>
        <w:numPr>
          <w:ilvl w:val="0"/>
          <w:numId w:val="1001"/>
        </w:numPr>
      </w:pPr>
      <w:r>
        <w:t xml:space="preserve">Was the researcher assigned to the project on that date?</w:t>
      </w:r>
    </w:p>
    <w:p>
      <w:pPr>
        <w:pStyle w:val="Compact"/>
        <w:numPr>
          <w:ilvl w:val="0"/>
          <w:numId w:val="1001"/>
        </w:numPr>
      </w:pPr>
      <w:r>
        <w:t xml:space="preserve">Which samples and donors contributed to a project?</w:t>
      </w:r>
    </w:p>
    <w:p>
      <w:pPr>
        <w:pStyle w:val="Compact"/>
        <w:numPr>
          <w:ilvl w:val="0"/>
          <w:numId w:val="1001"/>
        </w:numPr>
      </w:pPr>
      <w:r>
        <w:t xml:space="preserve">Which test requests are pending or completed?</w:t>
      </w:r>
    </w:p>
    <w:p>
      <w:pPr>
        <w:pStyle w:val="Compact"/>
        <w:numPr>
          <w:ilvl w:val="0"/>
          <w:numId w:val="1001"/>
        </w:numPr>
      </w:pPr>
      <w:r>
        <w:t xml:space="preserve">Can an auditor reconstruct a critical change?</w:t>
      </w:r>
    </w:p>
    <w:p>
      <w:pPr>
        <w:pStyle w:val="FirstParagraph"/>
      </w:pPr>
      <w:r>
        <w:t xml:space="preserve">The project is designed for research inventory and governance, not patient care.</w:t>
      </w:r>
      <w:r>
        <w:t xml:space="preserve"> </w:t>
      </w:r>
      <w:r>
        <w:t xml:space="preserve">It does not diagnose disease, bill patients, or store direct personal</w:t>
      </w:r>
      <w:r>
        <w:t xml:space="preserve"> </w:t>
      </w:r>
      <w:r>
        <w:t xml:space="preserve">identifiers.</w:t>
      </w:r>
    </w:p>
    <w:bookmarkEnd w:id="11"/>
    <w:bookmarkStart w:id="15" w:name="scope-and-stakeholder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2. Scope and stakeholders</w:t>
      </w:r>
    </w:p>
    <w:bookmarkStart w:id="12" w:name="in-scop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2.1 In scope</w:t>
      </w:r>
    </w:p>
    <w:p>
      <w:pPr>
        <w:pStyle w:val="Compact"/>
        <w:numPr>
          <w:ilvl w:val="0"/>
          <w:numId w:val="1002"/>
        </w:numPr>
      </w:pPr>
      <w:r>
        <w:t xml:space="preserve">pseudonymous donor registration and lifecycle status;</w:t>
      </w:r>
    </w:p>
    <w:p>
      <w:pPr>
        <w:pStyle w:val="Compact"/>
        <w:numPr>
          <w:ilvl w:val="0"/>
          <w:numId w:val="1002"/>
        </w:numPr>
      </w:pPr>
      <w:r>
        <w:t xml:space="preserve">versioned, typed consent documents with dates and restrictions;</w:t>
      </w:r>
    </w:p>
    <w:p>
      <w:pPr>
        <w:pStyle w:val="Compact"/>
        <w:numPr>
          <w:ilvl w:val="0"/>
          <w:numId w:val="1002"/>
        </w:numPr>
      </w:pPr>
      <w:r>
        <w:t xml:space="preserve">researchers, approved projects, and dated project membership;</w:t>
      </w:r>
    </w:p>
    <w:p>
      <w:pPr>
        <w:pStyle w:val="Compact"/>
        <w:numPr>
          <w:ilvl w:val="0"/>
          <w:numId w:val="1002"/>
        </w:numPr>
      </w:pPr>
      <w:r>
        <w:t xml:space="preserve">collection events with collector, site, protocol, and time;</w:t>
      </w:r>
    </w:p>
    <w:p>
      <w:pPr>
        <w:pStyle w:val="Compact"/>
        <w:numPr>
          <w:ilvl w:val="0"/>
          <w:numId w:val="1002"/>
        </w:numPr>
      </w:pPr>
      <w:r>
        <w:t xml:space="preserve">sample classification, processing, quality, and status;</w:t>
      </w:r>
    </w:p>
    <w:p>
      <w:pPr>
        <w:pStyle w:val="Compact"/>
        <w:numPr>
          <w:ilvl w:val="0"/>
          <w:numId w:val="1002"/>
        </w:numPr>
      </w:pPr>
      <w:r>
        <w:t xml:space="preserve">aliquot preparation, remaining quantity, physical position, and status;</w:t>
      </w:r>
    </w:p>
    <w:p>
      <w:pPr>
        <w:pStyle w:val="Compact"/>
        <w:numPr>
          <w:ilvl w:val="0"/>
          <w:numId w:val="1002"/>
        </w:numPr>
      </w:pPr>
      <w:r>
        <w:t xml:space="preserve">hierarchical facility, freezer, rack, and box storage;</w:t>
      </w:r>
    </w:p>
    <w:p>
      <w:pPr>
        <w:pStyle w:val="Compact"/>
        <w:numPr>
          <w:ilvl w:val="0"/>
          <w:numId w:val="1002"/>
        </w:numPr>
      </w:pPr>
      <w:r>
        <w:t xml:space="preserve">laboratory test requests and results;</w:t>
      </w:r>
    </w:p>
    <w:p>
      <w:pPr>
        <w:pStyle w:val="Compact"/>
        <w:numPr>
          <w:ilvl w:val="0"/>
          <w:numId w:val="1002"/>
        </w:numPr>
      </w:pPr>
      <w:r>
        <w:t xml:space="preserve">authorized research usage and automatic stock deduction;</w:t>
      </w:r>
    </w:p>
    <w:p>
      <w:pPr>
        <w:pStyle w:val="Compact"/>
        <w:numPr>
          <w:ilvl w:val="0"/>
          <w:numId w:val="1002"/>
        </w:numPr>
      </w:pPr>
      <w:r>
        <w:t xml:space="preserve">operational views, audit history, testing, and a connected interface.</w:t>
      </w:r>
    </w:p>
    <w:bookmarkEnd w:id="12"/>
    <w:bookmarkStart w:id="13" w:name="out-of-scop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2.2 Out of scope</w:t>
      </w:r>
    </w:p>
    <w:p>
      <w:pPr>
        <w:pStyle w:val="Compact"/>
        <w:numPr>
          <w:ilvl w:val="0"/>
          <w:numId w:val="1003"/>
        </w:numPr>
      </w:pPr>
      <w:r>
        <w:t xml:space="preserve">names, national IDs, addresses, phone numbers, or contact details;</w:t>
      </w:r>
    </w:p>
    <w:p>
      <w:pPr>
        <w:pStyle w:val="Compact"/>
        <w:numPr>
          <w:ilvl w:val="0"/>
          <w:numId w:val="1003"/>
        </w:numPr>
      </w:pPr>
      <w:r>
        <w:t xml:space="preserve">clinical diagnosis and treatment;</w:t>
      </w:r>
    </w:p>
    <w:p>
      <w:pPr>
        <w:pStyle w:val="Compact"/>
        <w:numPr>
          <w:ilvl w:val="0"/>
          <w:numId w:val="1003"/>
        </w:numPr>
      </w:pPr>
      <w:r>
        <w:t xml:space="preserve">billing, insurance, or appointment scheduling;</w:t>
      </w:r>
    </w:p>
    <w:p>
      <w:pPr>
        <w:pStyle w:val="Compact"/>
        <w:numPr>
          <w:ilvl w:val="0"/>
          <w:numId w:val="1003"/>
        </w:numPr>
      </w:pPr>
      <w:r>
        <w:t xml:space="preserve">instrument control and raw genomic files;</w:t>
      </w:r>
    </w:p>
    <w:p>
      <w:pPr>
        <w:pStyle w:val="Compact"/>
        <w:numPr>
          <w:ilvl w:val="0"/>
          <w:numId w:val="1003"/>
        </w:numPr>
      </w:pPr>
      <w:r>
        <w:t xml:space="preserve">regulatory approval workflow outside the stored ethics approval code;</w:t>
      </w:r>
    </w:p>
    <w:p>
      <w:pPr>
        <w:pStyle w:val="Compact"/>
        <w:numPr>
          <w:ilvl w:val="0"/>
          <w:numId w:val="1003"/>
        </w:numPr>
      </w:pPr>
      <w:r>
        <w:t xml:space="preserve">multi-site identity linkage.</w:t>
      </w:r>
    </w:p>
    <w:bookmarkEnd w:id="13"/>
    <w:bookmarkStart w:id="14" w:name="stakeholder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2.3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Primary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Biobank manager</w:t>
            </w:r>
          </w:p>
        </w:tc>
        <w:tc>
          <w:tcPr/>
          <w:p>
            <w:pPr>
              <w:pStyle w:val="Compact"/>
            </w:pPr>
            <w:r>
              <w:t xml:space="preserve">inventory, consent visibility, auditability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scientist</w:t>
            </w:r>
          </w:p>
        </w:tc>
        <w:tc>
          <w:tcPr/>
          <w:p>
            <w:pPr>
              <w:pStyle w:val="Compact"/>
            </w:pPr>
            <w:r>
              <w:t xml:space="preserve">samples, aliquots, tests, storage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  <w:tc>
          <w:tcPr/>
          <w:p>
            <w:pPr>
              <w:pStyle w:val="Compact"/>
            </w:pPr>
            <w:r>
              <w:t xml:space="preserve">project membership and usage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specialist</w:t>
            </w:r>
          </w:p>
        </w:tc>
        <w:tc>
          <w:tcPr/>
          <w:p>
            <w:pPr>
              <w:pStyle w:val="Compact"/>
            </w:pPr>
            <w:r>
              <w:t xml:space="preserve">controlled values, rejected/quarantined material,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administrator</w:t>
            </w:r>
          </w:p>
        </w:tc>
        <w:tc>
          <w:tcPr/>
          <w:p>
            <w:pPr>
              <w:pStyle w:val="Compact"/>
            </w:pPr>
            <w:r>
              <w:t xml:space="preserve">reproducible deployment, constraints, indexes,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Instructor/auditor</w:t>
            </w:r>
          </w:p>
        </w:tc>
        <w:tc>
          <w:tcPr/>
          <w:p>
            <w:pPr>
              <w:pStyle w:val="Compact"/>
            </w:pPr>
            <w:r>
              <w:t xml:space="preserve">correct design, explainable rules, repeatable tests</w:t>
            </w:r>
          </w:p>
        </w:tc>
      </w:tr>
    </w:tbl>
    <w:bookmarkEnd w:id="14"/>
    <w:bookmarkEnd w:id="15"/>
    <w:bookmarkStart w:id="16" w:name="assumptions-and-business-rul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3. Assumptions and business rules</w:t>
      </w:r>
    </w:p>
    <w:p>
      <w:pPr>
        <w:pStyle w:val="FirstParagraph"/>
      </w:pPr>
      <w:r>
        <w:t xml:space="preserve">BioVault uses</w:t>
      </w:r>
      <w:r>
        <w:t xml:space="preserve"> </w:t>
      </w:r>
      <w:r>
        <w:rPr>
          <w:rStyle w:val="VerbatimChar"/>
        </w:rPr>
        <w:t xml:space="preserve">donor_code</w:t>
      </w:r>
      <w:r>
        <w:t xml:space="preserve"> </w:t>
      </w:r>
      <w:r>
        <w:t xml:space="preserve">as a pseudonym. A separate authorized custodian would</w:t>
      </w:r>
      <w:r>
        <w:t xml:space="preserve"> </w:t>
      </w:r>
      <w:r>
        <w:t xml:space="preserve">hold any identity-linking key; that key is not part of this project. All</w:t>
      </w:r>
      <w:r>
        <w:t xml:space="preserve"> </w:t>
      </w:r>
      <w:r>
        <w:t xml:space="preserve">timestamps are stored using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. Quantities are compared only within</w:t>
      </w:r>
      <w:r>
        <w:t xml:space="preserve"> </w:t>
      </w:r>
      <w:r>
        <w:t xml:space="preserve">the unit stored on an aliquot, and aggregate reports do not silently mix</w:t>
      </w:r>
      <w:r>
        <w:t xml:space="preserve"> </w:t>
      </w:r>
      <w:r>
        <w:t xml:space="preserve">incompatible units.</w:t>
      </w:r>
    </w:p>
    <w:p>
      <w:pPr>
        <w:pStyle w:val="BodyText"/>
      </w:pPr>
      <w:r>
        <w:t xml:space="preserve">The major rules are:</w:t>
      </w:r>
    </w:p>
    <w:p>
      <w:pPr>
        <w:pStyle w:val="Compact"/>
        <w:numPr>
          <w:ilvl w:val="0"/>
          <w:numId w:val="1004"/>
        </w:numPr>
      </w:pPr>
      <w:r>
        <w:t xml:space="preserve">Every donor code is unique and matches</w:t>
      </w:r>
      <w:r>
        <w:t xml:space="preserve"> </w:t>
      </w:r>
      <w:r>
        <w:rPr>
          <w:rStyle w:val="VerbatimChar"/>
        </w:rPr>
        <w:t xml:space="preserve">BIO-D0000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donor may have several consent types and document versions.</w:t>
      </w:r>
    </w:p>
    <w:p>
      <w:pPr>
        <w:pStyle w:val="Compact"/>
        <w:numPr>
          <w:ilvl w:val="0"/>
          <w:numId w:val="1004"/>
        </w:numPr>
      </w:pPr>
      <w:r>
        <w:t xml:space="preserve">Consent expiry cannot be earlier than grant.</w:t>
      </w:r>
    </w:p>
    <w:p>
      <w:pPr>
        <w:pStyle w:val="Compact"/>
        <w:numPr>
          <w:ilvl w:val="0"/>
          <w:numId w:val="1004"/>
        </w:numPr>
      </w:pPr>
      <w:r>
        <w:t xml:space="preserve">Every collection event has exactly one donor and collector.</w:t>
      </w:r>
    </w:p>
    <w:p>
      <w:pPr>
        <w:pStyle w:val="Compact"/>
        <w:numPr>
          <w:ilvl w:val="0"/>
          <w:numId w:val="1004"/>
        </w:numPr>
      </w:pPr>
      <w:r>
        <w:t xml:space="preserve">Every sample belongs to exactly one event and one sample type.</w:t>
      </w:r>
    </w:p>
    <w:p>
      <w:pPr>
        <w:pStyle w:val="Compact"/>
        <w:numPr>
          <w:ilvl w:val="0"/>
          <w:numId w:val="1004"/>
        </w:numPr>
      </w:pPr>
      <w:r>
        <w:t xml:space="preserve">Sample and aliquot initial quantities must be positive.</w:t>
      </w:r>
    </w:p>
    <w:p>
      <w:pPr>
        <w:pStyle w:val="Compact"/>
        <w:numPr>
          <w:ilvl w:val="0"/>
          <w:numId w:val="1004"/>
        </w:numPr>
      </w:pPr>
      <w:r>
        <w:t xml:space="preserve">Remaining aliquot quantity is between zero and its initial quantity.</w:t>
      </w:r>
    </w:p>
    <w:p>
      <w:pPr>
        <w:pStyle w:val="Compact"/>
        <w:numPr>
          <w:ilvl w:val="0"/>
          <w:numId w:val="1004"/>
        </w:numPr>
      </w:pPr>
      <w:r>
        <w:t xml:space="preserve">One storage position can contain at most one aliquot.</w:t>
      </w:r>
    </w:p>
    <w:p>
      <w:pPr>
        <w:pStyle w:val="Compact"/>
        <w:numPr>
          <w:ilvl w:val="0"/>
          <w:numId w:val="1004"/>
        </w:numPr>
      </w:pPr>
      <w:r>
        <w:t xml:space="preserve">Storage units form a self-referencing physical hierarchy.</w:t>
      </w:r>
    </w:p>
    <w:p>
      <w:pPr>
        <w:pStyle w:val="Compact"/>
        <w:numPr>
          <w:ilvl w:val="0"/>
          <w:numId w:val="1004"/>
        </w:numPr>
      </w:pPr>
      <w:r>
        <w:t xml:space="preserve">Projects and researchers have a many-to-many relationship.</w:t>
      </w:r>
    </w:p>
    <w:p>
      <w:pPr>
        <w:pStyle w:val="Compact"/>
        <w:numPr>
          <w:ilvl w:val="0"/>
          <w:numId w:val="1004"/>
        </w:numPr>
      </w:pPr>
      <w:r>
        <w:t xml:space="preserve">Each project has one lead and one unique ethics approval code.</w:t>
      </w:r>
    </w:p>
    <w:p>
      <w:pPr>
        <w:pStyle w:val="Compact"/>
        <w:numPr>
          <w:ilvl w:val="0"/>
          <w:numId w:val="1004"/>
        </w:numPr>
      </w:pPr>
      <w:r>
        <w:t xml:space="preserve">Research use requires active</w:t>
      </w:r>
      <w:r>
        <w:t xml:space="preserve"> </w:t>
      </w:r>
      <w:r>
        <w:rPr>
          <w:rStyle w:val="VerbatimChar"/>
        </w:rPr>
        <w:t xml:space="preserve">RESEARCH_USE</w:t>
      </w:r>
      <w:r>
        <w:t xml:space="preserve"> </w:t>
      </w:r>
      <w:r>
        <w:t xml:space="preserve">consent on the use date.</w:t>
      </w:r>
    </w:p>
    <w:p>
      <w:pPr>
        <w:pStyle w:val="Compact"/>
        <w:numPr>
          <w:ilvl w:val="0"/>
          <w:numId w:val="1004"/>
        </w:numPr>
      </w:pPr>
      <w:r>
        <w:t xml:space="preserve">The user must be a project member on that date.</w:t>
      </w:r>
    </w:p>
    <w:p>
      <w:pPr>
        <w:pStyle w:val="Compact"/>
        <w:numPr>
          <w:ilvl w:val="0"/>
          <w:numId w:val="1004"/>
        </w:numPr>
      </w:pPr>
      <w:r>
        <w:t xml:space="preserve">The project must be valid and authorized on that date.</w:t>
      </w:r>
    </w:p>
    <w:p>
      <w:pPr>
        <w:pStyle w:val="Compact"/>
        <w:numPr>
          <w:ilvl w:val="0"/>
          <w:numId w:val="1004"/>
        </w:numPr>
      </w:pPr>
      <w:r>
        <w:t xml:space="preserve">Inventory use is concurrency-safe and cannot overdraw an aliquot.</w:t>
      </w:r>
    </w:p>
    <w:p>
      <w:pPr>
        <w:pStyle w:val="Compact"/>
        <w:numPr>
          <w:ilvl w:val="0"/>
          <w:numId w:val="1004"/>
        </w:numPr>
      </w:pPr>
      <w:r>
        <w:t xml:space="preserve">Completed tests require a completion date on or after request.</w:t>
      </w:r>
    </w:p>
    <w:p>
      <w:pPr>
        <w:pStyle w:val="Compact"/>
        <w:numPr>
          <w:ilvl w:val="0"/>
          <w:numId w:val="1004"/>
        </w:numPr>
      </w:pPr>
      <w:r>
        <w:t xml:space="preserve">Critical operational changes are audited.</w:t>
      </w:r>
    </w:p>
    <w:p>
      <w:pPr>
        <w:pStyle w:val="Compact"/>
        <w:numPr>
          <w:ilvl w:val="0"/>
          <w:numId w:val="1004"/>
        </w:numPr>
      </w:pPr>
      <w:r>
        <w:t xml:space="preserve">Historical scientific records use restrictive deletion.</w:t>
      </w:r>
    </w:p>
    <w:bookmarkEnd w:id="16"/>
    <w:bookmarkStart w:id="21" w:name="conceptual-desig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4. Conceptual design</w:t>
      </w:r>
    </w:p>
    <w:p>
      <w:pPr>
        <w:pStyle w:val="CaptionedFigure"/>
      </w:pPr>
      <w:r>
        <w:drawing>
          <wp:inline>
            <wp:extent cx="5334000" cy="2980764"/>
            <wp:effectExtent b="0" l="0" r="0" t="0"/>
            <wp:docPr descr="BioVault ER diagram. Exact crow’s-foot source is included as diagrams/ERD.mmd." title="" id="18" name="Picture"/>
            <a:graphic>
              <a:graphicData uri="http://schemas.openxmlformats.org/drawingml/2006/picture">
                <pic:pic>
                  <pic:nvPicPr>
                    <pic:cNvPr descr="diagrams/E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BioVault ER diagram. Exact crow’s-foot source is included as diagrams/ERD.mmd.</w:t>
      </w:r>
    </w:p>
    <w:p>
      <w:pPr>
        <w:pStyle w:val="BodyText"/>
      </w:pPr>
      <w:r>
        <w:t xml:space="preserve">The conceptual model separates people and authorization, biospecimen lineage,</w:t>
      </w:r>
      <w:r>
        <w:t xml:space="preserve"> </w:t>
      </w:r>
      <w:r>
        <w:t xml:space="preserve">physical storage, testing, and consumption: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Donor/consent area:</w:t>
      </w:r>
      <w:r>
        <w:t xml:space="preserve"> </w:t>
      </w:r>
      <w:r>
        <w:rPr>
          <w:rStyle w:val="VerbatimChar"/>
        </w:rPr>
        <w:t xml:space="preserve">donors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consent_types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Scientific workforce:</w:t>
      </w:r>
      <w:r>
        <w:t xml:space="preserve"> </w:t>
      </w:r>
      <w:r>
        <w:rPr>
          <w:rStyle w:val="VerbatimChar"/>
        </w:rPr>
        <w:t xml:space="preserve">researchers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research_projects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project_researchers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Specimen lineage:</w:t>
      </w:r>
      <w:r>
        <w:t xml:space="preserve"> </w:t>
      </w:r>
      <w:r>
        <w:rPr>
          <w:rStyle w:val="VerbatimChar"/>
        </w:rPr>
        <w:t xml:space="preserve">collection_events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aliquots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recursive</w:t>
      </w:r>
      <w:r>
        <w:t xml:space="preserve"> </w:t>
      </w:r>
      <w:r>
        <w:rPr>
          <w:rStyle w:val="VerbatimChar"/>
        </w:rPr>
        <w:t xml:space="preserve">storage_units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Testing:</w:t>
      </w:r>
      <w:r>
        <w:t xml:space="preserve"> </w:t>
      </w:r>
      <w:r>
        <w:rPr>
          <w:rStyle w:val="VerbatimChar"/>
        </w:rPr>
        <w:t xml:space="preserve">test_types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test_requests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Controlled consumption:</w:t>
      </w:r>
      <w:r>
        <w:t xml:space="preserve"> </w:t>
      </w:r>
      <w:r>
        <w:rPr>
          <w:rStyle w:val="VerbatimChar"/>
        </w:rPr>
        <w:t xml:space="preserve">sample_usage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Technical history: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bookmarkStart w:id="20" w:name="relationship-and-participation-summary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4.1 Relationship and participation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grants Consent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Consent total; donor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Type classifies Consent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Consent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has Collection Event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Event total; donor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produces Sample</w:t>
            </w:r>
          </w:p>
        </w:tc>
        <w:tc>
          <w:tcPr/>
          <w:p>
            <w:pPr>
              <w:pStyle w:val="Compact"/>
            </w:pPr>
            <w:r>
              <w:t xml:space="preserve">1 : 1..many by business expectation</w:t>
            </w:r>
          </w:p>
        </w:tc>
        <w:tc>
          <w:tcPr/>
          <w:p>
            <w:pPr>
              <w:pStyle w:val="Compact"/>
            </w:pPr>
            <w:r>
              <w:t xml:space="preserve">Sample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Type classifies Sample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Sample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is divided into Aliquot</w:t>
            </w:r>
          </w:p>
        </w:tc>
        <w:tc>
          <w:tcPr/>
          <w:p>
            <w:pPr>
              <w:pStyle w:val="Compact"/>
            </w:pPr>
            <w:r>
              <w:t xml:space="preserve">1 : 1..many by process</w:t>
            </w:r>
          </w:p>
        </w:tc>
        <w:tc>
          <w:tcPr/>
          <w:p>
            <w:pPr>
              <w:pStyle w:val="Compact"/>
            </w:pPr>
            <w:r>
              <w:t xml:space="preserve">Aliquot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Unit stores Aliquot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Aliquot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Unit contains Unit</w:t>
            </w:r>
          </w:p>
        </w:tc>
        <w:tc>
          <w:tcPr/>
          <w:p>
            <w:pPr>
              <w:pStyle w:val="Compact"/>
            </w:pPr>
            <w:r>
              <w:t xml:space="preserve">0..1 : 0..many</w:t>
            </w:r>
          </w:p>
        </w:tc>
        <w:tc>
          <w:tcPr/>
          <w:p>
            <w:pPr>
              <w:pStyle w:val="Compact"/>
            </w:pPr>
            <w:r>
              <w:t xml:space="preserve">root parent is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has Researcher</w:t>
            </w:r>
          </w:p>
        </w:tc>
        <w:tc>
          <w:tcPr/>
          <w:p>
            <w:pPr>
              <w:pStyle w:val="Compact"/>
            </w:pPr>
            <w:r>
              <w:t xml:space="preserve">many : many</w:t>
            </w:r>
          </w:p>
        </w:tc>
        <w:tc>
          <w:tcPr/>
          <w:p>
            <w:pPr>
              <w:pStyle w:val="Compact"/>
            </w:pPr>
            <w:r>
              <w:t xml:space="preserve">resolved by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undergoes Test Request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Request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Aliquot is consumed in Usage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Usage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authorizes Usage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Usage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 records Usage</w:t>
            </w:r>
          </w:p>
        </w:tc>
        <w:tc>
          <w:tcPr/>
          <w:p>
            <w:pPr>
              <w:pStyle w:val="Compact"/>
            </w:pPr>
            <w:r>
              <w:t xml:space="preserve">1 : 0..many</w:t>
            </w:r>
          </w:p>
        </w:tc>
        <w:tc>
          <w:tcPr/>
          <w:p>
            <w:pPr>
              <w:pStyle w:val="Compact"/>
            </w:pPr>
            <w:r>
              <w:t xml:space="preserve">Usage total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NOT NULL</w:t>
      </w:r>
      <w:r>
        <w:t xml:space="preserve"> </w:t>
      </w:r>
      <w:r>
        <w:t xml:space="preserve">foreign keys enforce total child participation. Optional participation</w:t>
      </w:r>
      <w:r>
        <w:t xml:space="preserve"> </w:t>
      </w:r>
      <w:r>
        <w:t xml:space="preserve">is represented by a nullable key, as with an optional project on a test request,</w:t>
      </w:r>
      <w:r>
        <w:t xml:space="preserve"> </w:t>
      </w:r>
      <w:r>
        <w:t xml:space="preserve">or by the absence of a child row.</w:t>
      </w:r>
    </w:p>
    <w:bookmarkEnd w:id="20"/>
    <w:bookmarkEnd w:id="21"/>
    <w:bookmarkStart w:id="22" w:name="entities-attributes-and-key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5. Entities, attributes, and 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Candidate keys and main descriptive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donor_code</w:t>
            </w:r>
            <w:r>
              <w:t xml:space="preserve">; sex, birth year, blood type, ethnicity,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consent_code</w:t>
            </w:r>
            <w:r>
              <w:t xml:space="preserve">; name,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consent_id</w:t>
            </w:r>
          </w:p>
        </w:tc>
        <w:tc>
          <w:tcPr/>
          <w:p>
            <w:pPr>
              <w:pStyle w:val="Compact"/>
            </w:pPr>
            <w:r>
              <w:t xml:space="preserve">donor/type/version; dates, status,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researcher_id</w:t>
            </w:r>
          </w:p>
        </w:tc>
        <w:tc>
          <w:tcPr/>
          <w:p>
            <w:pPr>
              <w:pStyle w:val="Compact"/>
            </w:pPr>
            <w:r>
              <w:t xml:space="preserve">code, email; name, institution,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project code, ethics code; title, dates,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Researcher</w:t>
            </w:r>
          </w:p>
        </w:tc>
        <w:tc>
          <w:tcPr/>
          <w:p>
            <w:pPr>
              <w:pStyle w:val="Compact"/>
            </w:pPr>
            <w:r>
              <w:t xml:space="preserve">project + researcher</w:t>
            </w:r>
          </w:p>
        </w:tc>
        <w:tc>
          <w:tcPr/>
          <w:p>
            <w:pPr>
              <w:pStyle w:val="Compact"/>
            </w:pPr>
            <w:r>
              <w:t xml:space="preserve">role and membership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sample_type_id</w:t>
            </w:r>
          </w:p>
        </w:tc>
        <w:tc>
          <w:tcPr/>
          <w:p>
            <w:pPr>
              <w:pStyle w:val="Compact"/>
            </w:pPr>
            <w:r>
              <w:t xml:space="preserve">type code; name, unit, storage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collection_event_id</w:t>
            </w:r>
          </w:p>
        </w:tc>
        <w:tc>
          <w:tcPr/>
          <w:p>
            <w:pPr>
              <w:pStyle w:val="Compact"/>
            </w:pPr>
            <w:r>
              <w:t xml:space="preserve">event code; donor, collector, time, site,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sample code; event, type, quantity, quality/status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storage_unit_id</w:t>
            </w:r>
          </w:p>
        </w:tc>
        <w:tc>
          <w:tcPr/>
          <w:p>
            <w:pPr>
              <w:pStyle w:val="Compact"/>
            </w:pPr>
            <w:r>
              <w:t xml:space="preserve">location code; parent, type, temperature,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Aliquot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aliquot_id</w:t>
            </w:r>
          </w:p>
        </w:tc>
        <w:tc>
          <w:tcPr/>
          <w:p>
            <w:pPr>
              <w:pStyle w:val="Compact"/>
            </w:pPr>
            <w:r>
              <w:t xml:space="preserve">aliquot code and storage position; quantities/status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test_type_id</w:t>
            </w:r>
          </w:p>
        </w:tc>
        <w:tc>
          <w:tcPr/>
          <w:p>
            <w:pPr>
              <w:pStyle w:val="Compact"/>
            </w:pPr>
            <w:r>
              <w:t xml:space="preserve">test code; name and result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test_request_id</w:t>
            </w:r>
          </w:p>
        </w:tc>
        <w:tc>
          <w:tcPr/>
          <w:p>
            <w:pPr>
              <w:pStyle w:val="Compact"/>
            </w:pPr>
            <w:r>
              <w:t xml:space="preserve">request code; sample, test, requester, dates/result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usage_id</w:t>
            </w:r>
          </w:p>
        </w:tc>
        <w:tc>
          <w:tcPr/>
          <w:p>
            <w:pPr>
              <w:pStyle w:val="Compact"/>
            </w:pPr>
            <w:r>
              <w:t xml:space="preserve">aliquot, project, researcher, date, quantity,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logical table/record pair; before/after JSON and actor</w:t>
            </w:r>
          </w:p>
        </w:tc>
      </w:tr>
    </w:tbl>
    <w:p>
      <w:pPr>
        <w:pStyle w:val="BodyText"/>
      </w:pPr>
      <w:r>
        <w:t xml:space="preserve">Identity primary keys make joins compact and stable. Human-readable codes are</w:t>
      </w:r>
      <w:r>
        <w:t xml:space="preserve"> </w:t>
      </w:r>
      <w:r>
        <w:t xml:space="preserve">retained as unique candidate keys. Foreign-key columns are explicitly indexed</w:t>
      </w:r>
      <w:r>
        <w:t xml:space="preserve"> </w:t>
      </w:r>
      <w:r>
        <w:t xml:space="preserve">when they support expected joins.</w:t>
      </w:r>
    </w:p>
    <w:bookmarkEnd w:id="22"/>
    <w:bookmarkStart w:id="27" w:name="relational-mapping-and-normaliz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6. Relational mapping and normalization</w:t>
      </w:r>
    </w:p>
    <w:bookmarkStart w:id="23" w:name="relational-mapping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6.1 Relational mapping</w:t>
      </w:r>
    </w:p>
    <w:p>
      <w:pPr>
        <w:pStyle w:val="FirstParagraph"/>
      </w:pPr>
      <w:r>
        <w:t xml:space="preserve">Strong entities became tables with identity primary keys. One-to-many</w:t>
      </w:r>
      <w:r>
        <w:t xml:space="preserve"> </w:t>
      </w:r>
      <w:r>
        <w:t xml:space="preserve">relationships place a foreign key on the many side: for example,</w:t>
      </w:r>
      <w:r>
        <w:t xml:space="preserve"> </w:t>
      </w:r>
      <w:r>
        <w:rPr>
          <w:rStyle w:val="VerbatimChar"/>
        </w:rPr>
        <w:t xml:space="preserve">collection_events.donor_id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samples.collection_event_id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aliquots.sample_id</w:t>
      </w:r>
      <w:r>
        <w:t xml:space="preserve">.</w:t>
      </w:r>
    </w:p>
    <w:p>
      <w:pPr>
        <w:pStyle w:val="BodyText"/>
      </w:pPr>
      <w:r>
        <w:t xml:space="preserve">The project/researcher many-to-many relationship became</w:t>
      </w:r>
      <w:r>
        <w:t xml:space="preserve"> </w:t>
      </w:r>
      <w:r>
        <w:rPr>
          <w:rStyle w:val="VerbatimChar"/>
        </w:rPr>
        <w:t xml:space="preserve">project_researchers(project_id, researcher_id, project_role, joined_on, left_on)</w:t>
      </w:r>
      <w:r>
        <w:t xml:space="preserve">. Its composite primary key prevents duplicate membership while its</w:t>
      </w:r>
      <w:r>
        <w:t xml:space="preserve"> </w:t>
      </w:r>
      <w:r>
        <w:t xml:space="preserve">attributes describe the relationship itself.</w:t>
      </w:r>
    </w:p>
    <w:p>
      <w:pPr>
        <w:pStyle w:val="BodyText"/>
      </w:pPr>
      <w:r>
        <w:t xml:space="preserve">The storage hierarchy became a recursive relationship through</w:t>
      </w:r>
      <w:r>
        <w:t xml:space="preserve"> </w:t>
      </w:r>
      <w:r>
        <w:rPr>
          <w:rStyle w:val="VerbatimChar"/>
        </w:rPr>
        <w:t xml:space="preserve">storage_units.parent_storage_unit_id</w:t>
      </w:r>
      <w:r>
        <w:t xml:space="preserve">. This supports arbitrary physical depth</w:t>
      </w:r>
      <w:r>
        <w:t xml:space="preserve"> </w:t>
      </w:r>
      <w:r>
        <w:t xml:space="preserve">without separate tables for every freezer/rack/box level. Query 9 reconstructs</w:t>
      </w:r>
      <w:r>
        <w:t xml:space="preserve"> </w:t>
      </w:r>
      <w:r>
        <w:t xml:space="preserve">complete paths with a recursive CTE.</w:t>
      </w:r>
    </w:p>
    <w:bookmarkEnd w:id="23"/>
    <w:bookmarkStart w:id="24" w:name="first-normal-form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6.2 First Normal Form</w:t>
      </w:r>
    </w:p>
    <w:p>
      <w:pPr>
        <w:pStyle w:val="FirstParagraph"/>
      </w:pPr>
      <w:r>
        <w:t xml:space="preserve">All attributes are atomic. Repeating consents, project members, aliquots, tests,</w:t>
      </w:r>
      <w:r>
        <w:t xml:space="preserve"> </w:t>
      </w:r>
      <w:r>
        <w:t xml:space="preserve">and usages were separated into their own rows and relations. Each table has a</w:t>
      </w:r>
      <w:r>
        <w:t xml:space="preserve"> </w:t>
      </w:r>
      <w:r>
        <w:t xml:space="preserve">declared key.</w:t>
      </w:r>
    </w:p>
    <w:bookmarkEnd w:id="24"/>
    <w:bookmarkStart w:id="25" w:name="second-normal-form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6.3 Second Normal Form</w:t>
      </w:r>
    </w:p>
    <w:p>
      <w:pPr>
        <w:pStyle w:val="FirstParagraph"/>
      </w:pPr>
      <w:r>
        <w:t xml:space="preserve">Most tables have a single-column primary key. In the composite bridge, role and</w:t>
      </w:r>
      <w:r>
        <w:t xml:space="preserve"> </w:t>
      </w:r>
      <w:r>
        <w:t xml:space="preserve">membership dates depend on the complete</w:t>
      </w:r>
      <w:r>
        <w:t xml:space="preserve"> </w:t>
      </w:r>
      <w:r>
        <w:rPr>
          <w:rStyle w:val="VerbatimChar"/>
        </w:rPr>
        <w:t xml:space="preserve">(project_id, researcher_id)</w:t>
      </w:r>
      <w:r>
        <w:t xml:space="preserve"> </w:t>
      </w:r>
      <w:r>
        <w:t xml:space="preserve">key.</w:t>
      </w:r>
      <w:r>
        <w:t xml:space="preserve"> </w:t>
      </w:r>
      <w:r>
        <w:t xml:space="preserve">Researcher facts are not copied into that table, and project facts are not</w:t>
      </w:r>
      <w:r>
        <w:t xml:space="preserve"> </w:t>
      </w:r>
      <w:r>
        <w:t xml:space="preserve">copied into it.</w:t>
      </w:r>
    </w:p>
    <w:bookmarkEnd w:id="25"/>
    <w:bookmarkStart w:id="26" w:name="third-normal-form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6.4 Third Normal Form</w:t>
      </w:r>
    </w:p>
    <w:p>
      <w:pPr>
        <w:pStyle w:val="FirstParagraph"/>
      </w:pPr>
      <w:r>
        <w:t xml:space="preserve">Lookup facts are separated by determinant:</w:t>
      </w:r>
    </w:p>
    <w:p>
      <w:pPr>
        <w:pStyle w:val="Compact"/>
        <w:numPr>
          <w:ilvl w:val="0"/>
          <w:numId w:val="1006"/>
        </w:numPr>
      </w:pPr>
      <w:r>
        <w:t xml:space="preserve">consent name depends on</w:t>
      </w:r>
      <w:r>
        <w:t xml:space="preserve"> </w:t>
      </w:r>
      <w:r>
        <w:rPr>
          <w:rStyle w:val="VerbatimChar"/>
        </w:rPr>
        <w:t xml:space="preserve">consent_type_id</w:t>
      </w:r>
      <w:r>
        <w:t xml:space="preserve">, not on a consent record;</w:t>
      </w:r>
    </w:p>
    <w:p>
      <w:pPr>
        <w:pStyle w:val="Compact"/>
        <w:numPr>
          <w:ilvl w:val="0"/>
          <w:numId w:val="1006"/>
        </w:numPr>
      </w:pPr>
      <w:r>
        <w:t xml:space="preserve">sample name, unit, and storage range depend on</w:t>
      </w:r>
      <w:r>
        <w:t xml:space="preserve"> </w:t>
      </w:r>
      <w:r>
        <w:rPr>
          <w:rStyle w:val="VerbatimChar"/>
        </w:rPr>
        <w:t xml:space="preserve">sample_type_id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test name and result unit depend on</w:t>
      </w:r>
      <w:r>
        <w:t xml:space="preserve"> </w:t>
      </w:r>
      <w:r>
        <w:rPr>
          <w:rStyle w:val="VerbatimChar"/>
        </w:rPr>
        <w:t xml:space="preserve">test_type_id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donor information is reached from a sample through its collection event;</w:t>
      </w:r>
    </w:p>
    <w:p>
      <w:pPr>
        <w:pStyle w:val="Compact"/>
        <w:numPr>
          <w:ilvl w:val="0"/>
          <w:numId w:val="1006"/>
        </w:numPr>
      </w:pPr>
      <w:r>
        <w:t xml:space="preserve">storage descriptions depend on</w:t>
      </w:r>
      <w:r>
        <w:t xml:space="preserve"> </w:t>
      </w:r>
      <w:r>
        <w:rPr>
          <w:rStyle w:val="VerbatimChar"/>
        </w:rPr>
        <w:t xml:space="preserve">storage_unit_id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project and researcher descriptions are not copied into</w:t>
      </w:r>
      <w:r>
        <w:t xml:space="preserve"> </w:t>
      </w:r>
      <w:r>
        <w:rPr>
          <w:rStyle w:val="VerbatimChar"/>
        </w:rPr>
        <w:t xml:space="preserve">sample_usage</w:t>
      </w:r>
      <w:r>
        <w:t xml:space="preserve">.</w:t>
      </w:r>
    </w:p>
    <w:p>
      <w:pPr>
        <w:pStyle w:val="FirstParagraph"/>
      </w:pPr>
      <w:r>
        <w:t xml:space="preserve">Therefore non-key attributes depend on the key, the whole key, and nothing but</w:t>
      </w:r>
      <w:r>
        <w:t xml:space="preserve"> </w:t>
      </w:r>
      <w:r>
        <w:t xml:space="preserve">the key.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is an intentional technical exception: JSON snapshots</w:t>
      </w:r>
      <w:r>
        <w:t xml:space="preserve"> </w:t>
      </w:r>
      <w:r>
        <w:t xml:space="preserve">are stored specifically to preserve the exact historical row state, not to act</w:t>
      </w:r>
      <w:r>
        <w:t xml:space="preserve"> </w:t>
      </w:r>
      <w:r>
        <w:t xml:space="preserve">as master data.</w:t>
      </w:r>
    </w:p>
    <w:bookmarkEnd w:id="26"/>
    <w:bookmarkEnd w:id="27"/>
    <w:bookmarkStart w:id="31" w:name="postgresql-implement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7. PostgreSQL implementation</w:t>
      </w:r>
    </w:p>
    <w:p>
      <w:pPr>
        <w:pStyle w:val="FirstParagraph"/>
      </w:pPr>
      <w:r>
        <w:t xml:space="preserve">The implementation is divided into deterministic scripts: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create_tables.sql</w:t>
      </w:r>
      <w:r>
        <w:t xml:space="preserve"> </w:t>
      </w:r>
      <w:r>
        <w:t xml:space="preserve">recreates the</w:t>
      </w:r>
      <w:r>
        <w:t xml:space="preserve"> </w:t>
      </w:r>
      <w:r>
        <w:rPr>
          <w:rStyle w:val="VerbatimChar"/>
        </w:rPr>
        <w:t xml:space="preserve">biobank</w:t>
      </w:r>
      <w:r>
        <w:t xml:space="preserve"> </w:t>
      </w:r>
      <w:r>
        <w:t xml:space="preserve">schema, tables, constraints, and</w:t>
      </w:r>
      <w:r>
        <w:t xml:space="preserve"> </w:t>
      </w:r>
      <w:r>
        <w:t xml:space="preserve">indexes.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triggers_procedures.sql</w:t>
      </w:r>
      <w:r>
        <w:t xml:space="preserve"> </w:t>
      </w:r>
      <w:r>
        <w:t xml:space="preserve">installs timestamps, usage validation, inventory</w:t>
      </w:r>
      <w:r>
        <w:t xml:space="preserve"> </w:t>
      </w:r>
      <w:r>
        <w:t xml:space="preserve">deduction, the public function, and audit triggers.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load_data.sql</w:t>
      </w:r>
      <w:r>
        <w:t xml:space="preserve"> </w:t>
      </w:r>
      <w:r>
        <w:t xml:space="preserve">loads synthetic records and calls the real usage function.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views.sql</w:t>
      </w:r>
      <w:r>
        <w:t xml:space="preserve"> </w:t>
      </w:r>
      <w:r>
        <w:t xml:space="preserve">creates the three read models.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setup.sql</w:t>
      </w:r>
      <w:r>
        <w:t xml:space="preserve"> </w:t>
      </w:r>
      <w:r>
        <w:t xml:space="preserve">executes all files in the correct order.</w:t>
      </w:r>
    </w:p>
    <w:bookmarkStart w:id="28" w:name="data-type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7.1 Data types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BIGINT ... AS IDENTITY</w:t>
      </w:r>
      <w:r>
        <w:t xml:space="preserve"> </w:t>
      </w:r>
      <w:r>
        <w:t xml:space="preserve">supports compact generated primary keys.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NUMERIC(14,3)</w:t>
      </w:r>
      <w:r>
        <w:t xml:space="preserve"> </w:t>
      </w:r>
      <w:r>
        <w:t xml:space="preserve">protects quantities from binary floating-point error and</w:t>
      </w:r>
      <w:r>
        <w:t xml:space="preserve"> </w:t>
      </w:r>
      <w:r>
        <w:t xml:space="preserve">permits cell counts above ten million.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models consent, project, and administrative validity.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TIMESTAMPTZ</w:t>
      </w:r>
      <w:r>
        <w:t xml:space="preserve"> </w:t>
      </w:r>
      <w:r>
        <w:t xml:space="preserve">models real-world event time.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JSONB</w:t>
      </w:r>
      <w:r>
        <w:t xml:space="preserve"> </w:t>
      </w:r>
      <w:r>
        <w:t xml:space="preserve">stores audit snapshots with PostgreSQL-native structure.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BOOLEAN</w:t>
      </w:r>
      <w:r>
        <w:t xml:space="preserve"> </w:t>
      </w:r>
      <w:r>
        <w:t xml:space="preserve">stores active flags.</w:t>
      </w:r>
    </w:p>
    <w:bookmarkEnd w:id="28"/>
    <w:bookmarkStart w:id="29" w:name="integrity-constraint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7.2 Integrity constraints</w:t>
      </w:r>
    </w:p>
    <w:p>
      <w:pPr>
        <w:pStyle w:val="FirstParagraph"/>
      </w:pPr>
      <w:r>
        <w:t xml:space="preserve">The DDL names each important constraint. Examples include: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ck_aliquots_quantities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initial_quantity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current_quantity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initial_quantity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uq_aliquots_position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(storage_unit_id, position_code)</w:t>
      </w:r>
    </w:p>
    <w:p>
      <w:pPr>
        <w:pStyle w:val="FirstParagraph"/>
      </w:pPr>
      <w:r>
        <w:t xml:space="preserve">Foreign keys use restrictive deletion for donor/specimen history. Cascading</w:t>
      </w:r>
      <w:r>
        <w:t xml:space="preserve"> </w:t>
      </w:r>
      <w:r>
        <w:t xml:space="preserve">deletion is used only for project membership, which cannot exist without its</w:t>
      </w:r>
      <w:r>
        <w:t xml:space="preserve"> </w:t>
      </w:r>
      <w:r>
        <w:t xml:space="preserve">project.</w:t>
      </w:r>
    </w:p>
    <w:bookmarkEnd w:id="29"/>
    <w:bookmarkStart w:id="30" w:name="indexes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7.3 Indexes</w:t>
      </w:r>
    </w:p>
    <w:p>
      <w:pPr>
        <w:pStyle w:val="FirstParagraph"/>
      </w:pPr>
      <w:r>
        <w:t xml:space="preserve">Thirteen targeted indexes support consent validity checks, donor event history,</w:t>
      </w:r>
      <w:r>
        <w:t xml:space="preserve"> </w:t>
      </w:r>
      <w:r>
        <w:t xml:space="preserve">sample status, storage traversal, sample-to-aliquot lookup, test workflow,</w:t>
      </w:r>
      <w:r>
        <w:t xml:space="preserve"> </w:t>
      </w:r>
      <w:r>
        <w:t xml:space="preserve">project usage, membership lookup, and audit history. A partial index covers</w:t>
      </w:r>
      <w:r>
        <w:t xml:space="preserve"> </w:t>
      </w:r>
      <w:r>
        <w:t xml:space="preserve">available aliquots with stock: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idx_aliquots_availability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aliquots (aliquot_status, current_quantity)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aliquot_status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;</w:t>
      </w:r>
    </w:p>
    <w:bookmarkEnd w:id="30"/>
    <w:bookmarkEnd w:id="31"/>
    <w:bookmarkStart w:id="32" w:name="test-data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8. Test data</w:t>
      </w:r>
    </w:p>
    <w:p>
      <w:pPr>
        <w:pStyle w:val="FirstParagraph"/>
      </w:pPr>
      <w:r>
        <w:t xml:space="preserve">The data is synthetic, internally coherent, and deliberately includes boundary</w:t>
      </w:r>
      <w:r>
        <w:t xml:space="preserve"> </w:t>
      </w:r>
      <w:r>
        <w:t xml:space="preserve">states: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Main 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projects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memberships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units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Aliquots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requests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usage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Lookup tables have four consent types, eight sample types, and six test types,</w:t>
      </w:r>
      <w:r>
        <w:t xml:space="preserve"> </w:t>
      </w:r>
      <w:r>
        <w:t xml:space="preserve">which is logically sufficient. Donor 11 has expired research consent and donor</w:t>
      </w:r>
      <w:r>
        <w:t xml:space="preserve"> </w:t>
      </w:r>
      <w:r>
        <w:t xml:space="preserve">12 has withdrawn consent; their samples remain for traceability but research use</w:t>
      </w:r>
      <w:r>
        <w:t xml:space="preserve"> </w:t>
      </w:r>
      <w:r>
        <w:t xml:space="preserve">is blocked. Test requests cover requested, in-progress, completed, and cancelled</w:t>
      </w:r>
      <w:r>
        <w:t xml:space="preserve"> </w:t>
      </w:r>
      <w:r>
        <w:t xml:space="preserve">states. Storage spans -20 °C, -80 °C, and liquid-nitrogen locations.</w:t>
      </w:r>
    </w:p>
    <w:bookmarkEnd w:id="32"/>
    <w:bookmarkStart w:id="33" w:name="sql-operation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9. SQL operations</w:t>
      </w:r>
    </w:p>
    <w:p>
      <w:pPr>
        <w:pStyle w:val="FirstParagraph"/>
      </w:pPr>
      <w:r>
        <w:rPr>
          <w:rStyle w:val="VerbatimChar"/>
        </w:rPr>
        <w:t xml:space="preserve">queries.sql</w:t>
      </w:r>
      <w:r>
        <w:t xml:space="preserve"> </w:t>
      </w:r>
      <w:r>
        <w:t xml:space="preserve">contains sixteen repeatable demonstrations:</w:t>
      </w:r>
    </w:p>
    <w:p>
      <w:pPr>
        <w:pStyle w:val="Compact"/>
        <w:numPr>
          <w:ilvl w:val="0"/>
          <w:numId w:val="1009"/>
        </w:numPr>
      </w:pPr>
      <w:r>
        <w:t xml:space="preserve">accepted/available sample retrieval;</w:t>
      </w:r>
    </w:p>
    <w:p>
      <w:pPr>
        <w:pStyle w:val="Compact"/>
        <w:numPr>
          <w:ilvl w:val="0"/>
          <w:numId w:val="1009"/>
        </w:numPr>
      </w:pPr>
      <w:r>
        <w:t xml:space="preserve">six-table lineage and location join;</w:t>
      </w:r>
    </w:p>
    <w:p>
      <w:pPr>
        <w:pStyle w:val="Compact"/>
        <w:numPr>
          <w:ilvl w:val="0"/>
          <w:numId w:val="1009"/>
        </w:numPr>
      </w:pPr>
      <w:r>
        <w:t xml:space="preserve">many-to-many project membership join;</w:t>
      </w:r>
    </w:p>
    <w:p>
      <w:pPr>
        <w:pStyle w:val="Compact"/>
        <w:numPr>
          <w:ilvl w:val="0"/>
          <w:numId w:val="1009"/>
        </w:numPr>
      </w:pPr>
      <w:r>
        <w:t xml:space="preserve">type-level sample and aliquot aggregation;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 BY ... HAVING</w:t>
      </w:r>
      <w:r>
        <w:t xml:space="preserve"> </w:t>
      </w:r>
      <w:r>
        <w:t xml:space="preserve">for projects using multiple donors;</w:t>
      </w:r>
    </w:p>
    <w:p>
      <w:pPr>
        <w:pStyle w:val="Compact"/>
        <w:numPr>
          <w:ilvl w:val="0"/>
          <w:numId w:val="1009"/>
        </w:numPr>
      </w:pPr>
      <w:r>
        <w:t xml:space="preserve">correlated subquery against unit-specific average stock;</w:t>
      </w:r>
    </w:p>
    <w:p>
      <w:pPr>
        <w:pStyle w:val="Compact"/>
        <w:numPr>
          <w:ilvl w:val="0"/>
          <w:numId w:val="1009"/>
        </w:numPr>
      </w:pPr>
      <w:r>
        <w:t xml:space="preserve">two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predicates for material plus consent;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DENSE_RANK</w:t>
      </w:r>
      <w:r>
        <w:t xml:space="preserve"> </w:t>
      </w:r>
      <w:r>
        <w:t xml:space="preserve">window reporting;</w:t>
      </w:r>
    </w:p>
    <w:p>
      <w:pPr>
        <w:pStyle w:val="Compact"/>
        <w:numPr>
          <w:ilvl w:val="0"/>
          <w:numId w:val="1009"/>
        </w:numPr>
      </w:pPr>
      <w:r>
        <w:t xml:space="preserve">recursive storage-path CTE;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CASE</w:t>
      </w:r>
      <w:r>
        <w:t xml:space="preserve"> </w:t>
      </w:r>
      <w:r>
        <w:t xml:space="preserve">operational stock classification;</w:t>
      </w:r>
    </w:p>
    <w:p>
      <w:pPr>
        <w:pStyle w:val="Compact"/>
        <w:numPr>
          <w:ilvl w:val="0"/>
          <w:numId w:val="1009"/>
        </w:numPr>
      </w:pPr>
      <w:r>
        <w:t xml:space="preserve">direct use of the inventory view;</w:t>
      </w:r>
    </w:p>
    <w:p>
      <w:pPr>
        <w:pStyle w:val="Compact"/>
        <w:numPr>
          <w:ilvl w:val="0"/>
          <w:numId w:val="1009"/>
        </w:numPr>
      </w:pPr>
      <w:r>
        <w:t xml:space="preserve">filtered average test turnaround;</w:t>
      </w:r>
    </w:p>
    <w:p>
      <w:pPr>
        <w:pStyle w:val="Compact"/>
        <w:numPr>
          <w:ilvl w:val="0"/>
          <w:numId w:val="1009"/>
        </w:numPr>
      </w:pPr>
      <w:r>
        <w:t xml:space="preserve">reversible insert, update, and delete;</w:t>
      </w:r>
    </w:p>
    <w:p>
      <w:pPr>
        <w:pStyle w:val="Compact"/>
        <w:numPr>
          <w:ilvl w:val="0"/>
          <w:numId w:val="1009"/>
        </w:numPr>
      </w:pPr>
      <w:r>
        <w:t xml:space="preserve">reversible business-function execution.</w:t>
      </w:r>
    </w:p>
    <w:p>
      <w:pPr>
        <w:pStyle w:val="FirstParagraph"/>
      </w:pPr>
      <w:r>
        <w:t xml:space="preserve">All modification demonstrations run inside</w:t>
      </w:r>
      <w:r>
        <w:t xml:space="preserve"> </w:t>
      </w:r>
      <w:r>
        <w:rPr>
          <w:rStyle w:val="VerbatimChar"/>
        </w:rPr>
        <w:t xml:space="preserve">BEGIN ... ROLLBACK</w:t>
      </w:r>
      <w:r>
        <w:t xml:space="preserve">, so the script</w:t>
      </w:r>
      <w:r>
        <w:t xml:space="preserve"> </w:t>
      </w:r>
      <w:r>
        <w:t xml:space="preserve">can be repeated during defense without changing the submitted dataset.</w:t>
      </w:r>
    </w:p>
    <w:bookmarkEnd w:id="33"/>
    <w:bookmarkStart w:id="37" w:name="views-and-advanced-database-object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10. Views and advanced database objects</w:t>
      </w:r>
    </w:p>
    <w:bookmarkStart w:id="34" w:name="views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10.1 Views</w:t>
      </w:r>
    </w:p>
    <w:p>
      <w:pPr>
        <w:pStyle w:val="FirstParagraph"/>
      </w:pPr>
      <w:r>
        <w:rPr>
          <w:rStyle w:val="VerbatimChar"/>
        </w:rPr>
        <w:t xml:space="preserve">v_available_inventory</w:t>
      </w:r>
      <w:r>
        <w:t xml:space="preserve"> </w:t>
      </w:r>
      <w:r>
        <w:t xml:space="preserve">joins accepted samples, remaining aliquots, sample type,</w:t>
      </w:r>
      <w:r>
        <w:t xml:space="preserve"> </w:t>
      </w:r>
      <w:r>
        <w:t xml:space="preserve">donor code, collection event, and physical location. It is the natural read model</w:t>
      </w:r>
      <w:r>
        <w:t xml:space="preserve"> </w:t>
      </w:r>
      <w:r>
        <w:t xml:space="preserve">for inventory search.</w:t>
      </w:r>
    </w:p>
    <w:p>
      <w:pPr>
        <w:pStyle w:val="BodyText"/>
      </w:pPr>
      <w:r>
        <w:rPr>
          <w:rStyle w:val="VerbatimChar"/>
        </w:rPr>
        <w:t xml:space="preserve">v_project_usage_summary</w:t>
      </w:r>
      <w:r>
        <w:t xml:space="preserve"> </w:t>
      </w:r>
      <w:r>
        <w:t xml:space="preserve">reports usage events, distinct samples, distinct</w:t>
      </w:r>
      <w:r>
        <w:t xml:space="preserve"> </w:t>
      </w:r>
      <w:r>
        <w:t xml:space="preserve">donors, and total quantity for every project, including projects with no usage.</w:t>
      </w:r>
    </w:p>
    <w:p>
      <w:pPr>
        <w:pStyle w:val="BodyText"/>
      </w:pPr>
      <w:r>
        <w:rPr>
          <w:rStyle w:val="VerbatimChar"/>
        </w:rPr>
        <w:t xml:space="preserve">v_donor_consent_status</w:t>
      </w:r>
      <w:r>
        <w:t xml:space="preserve"> </w:t>
      </w:r>
      <w:r>
        <w:t xml:space="preserve">exposes a current Boolean research-consent flag and</w:t>
      </w:r>
      <w:r>
        <w:t xml:space="preserve"> </w:t>
      </w:r>
      <w:r>
        <w:t xml:space="preserve">latest expiry without exposing direct identity.</w:t>
      </w:r>
    </w:p>
    <w:bookmarkEnd w:id="34"/>
    <w:bookmarkStart w:id="35" w:name="consent-and-inventory-trigger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10.2 Consent and inventory trigger</w:t>
      </w:r>
    </w:p>
    <w:p>
      <w:pPr>
        <w:pStyle w:val="FirstParagraph"/>
      </w:pPr>
      <w:r>
        <w:t xml:space="preserve">The intended consumption entry point is: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record_sample_usage(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'2026-06-15'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'Defense demonstration'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Before the row is inserted,</w:t>
      </w:r>
      <w:r>
        <w:t xml:space="preserve"> </w:t>
      </w:r>
      <w:r>
        <w:rPr>
          <w:rStyle w:val="VerbatimChar"/>
        </w:rPr>
        <w:t xml:space="preserve">fn_validate_and_apply_sample_usage()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selects and locks the aliquot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rejects missing, exhausted, or destroyed stock;</w:t>
      </w:r>
    </w:p>
    <w:p>
      <w:pPr>
        <w:pStyle w:val="Compact"/>
        <w:numPr>
          <w:ilvl w:val="0"/>
          <w:numId w:val="1010"/>
        </w:numPr>
      </w:pPr>
      <w:r>
        <w:t xml:space="preserve">rejects a requested quantity above the remaining quantity;</w:t>
      </w:r>
    </w:p>
    <w:p>
      <w:pPr>
        <w:pStyle w:val="Compact"/>
        <w:numPr>
          <w:ilvl w:val="0"/>
          <w:numId w:val="1010"/>
        </w:numPr>
      </w:pPr>
      <w:r>
        <w:t xml:space="preserve">validates project dates and status;</w:t>
      </w:r>
    </w:p>
    <w:p>
      <w:pPr>
        <w:pStyle w:val="Compact"/>
        <w:numPr>
          <w:ilvl w:val="0"/>
          <w:numId w:val="1010"/>
        </w:numPr>
      </w:pPr>
      <w:r>
        <w:t xml:space="preserve">validates dated project membership;</w:t>
      </w:r>
    </w:p>
    <w:p>
      <w:pPr>
        <w:pStyle w:val="Compact"/>
        <w:numPr>
          <w:ilvl w:val="0"/>
          <w:numId w:val="1010"/>
        </w:numPr>
      </w:pPr>
      <w:r>
        <w:t xml:space="preserve">validates active general research consent on the use date;</w:t>
      </w:r>
    </w:p>
    <w:p>
      <w:pPr>
        <w:pStyle w:val="Compact"/>
        <w:numPr>
          <w:ilvl w:val="0"/>
          <w:numId w:val="1010"/>
        </w:numPr>
      </w:pPr>
      <w:r>
        <w:t xml:space="preserve">deducts quantity and marks the aliquot exhausted when it reaches zero.</w:t>
      </w:r>
    </w:p>
    <w:p>
      <w:pPr>
        <w:pStyle w:val="FirstParagraph"/>
      </w:pPr>
      <w:r>
        <w:t xml:space="preserve">The row lock prevents two concurrent sessions from both reading the same old</w:t>
      </w:r>
      <w:r>
        <w:t xml:space="preserve"> </w:t>
      </w:r>
      <w:r>
        <w:t xml:space="preserve">quantity and overdrawing it. All work occurs in one database transaction, so a</w:t>
      </w:r>
      <w:r>
        <w:t xml:space="preserve"> </w:t>
      </w:r>
      <w:r>
        <w:t xml:space="preserve">later failure rolls the deduction back.</w:t>
      </w:r>
    </w:p>
    <w:bookmarkEnd w:id="35"/>
    <w:bookmarkStart w:id="36" w:name="audit-trigger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10.3 Audit trigger</w:t>
      </w:r>
    </w:p>
    <w:p>
      <w:pPr>
        <w:pStyle w:val="FirstParagraph"/>
      </w:pPr>
      <w:r>
        <w:t xml:space="preserve">A generic trigger converts old and new rows to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and records update/delete</w:t>
      </w:r>
      <w:r>
        <w:t xml:space="preserve"> </w:t>
      </w:r>
      <w:r>
        <w:t xml:space="preserve">history for donors, samples, and aliquots. The trigger determines the appropriate</w:t>
      </w:r>
      <w:r>
        <w:t xml:space="preserve"> </w:t>
      </w:r>
      <w:r>
        <w:t xml:space="preserve">primary-key field based on its table, which avoids duplicating three nearly</w:t>
      </w:r>
      <w:r>
        <w:t xml:space="preserve"> </w:t>
      </w:r>
      <w:r>
        <w:t xml:space="preserve">identical functions.</w:t>
      </w:r>
    </w:p>
    <w:bookmarkEnd w:id="36"/>
    <w:bookmarkEnd w:id="37"/>
    <w:bookmarkStart w:id="41" w:name="verification-and-evidence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11. Verification and evidence</w:t>
      </w:r>
    </w:p>
    <w:p>
      <w:pPr>
        <w:pStyle w:val="CaptionedFigure"/>
      </w:pPr>
      <w:r>
        <w:drawing>
          <wp:inline>
            <wp:extent cx="4907280" cy="3047679"/>
            <wp:effectExtent b="0" l="0" r="0" t="0"/>
            <wp:docPr descr="PostgreSQL acceptance-test result." title="" id="39" name="Picture"/>
            <a:graphic>
              <a:graphicData uri="http://schemas.openxmlformats.org/drawingml/2006/picture">
                <pic:pic>
                  <pic:nvPicPr>
                    <pic:cNvPr descr="evidence/database_test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047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PostgreSQL acceptance-test result.</w:t>
      </w:r>
    </w:p>
    <w:p>
      <w:pPr>
        <w:pStyle w:val="BodyText"/>
      </w:pPr>
      <w:r>
        <w:t xml:space="preserve">The database was built from an empty schema in PostgreSQL 16. Every statement in</w:t>
      </w:r>
      <w:r>
        <w:t xml:space="preserve"> </w:t>
      </w:r>
      <w:r>
        <w:rPr>
          <w:rStyle w:val="VerbatimChar"/>
        </w:rPr>
        <w:t xml:space="preserve">setup.sql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test_constraints.sql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queries.sql</w:t>
      </w:r>
      <w:r>
        <w:t xml:space="preserve"> </w:t>
      </w:r>
      <w:r>
        <w:t xml:space="preserve">completed successfully.</w:t>
      </w:r>
      <w:r>
        <w:t xml:space="preserve"> </w:t>
      </w:r>
      <w:r>
        <w:t xml:space="preserve">The acceptance suite uses database-side assertions and stops immediately on an</w:t>
      </w:r>
      <w:r>
        <w:t xml:space="preserve"> </w:t>
      </w:r>
      <w:r>
        <w:t xml:space="preserve">unexpected result.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  <w:tc>
          <w:tcPr/>
          <w:p>
            <w:pPr>
              <w:pStyle w:val="Compact"/>
            </w:pPr>
            <w:r>
              <w:t xml:space="preserve">Verified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Main-table counts</w:t>
            </w:r>
          </w:p>
        </w:tc>
        <w:tc>
          <w:tcPr/>
          <w:p>
            <w:pPr>
              <w:pStyle w:val="Compact"/>
            </w:pPr>
            <w:r>
              <w:t xml:space="preserve">nine main tables have ≥10 rows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Donor code domain</w:t>
            </w:r>
          </w:p>
        </w:tc>
        <w:tc>
          <w:tcPr/>
          <w:p>
            <w:pPr>
              <w:pStyle w:val="Compact"/>
            </w:pPr>
            <w:r>
              <w:t xml:space="preserve">malformed code 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domain</w:t>
            </w:r>
          </w:p>
        </w:tc>
        <w:tc>
          <w:tcPr/>
          <w:p>
            <w:pPr>
              <w:pStyle w:val="Compact"/>
            </w:pPr>
            <w:r>
              <w:t xml:space="preserve">current &gt; initial 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usage</w:t>
            </w:r>
          </w:p>
        </w:tc>
        <w:tc>
          <w:tcPr/>
          <w:p>
            <w:pPr>
              <w:pStyle w:val="Compact"/>
            </w:pPr>
            <w:r>
              <w:t xml:space="preserve">exact stock deduction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Overdraw</w:t>
            </w:r>
          </w:p>
        </w:tc>
        <w:tc>
          <w:tcPr/>
          <w:p>
            <w:pPr>
              <w:pStyle w:val="Compact"/>
            </w:pPr>
            <w:r>
              <w:t xml:space="preserve">rejected without stock change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consent</w:t>
            </w:r>
          </w:p>
        </w:tc>
        <w:tc>
          <w:tcPr/>
          <w:p>
            <w:pPr>
              <w:pStyle w:val="Compact"/>
            </w:pPr>
            <w:r>
              <w:t xml:space="preserve">research use 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member</w:t>
            </w:r>
          </w:p>
        </w:tc>
        <w:tc>
          <w:tcPr/>
          <w:p>
            <w:pPr>
              <w:pStyle w:val="Compact"/>
            </w:pPr>
            <w:r>
              <w:t xml:space="preserve">research use rejected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update creates history row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all three views exist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The Python test suite reports</w:t>
      </w:r>
      <w:r>
        <w:t xml:space="preserve"> </w:t>
      </w:r>
      <w:r>
        <w:rPr>
          <w:rStyle w:val="VerbatimChar"/>
        </w:rPr>
        <w:t xml:space="preserve">8 passed</w:t>
      </w:r>
      <w:r>
        <w:t xml:space="preserve">. It verifies dashboard counts, joined</w:t>
      </w:r>
      <w:r>
        <w:t xml:space="preserve"> </w:t>
      </w:r>
      <w:r>
        <w:t xml:space="preserve">search, create/read/update/delete round-trip, four validation failures, and</w:t>
      </w:r>
      <w:r>
        <w:t xml:space="preserve"> </w:t>
      </w:r>
      <w:r>
        <w:t xml:space="preserve">foreign-key protection of referenced donors.</w:t>
      </w:r>
    </w:p>
    <w:bookmarkEnd w:id="41"/>
    <w:bookmarkStart w:id="48" w:name="bonus-connected-user-interface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12. Bonus connected user interface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BioVault desktop dashboard preview." title="" id="43" name="Picture"/>
            <a:graphic>
              <a:graphicData uri="http://schemas.openxmlformats.org/drawingml/2006/picture">
                <pic:pic>
                  <pic:nvPicPr>
                    <pic:cNvPr descr="evidence/ui_dashboar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BioVault desktop dashboard preview.</w:t>
      </w:r>
    </w:p>
    <w:p>
      <w:pPr>
        <w:pStyle w:val="BodyText"/>
      </w:pPr>
      <w:r>
        <w:t xml:space="preserve">The desktop application uses a three-layer structure:</w:t>
      </w:r>
    </w:p>
    <w:p>
      <w:pPr>
        <w:pStyle w:val="CaptionedFigure"/>
      </w:pPr>
      <w:r>
        <w:drawing>
          <wp:inline>
            <wp:extent cx="4907280" cy="2676698"/>
            <wp:effectExtent b="0" l="0" r="0" t="0"/>
            <wp:docPr descr="Application architecture." title="" id="46" name="Picture"/>
            <a:graphic>
              <a:graphicData uri="http://schemas.openxmlformats.org/drawingml/2006/picture">
                <pic:pic>
                  <pic:nvPicPr>
                    <pic:cNvPr descr="diagrams/architectur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676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 architecture.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app.py</w:t>
      </w:r>
      <w:r>
        <w:t xml:space="preserve"> </w:t>
      </w:r>
      <w:r>
        <w:t xml:space="preserve">contains the Tkinter presentation and user events.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repository.py</w:t>
      </w:r>
      <w:r>
        <w:t xml:space="preserve"> </w:t>
      </w:r>
      <w:r>
        <w:t xml:space="preserve">contains validation and parameterized data operations.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database.py</w:t>
      </w:r>
      <w:r>
        <w:t xml:space="preserve"> </w:t>
      </w:r>
      <w:r>
        <w:t xml:space="preserve">provides transaction-managed PostgreSQL/SQLite connections.</w:t>
      </w:r>
    </w:p>
    <w:p>
      <w:pPr>
        <w:pStyle w:val="FirstParagraph"/>
      </w:pPr>
      <w:r>
        <w:t xml:space="preserve">The UI satisfies all five bonus 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Bonus 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connectivity</w:t>
            </w:r>
          </w:p>
        </w:tc>
        <w:tc>
          <w:tcPr/>
          <w:p>
            <w:pPr>
              <w:pStyle w:val="Compact"/>
            </w:pPr>
            <w:r>
              <w:t xml:space="preserve">live dashboard counts and PostgreSQL URL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Viewing/search</w:t>
            </w:r>
          </w:p>
        </w:tc>
        <w:tc>
          <w:tcPr/>
          <w:p>
            <w:pPr>
              <w:pStyle w:val="Compact"/>
            </w:pPr>
            <w:r>
              <w:t xml:space="preserve">donors, joined samples, and joined test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validated donor create, read, update, and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Usability/validation</w:t>
            </w:r>
          </w:p>
        </w:tc>
        <w:tc>
          <w:tcPr/>
          <w:p>
            <w:pPr>
              <w:pStyle w:val="Compact"/>
            </w:pPr>
            <w:r>
              <w:t xml:space="preserve">controlled choices, format/date/year checks, clear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quality</w:t>
            </w:r>
          </w:p>
        </w:tc>
        <w:tc>
          <w:tcPr/>
          <w:p>
            <w:pPr>
              <w:pStyle w:val="Compact"/>
            </w:pPr>
            <w:r>
              <w:t xml:space="preserve">same repository queries run against submitted PostgreSQL</w:t>
            </w:r>
          </w:p>
        </w:tc>
      </w:tr>
    </w:tbl>
    <w:p>
      <w:pPr>
        <w:pStyle w:val="BodyText"/>
      </w:pPr>
      <w:r>
        <w:t xml:space="preserve">Deletion errors are not hidden. Attempting to delete a donor referenced by a</w:t>
      </w:r>
      <w:r>
        <w:t xml:space="preserve"> </w:t>
      </w:r>
      <w:r>
        <w:t xml:space="preserve">collection event produces a clear database message, demonstrating that the UI</w:t>
      </w:r>
      <w:r>
        <w:t xml:space="preserve"> </w:t>
      </w:r>
      <w:r>
        <w:t xml:space="preserve">respects rather than bypasses integrity constraints.</w:t>
      </w:r>
    </w:p>
    <w:bookmarkEnd w:id="48"/>
    <w:bookmarkStart w:id="49" w:name="security-privacy-and-ethic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13. Security, privacy, and ethics</w:t>
      </w:r>
    </w:p>
    <w:p>
      <w:pPr>
        <w:pStyle w:val="FirstParagraph"/>
      </w:pPr>
      <w:r>
        <w:t xml:space="preserve">The design follows data minimization: only research-relevant pseudonymous</w:t>
      </w:r>
      <w:r>
        <w:t xml:space="preserve"> </w:t>
      </w:r>
      <w:r>
        <w:t xml:space="preserve">attributes are stored. Direct identity and re-identification keys are explicitly</w:t>
      </w:r>
      <w:r>
        <w:t xml:space="preserve"> </w:t>
      </w:r>
      <w:r>
        <w:t xml:space="preserve">outside scope. PostgreSQL constraints implement defense in depth so a client</w:t>
      </w:r>
      <w:r>
        <w:t xml:space="preserve"> </w:t>
      </w:r>
      <w:r>
        <w:t xml:space="preserve">cannot bypass the most important rules. Parameterized application queries avoid</w:t>
      </w:r>
      <w:r>
        <w:t xml:space="preserve"> </w:t>
      </w:r>
      <w:r>
        <w:t xml:space="preserve">string-built SQL. Audit records support accountability.</w:t>
      </w:r>
    </w:p>
    <w:p>
      <w:pPr>
        <w:pStyle w:val="BodyText"/>
      </w:pPr>
      <w:r>
        <w:t xml:space="preserve">A production system would also require TLS, role-based access, secrets</w:t>
      </w:r>
      <w:r>
        <w:t xml:space="preserve"> </w:t>
      </w:r>
      <w:r>
        <w:t xml:space="preserve">management, encrypted backups, retention rules, disaster recovery, validated</w:t>
      </w:r>
      <w:r>
        <w:t xml:space="preserve"> </w:t>
      </w:r>
      <w:r>
        <w:t xml:space="preserve">SOPs, jurisdiction-specific review, and possibly row-level security. Those are</w:t>
      </w:r>
      <w:r>
        <w:t xml:space="preserve"> </w:t>
      </w:r>
      <w:r>
        <w:t xml:space="preserve">important but beyond this course project’s local deployment.</w:t>
      </w:r>
    </w:p>
    <w:bookmarkEnd w:id="49"/>
    <w:bookmarkStart w:id="50" w:name="limitations-and-future-work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14. Limitations and future work</w:t>
      </w:r>
    </w:p>
    <w:p>
      <w:pPr>
        <w:pStyle w:val="Compact"/>
        <w:numPr>
          <w:ilvl w:val="0"/>
          <w:numId w:val="1012"/>
        </w:numPr>
      </w:pPr>
      <w:r>
        <w:t xml:space="preserve">Units are stored per sample/aliquot; a production system may add a unit</w:t>
      </w:r>
      <w:r>
        <w:t xml:space="preserve"> </w:t>
      </w:r>
      <w:r>
        <w:t xml:space="preserve">conversion catalog.</w:t>
      </w:r>
    </w:p>
    <w:p>
      <w:pPr>
        <w:pStyle w:val="Compact"/>
        <w:numPr>
          <w:ilvl w:val="0"/>
          <w:numId w:val="1012"/>
        </w:numPr>
      </w:pPr>
      <w:r>
        <w:t xml:space="preserve">The storage hierarchy does not yet validate that every child type is legal for</w:t>
      </w:r>
      <w:r>
        <w:t xml:space="preserve"> </w:t>
      </w:r>
      <w:r>
        <w:t xml:space="preserve">its parent.</w:t>
      </w:r>
    </w:p>
    <w:p>
      <w:pPr>
        <w:pStyle w:val="Compact"/>
        <w:numPr>
          <w:ilvl w:val="0"/>
          <w:numId w:val="1012"/>
        </w:numPr>
      </w:pPr>
      <w:r>
        <w:t xml:space="preserve">Test results use generic numeric/text fields instead of assay-specific result</w:t>
      </w:r>
      <w:r>
        <w:t xml:space="preserve"> </w:t>
      </w:r>
      <w:r>
        <w:t xml:space="preserve">schemas.</w:t>
      </w:r>
    </w:p>
    <w:p>
      <w:pPr>
        <w:pStyle w:val="Compact"/>
        <w:numPr>
          <w:ilvl w:val="0"/>
          <w:numId w:val="1012"/>
        </w:numPr>
      </w:pPr>
      <w:r>
        <w:t xml:space="preserve">The desktop application focuses CRUD on donors and read/search on other areas</w:t>
      </w:r>
      <w:r>
        <w:t xml:space="preserve"> </w:t>
      </w:r>
      <w:r>
        <w:t xml:space="preserve">to keep the bonus interface understandable.</w:t>
      </w:r>
    </w:p>
    <w:p>
      <w:pPr>
        <w:pStyle w:val="Compact"/>
        <w:numPr>
          <w:ilvl w:val="0"/>
          <w:numId w:val="1012"/>
        </w:numPr>
      </w:pPr>
      <w:r>
        <w:t xml:space="preserve">The project does not implement authentication; it assumes a trusted local</w:t>
      </w:r>
      <w:r>
        <w:t xml:space="preserve"> </w:t>
      </w:r>
      <w:r>
        <w:t xml:space="preserve">demonstration environment.</w:t>
      </w:r>
    </w:p>
    <w:p>
      <w:pPr>
        <w:pStyle w:val="FirstParagraph"/>
      </w:pPr>
      <w:r>
        <w:t xml:space="preserve">Future work could add role-based access, barcode scanning, temperature-sensor</w:t>
      </w:r>
      <w:r>
        <w:t xml:space="preserve"> </w:t>
      </w:r>
      <w:r>
        <w:t xml:space="preserve">events, chain of custody, specimen reservation, test result attachments, and a</w:t>
      </w:r>
      <w:r>
        <w:t xml:space="preserve"> </w:t>
      </w:r>
      <w:r>
        <w:t xml:space="preserve">web API.</w:t>
      </w:r>
    </w:p>
    <w:bookmarkEnd w:id="50"/>
    <w:bookmarkStart w:id="51" w:name="conclusion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15. Conclusion</w:t>
      </w:r>
    </w:p>
    <w:p>
      <w:pPr>
        <w:pStyle w:val="FirstParagraph"/>
      </w:pPr>
      <w:r>
        <w:t xml:space="preserve">BioVault completes the full database development lifecycle. Requirements and</w:t>
      </w:r>
      <w:r>
        <w:t xml:space="preserve"> </w:t>
      </w:r>
      <w:r>
        <w:t xml:space="preserve">business rules are mapped to a readable ER model, a correct 3NF relational</w:t>
      </w:r>
      <w:r>
        <w:t xml:space="preserve"> </w:t>
      </w:r>
      <w:r>
        <w:t xml:space="preserve">schema, executable PostgreSQL, synthetic data, varied SQL operations,</w:t>
      </w:r>
      <w:r>
        <w:t xml:space="preserve"> </w:t>
      </w:r>
      <w:r>
        <w:t xml:space="preserve">transactional business logic, repeatable tests, documentation, and a connected</w:t>
      </w:r>
      <w:r>
        <w:t xml:space="preserve"> </w:t>
      </w:r>
      <w:r>
        <w:t xml:space="preserve">CRUD application.</w:t>
      </w:r>
    </w:p>
    <w:p>
      <w:pPr>
        <w:pStyle w:val="BodyText"/>
      </w:pPr>
      <w:r>
        <w:t xml:space="preserve">The strongest design decision is to enforce consent, researcher authorization,</w:t>
      </w:r>
      <w:r>
        <w:t xml:space="preserve"> </w:t>
      </w:r>
      <w:r>
        <w:t xml:space="preserve">and inventory deduction inside PostgreSQL rather than only in the interface.</w:t>
      </w:r>
      <w:r>
        <w:t xml:space="preserve"> </w:t>
      </w:r>
      <w:r>
        <w:t xml:space="preserve">That keeps the rule consistent for every future client and makes the behavior</w:t>
      </w:r>
      <w:r>
        <w:t xml:space="preserve"> </w:t>
      </w:r>
      <w:r>
        <w:t xml:space="preserve">demonstrable during defense. The repository can be rebuilt from a clean database</w:t>
      </w:r>
      <w:r>
        <w:t xml:space="preserve"> </w:t>
      </w:r>
      <w:r>
        <w:t xml:space="preserve">and verified with one script.</w:t>
      </w:r>
    </w:p>
    <w:bookmarkEnd w:id="51"/>
    <w:bookmarkStart w:id="58" w:name="references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t xml:space="preserve">National Cancer Institute.</w:t>
      </w:r>
      <w:r>
        <w:t xml:space="preserve"> </w:t>
      </w:r>
      <w:r>
        <w:rPr>
          <w:i/>
          <w:iCs/>
        </w:rPr>
        <w:t xml:space="preserve">NCI Best Practices for Biospecimen Resources,</w:t>
      </w:r>
      <w:r>
        <w:rPr>
          <w:i/>
          <w:iCs/>
        </w:rPr>
        <w:t xml:space="preserve"> </w:t>
      </w:r>
      <w:r>
        <w:rPr>
          <w:i/>
          <w:iCs/>
        </w:rPr>
        <w:t xml:space="preserve">Fourth Edition</w:t>
      </w:r>
      <w:r>
        <w:t xml:space="preserve">. 2026.</w:t>
      </w:r>
      <w:r>
        <w:t xml:space="preserve"> </w:t>
      </w:r>
      <w:hyperlink r:id="rId52">
        <w:r>
          <w:rPr>
            <w:rStyle w:val="Hyperlink"/>
          </w:rPr>
          <w:t xml:space="preserve">https://dctd.cancer.gov/data-tools-biospecimens/biospecimens-biobanks/resources/best-practices/biospecimen-resources/appendices/2026-4th-edition-best-practices.pdf</w:t>
        </w:r>
      </w:hyperlink>
    </w:p>
    <w:p>
      <w:pPr>
        <w:pStyle w:val="Compact"/>
        <w:numPr>
          <w:ilvl w:val="0"/>
          <w:numId w:val="1013"/>
        </w:numPr>
      </w:pPr>
      <w:r>
        <w:t xml:space="preserve">NCI Biorepositories and Biospecimen Research Branch.</w:t>
      </w:r>
      <w:r>
        <w:t xml:space="preserve"> </w:t>
      </w:r>
      <w:r>
        <w:rPr>
          <w:i/>
          <w:iCs/>
        </w:rPr>
        <w:t xml:space="preserve">Best Practices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https://biospecimens.cancer.gov/bestpractices/overview.asp</w:t>
        </w:r>
      </w:hyperlink>
    </w:p>
    <w:p>
      <w:pPr>
        <w:pStyle w:val="Compact"/>
        <w:numPr>
          <w:ilvl w:val="0"/>
          <w:numId w:val="1013"/>
        </w:numPr>
      </w:pPr>
      <w:r>
        <w:t xml:space="preserve">ISO.</w:t>
      </w:r>
      <w:r>
        <w:t xml:space="preserve"> </w:t>
      </w:r>
      <w:r>
        <w:rPr>
          <w:i/>
          <w:iCs/>
        </w:rPr>
        <w:t xml:space="preserve">ISO 20387:2018 Biotechnology — Biobanking — General requirements for</w:t>
      </w:r>
      <w:r>
        <w:rPr>
          <w:i/>
          <w:iCs/>
        </w:rPr>
        <w:t xml:space="preserve"> </w:t>
      </w:r>
      <w:r>
        <w:rPr>
          <w:i/>
          <w:iCs/>
        </w:rPr>
        <w:t xml:space="preserve">biobanking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https://www.iso.org/standard/67888.html</w:t>
        </w:r>
      </w:hyperlink>
    </w:p>
    <w:p>
      <w:pPr>
        <w:pStyle w:val="Compact"/>
        <w:numPr>
          <w:ilvl w:val="0"/>
          <w:numId w:val="1013"/>
        </w:numPr>
      </w:pPr>
      <w:r>
        <w:t xml:space="preserve">PostgreSQL Global Development Group.</w:t>
      </w:r>
      <w:r>
        <w:t xml:space="preserve"> </w:t>
      </w:r>
      <w:r>
        <w:rPr>
          <w:i/>
          <w:iCs/>
        </w:rPr>
        <w:t xml:space="preserve">PostgreSQL Documentation: Data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https://www.postgresql.org/docs/current/ddl.html</w:t>
        </w:r>
      </w:hyperlink>
    </w:p>
    <w:p>
      <w:pPr>
        <w:pStyle w:val="Compact"/>
        <w:numPr>
          <w:ilvl w:val="0"/>
          <w:numId w:val="1013"/>
        </w:numPr>
      </w:pPr>
      <w:r>
        <w:t xml:space="preserve">PostgreSQL Global Development Group.</w:t>
      </w:r>
      <w:r>
        <w:t xml:space="preserve"> </w:t>
      </w:r>
      <w:r>
        <w:rPr>
          <w:i/>
          <w:iCs/>
        </w:rPr>
        <w:t xml:space="preserve">PostgreSQL Documentation: Triggers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https://www.postgresql.org/docs/current/triggers.html</w:t>
        </w:r>
      </w:hyperlink>
    </w:p>
    <w:p>
      <w:pPr>
        <w:pStyle w:val="Compact"/>
        <w:numPr>
          <w:ilvl w:val="0"/>
          <w:numId w:val="1013"/>
        </w:numPr>
      </w:pPr>
      <w:r>
        <w:t xml:space="preserve">Python Software Foundation.</w:t>
      </w:r>
      <w:r>
        <w:t xml:space="preserve"> </w:t>
      </w:r>
      <w:r>
        <w:rPr>
          <w:i/>
          <w:iCs/>
        </w:rPr>
        <w:t xml:space="preserve">tkinter — Python interface to Tcl/Tk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https://docs.python.org/3/library/tkinter.html</w:t>
        </w:r>
      </w:hyperlink>
    </w:p>
    <w:bookmarkEnd w:id="58"/>
    <w:bookmarkStart w:id="59" w:name="appendix-a.-reproduction-commands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Appendix A. Reproduction commands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database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test_constraints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  <w:r>
        <w:br/>
      </w:r>
      <w:r>
        <w:rPr>
          <w:rStyle w:val="NormalTok"/>
        </w:rPr>
        <w:t xml:space="preserve">docker compose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database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biobank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</w:t>
      </w:r>
    </w:p>
    <w:p>
      <w:pPr>
        <w:pStyle w:val="FirstParagraph"/>
      </w:pPr>
      <w:r>
        <w:t xml:space="preserve">PostgreSQL-connected bonus application: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BIOBANK_DATABASE_URL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"postgresql://biobank:biobank_dev@localhost:55432/biobank"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</w:t>
      </w:r>
    </w:p>
    <w:bookmarkEnd w:id="59"/>
    <w:bookmarkStart w:id="60" w:name="appendix-b.-deliverable-mapping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Appendix B. Deliverable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Required deliverable</w:t>
            </w:r>
          </w:p>
        </w:tc>
        <w:tc>
          <w:tcPr/>
          <w:p>
            <w:pPr>
              <w:pStyle w:val="Compact"/>
            </w:pPr>
            <w:r>
              <w:t xml:space="preserve">Repository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overview and instructions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presentation.pptx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 and constraints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sql/create_tables.sql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sql/load_data.sql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sql/queries.sql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sql/views.sql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Trigger/function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sql/triggers_procedures.sql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diagram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diagrams/ERD.png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diagrams/ERD.mmd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sql/test_constraints.sql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and defense material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presentation/</w:t>
            </w:r>
          </w:p>
        </w:tc>
      </w:tr>
    </w:tbl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53" Target="https://biospecimens.cancer.gov/bestpractices/overview.asp" TargetMode="External" /><Relationship Type="http://schemas.openxmlformats.org/officeDocument/2006/relationships/hyperlink" Id="rId52" Target="https://dctd.cancer.gov/data-tools-biospecimens/biospecimens-biobanks/resources/best-practices/biospecimen-resources/appendices/2026-4th-edition-best-practices.pdf" TargetMode="External" /><Relationship Type="http://schemas.openxmlformats.org/officeDocument/2006/relationships/hyperlink" Id="rId57" Target="https://docs.python.org/3/library/tkinter.html" TargetMode="External" /><Relationship Type="http://schemas.openxmlformats.org/officeDocument/2006/relationships/hyperlink" Id="rId54" Target="https://www.iso.org/standard/67888.html" TargetMode="External" /><Relationship Type="http://schemas.openxmlformats.org/officeDocument/2006/relationships/hyperlink" Id="rId55" Target="https://www.postgresql.org/docs/current/ddl.html" TargetMode="External" /><Relationship Type="http://schemas.openxmlformats.org/officeDocument/2006/relationships/hyperlink" Id="rId56" Target="https://www.postgresql.org/docs/current/trigger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biospecimens.cancer.gov/bestpractices/overview.asp" TargetMode="External" /><Relationship Type="http://schemas.openxmlformats.org/officeDocument/2006/relationships/hyperlink" Id="rId52" Target="https://dctd.cancer.gov/data-tools-biospecimens/biospecimens-biobanks/resources/best-practices/biospecimen-resources/appendices/2026-4th-edition-best-practices.pdf" TargetMode="External" /><Relationship Type="http://schemas.openxmlformats.org/officeDocument/2006/relationships/hyperlink" Id="rId57" Target="https://docs.python.org/3/library/tkinter.html" TargetMode="External" /><Relationship Type="http://schemas.openxmlformats.org/officeDocument/2006/relationships/hyperlink" Id="rId54" Target="https://www.iso.org/standard/67888.html" TargetMode="External" /><Relationship Type="http://schemas.openxmlformats.org/officeDocument/2006/relationships/hyperlink" Id="rId55" Target="https://www.postgresql.org/docs/current/ddl.html" TargetMode="External" /><Relationship Type="http://schemas.openxmlformats.org/officeDocument/2006/relationships/hyperlink" Id="rId56" Target="https://www.postgresql.org/docs/current/trigger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BioVault: Biobank and Biospecimen Management System</dc:title>
  <dc:creator>[REPLACE WITH STUDENT NAME]</dc:creator>
  <dc:language>en-US</dc:language>
  <cp:keywords>Biobank, PostgreSQL, 3NF, biospecimen, database</cp:keywords>
  <dcterms:created xsi:type="dcterms:W3CDTF">2026-07-27T11:01:29Z</dcterms:created>
  <dcterms:modified xsi:type="dcterms:W3CDTF">2026-07-27T11:01:29Z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Fundamentals of Databases — 2026</vt:lpwstr>
  </property>
  <property fmtid="{D5CDD505-2E9C-101B-9397-08002B2CF9AE}" pid="3" name="subtitle">
    <vt:lpwstr>Complete Database Design, Implementation, Testing, and Bonus Application</vt:lpwstr>
  </property>
</Properties>
</file>