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4FFB" w14:textId="272EE42D" w:rsidR="00A23B19" w:rsidRDefault="00A23B19" w:rsidP="00A23B19">
      <w:pPr>
        <w:pStyle w:val="p1"/>
      </w:pPr>
      <w:r>
        <w:t>§ 40</w:t>
      </w:r>
      <w:r>
        <w:t xml:space="preserve"> Hamburgisches Hochschulgesetz</w:t>
      </w:r>
    </w:p>
    <w:p w14:paraId="56E03316" w14:textId="77777777" w:rsidR="00A23B19" w:rsidRDefault="00A23B19" w:rsidP="00A23B19">
      <w:pPr>
        <w:pStyle w:val="p1"/>
      </w:pPr>
      <w:r>
        <w:t>Anerkennung und Anrechnung von Leistungen;</w:t>
      </w:r>
    </w:p>
    <w:p w14:paraId="7214CA33" w14:textId="77777777" w:rsidR="00A23B19" w:rsidRDefault="00A23B19" w:rsidP="00A23B19">
      <w:pPr>
        <w:pStyle w:val="p1"/>
      </w:pPr>
      <w:r>
        <w:t>Frühstudierende</w:t>
      </w:r>
    </w:p>
    <w:p w14:paraId="229E065B" w14:textId="77777777" w:rsidR="00A23B19" w:rsidRDefault="00A23B19" w:rsidP="00A23B19">
      <w:pPr>
        <w:pStyle w:val="p1"/>
      </w:pPr>
      <w:r>
        <w:t>(1) Beim Übergang auf eine andere Hochschule sind Studien- und Prüfungsleistungen so-</w:t>
      </w:r>
    </w:p>
    <w:p w14:paraId="2366A641" w14:textId="77777777" w:rsidR="00A23B19" w:rsidRDefault="00A23B19" w:rsidP="00A23B19">
      <w:pPr>
        <w:pStyle w:val="p1"/>
      </w:pPr>
      <w:r>
        <w:t xml:space="preserve">wie Studien- und berufspraktische Zeiten anzuerkennen, sofern keine wesentlichen </w:t>
      </w:r>
      <w:proofErr w:type="spellStart"/>
      <w:r>
        <w:t>Un</w:t>
      </w:r>
      <w:proofErr w:type="spellEnd"/>
      <w:r>
        <w:t>-</w:t>
      </w:r>
    </w:p>
    <w:p w14:paraId="3404D33F" w14:textId="77777777" w:rsidR="00A23B19" w:rsidRDefault="00A23B19" w:rsidP="00A23B19">
      <w:pPr>
        <w:pStyle w:val="p1"/>
      </w:pPr>
      <w:proofErr w:type="spellStart"/>
      <w:r>
        <w:t>terschiede</w:t>
      </w:r>
      <w:proofErr w:type="spellEnd"/>
      <w:r>
        <w:t xml:space="preserve"> zwischen den erworbenen und den an der aufnehmenden Hochschule zu er-</w:t>
      </w:r>
    </w:p>
    <w:p w14:paraId="3828E43D" w14:textId="77777777" w:rsidR="00A23B19" w:rsidRDefault="00A23B19" w:rsidP="00A23B19">
      <w:pPr>
        <w:pStyle w:val="p1"/>
      </w:pPr>
      <w:r>
        <w:t>werbenden Kenntnissen und Fähigkeiten bestehen.</w:t>
      </w:r>
    </w:p>
    <w:p w14:paraId="13C8D586" w14:textId="77777777" w:rsidR="00A23B19" w:rsidRDefault="00A23B19" w:rsidP="00A23B19">
      <w:pPr>
        <w:pStyle w:val="p1"/>
      </w:pPr>
      <w:r>
        <w:t>(2) Auf andere Weise als durch ein Studium erworbene Kenntnisse und Fähigkeiten, die</w:t>
      </w:r>
    </w:p>
    <w:p w14:paraId="1AB43599" w14:textId="77777777" w:rsidR="00A23B19" w:rsidRDefault="00A23B19" w:rsidP="00A23B19">
      <w:pPr>
        <w:pStyle w:val="p1"/>
      </w:pPr>
      <w:r>
        <w:t>jenen gleichwertig und für einen erfolgreichen Abschluss eines Studiengangs erforderlich</w:t>
      </w:r>
    </w:p>
    <w:p w14:paraId="0E78DFBD" w14:textId="77777777" w:rsidR="00A23B19" w:rsidRDefault="00A23B19" w:rsidP="00A23B19">
      <w:pPr>
        <w:pStyle w:val="p1"/>
      </w:pPr>
      <w:r>
        <w:t xml:space="preserve">sind, sind in einem Umfang von bis zur Hälfte auf die zu erbringenden Studien- und </w:t>
      </w:r>
      <w:proofErr w:type="spellStart"/>
      <w:r>
        <w:t>Prü</w:t>
      </w:r>
      <w:proofErr w:type="spellEnd"/>
      <w:r>
        <w:t>-</w:t>
      </w:r>
    </w:p>
    <w:p w14:paraId="4E2C0F21" w14:textId="77777777" w:rsidR="00A23B19" w:rsidRDefault="00A23B19" w:rsidP="00A23B19">
      <w:pPr>
        <w:pStyle w:val="p1"/>
      </w:pPr>
      <w:proofErr w:type="spellStart"/>
      <w:r>
        <w:t>fungsleistungen</w:t>
      </w:r>
      <w:proofErr w:type="spellEnd"/>
      <w:r>
        <w:t xml:space="preserve"> anzurechnen.</w:t>
      </w:r>
    </w:p>
    <w:p w14:paraId="0B4D4B0B" w14:textId="77777777" w:rsidR="00A23B19" w:rsidRDefault="00A23B19" w:rsidP="00A23B19">
      <w:pPr>
        <w:pStyle w:val="p1"/>
      </w:pPr>
      <w:r>
        <w:t>(3) Die Hochschulen können die Anrechnung von Kenntnissen und Fähigkeiten nach Ab-</w:t>
      </w:r>
    </w:p>
    <w:p w14:paraId="2F44A79C" w14:textId="77777777" w:rsidR="00A23B19" w:rsidRDefault="00A23B19" w:rsidP="00A23B19">
      <w:pPr>
        <w:pStyle w:val="p1"/>
      </w:pPr>
      <w:proofErr w:type="spellStart"/>
      <w:r>
        <w:t>satz</w:t>
      </w:r>
      <w:proofErr w:type="spellEnd"/>
      <w:r>
        <w:t xml:space="preserve"> 2, die durch bestimmte berufliche Aus- und Fortbildungen vermittelt werden, in all-</w:t>
      </w:r>
    </w:p>
    <w:p w14:paraId="77DED181" w14:textId="77777777" w:rsidR="00A23B19" w:rsidRDefault="00A23B19" w:rsidP="00A23B19">
      <w:pPr>
        <w:pStyle w:val="p1"/>
      </w:pPr>
      <w:r>
        <w:t xml:space="preserve">gemeiner Form regeln; sie veröffentlichen diese Regelungen. Für in der </w:t>
      </w:r>
      <w:proofErr w:type="spellStart"/>
      <w:r>
        <w:t>Hochschulpra</w:t>
      </w:r>
      <w:proofErr w:type="spellEnd"/>
      <w:r>
        <w:t>-</w:t>
      </w:r>
    </w:p>
    <w:p w14:paraId="3A1826CB" w14:textId="77777777" w:rsidR="00A23B19" w:rsidRDefault="00A23B19" w:rsidP="00A23B19">
      <w:pPr>
        <w:pStyle w:val="p1"/>
      </w:pPr>
      <w:proofErr w:type="spellStart"/>
      <w:r>
        <w:t>xis</w:t>
      </w:r>
      <w:proofErr w:type="spellEnd"/>
      <w:r>
        <w:t xml:space="preserve"> häufig vorkommende Aus- und Fortbildungen soll dies erfolgen. Soweit es sich um ei-</w:t>
      </w:r>
    </w:p>
    <w:p w14:paraId="4B9506FF" w14:textId="77777777" w:rsidR="00A23B19" w:rsidRDefault="00A23B19" w:rsidP="00A23B19">
      <w:pPr>
        <w:pStyle w:val="p1"/>
      </w:pPr>
      <w:r>
        <w:t>ne berufliche Aus- oder Fortbildung nach dem Berufsbildungsgesetz handelt, ist die für</w:t>
      </w:r>
    </w:p>
    <w:p w14:paraId="2F3A48E4" w14:textId="77777777" w:rsidR="00A23B19" w:rsidRDefault="00A23B19" w:rsidP="00A23B19">
      <w:pPr>
        <w:pStyle w:val="p1"/>
      </w:pPr>
      <w:r>
        <w:t>die Berufsbildung zuständige Stelle (Kammer) vorher anzuhören. Die Kammer kann der</w:t>
      </w:r>
    </w:p>
    <w:p w14:paraId="6A0B2E03" w14:textId="77777777" w:rsidR="00A23B19" w:rsidRDefault="00A23B19" w:rsidP="00A23B19">
      <w:pPr>
        <w:pStyle w:val="p1"/>
      </w:pPr>
      <w:r>
        <w:t>Hochschule schriftlich Vorschläge für Regelungen nach Satz 1 unterbreiten. Die Hoch-</w:t>
      </w:r>
    </w:p>
    <w:p w14:paraId="49F12B77" w14:textId="77777777" w:rsidR="00A23B19" w:rsidRDefault="00A23B19" w:rsidP="00A23B19">
      <w:pPr>
        <w:pStyle w:val="p1"/>
      </w:pPr>
      <w:r>
        <w:t xml:space="preserve">schule hat innerhalb von sechs Monaten nach Eingang eines solchen Vorschlages </w:t>
      </w:r>
      <w:proofErr w:type="spellStart"/>
      <w:r>
        <w:t>entwe</w:t>
      </w:r>
      <w:proofErr w:type="spellEnd"/>
      <w:r>
        <w:t>-</w:t>
      </w:r>
    </w:p>
    <w:p w14:paraId="441D502B" w14:textId="77777777" w:rsidR="00A23B19" w:rsidRDefault="00A23B19" w:rsidP="00A23B19">
      <w:pPr>
        <w:pStyle w:val="p1"/>
      </w:pPr>
      <w:r>
        <w:t>der eine Regelung nach Satz 1 zu erlassen oder der Kammer schriftlich mitzuteilen, war-</w:t>
      </w:r>
    </w:p>
    <w:p w14:paraId="33995697" w14:textId="77777777" w:rsidR="00A23B19" w:rsidRDefault="00A23B19" w:rsidP="00A23B19">
      <w:pPr>
        <w:pStyle w:val="p1"/>
      </w:pPr>
      <w:r>
        <w:t>um eine solche Regelung nicht in Betracht kommt. Erlässt die Hochschule eine Regelung,</w:t>
      </w:r>
    </w:p>
    <w:p w14:paraId="1C9BB7F3" w14:textId="2ACEC4C6" w:rsidR="00A23B19" w:rsidRDefault="00A23B19" w:rsidP="00A23B19">
      <w:pPr>
        <w:pStyle w:val="p1"/>
      </w:pPr>
      <w:r>
        <w:t>weicht hierbei aber von den Vorschlägen der Kammer ab, so ist die Kammer vorher zu</w:t>
      </w:r>
    </w:p>
    <w:p w14:paraId="1CEC97A2" w14:textId="77777777" w:rsidR="00A23B19" w:rsidRDefault="00A23B19" w:rsidP="00A23B19">
      <w:pPr>
        <w:pStyle w:val="p1"/>
      </w:pPr>
      <w:r>
        <w:t xml:space="preserve">hören. Die Kammer kann die für das Hochschulwesen zuständige Behörde um </w:t>
      </w:r>
      <w:proofErr w:type="spellStart"/>
      <w:r>
        <w:t>Vermitt</w:t>
      </w:r>
      <w:proofErr w:type="spellEnd"/>
      <w:r>
        <w:t>-</w:t>
      </w:r>
    </w:p>
    <w:p w14:paraId="3B81D7BA" w14:textId="77777777" w:rsidR="00A23B19" w:rsidRDefault="00A23B19" w:rsidP="00A23B19">
      <w:pPr>
        <w:pStyle w:val="p1"/>
      </w:pPr>
      <w:proofErr w:type="spellStart"/>
      <w:r>
        <w:t>lung</w:t>
      </w:r>
      <w:proofErr w:type="spellEnd"/>
      <w:r>
        <w:t xml:space="preserve"> ersuchen.</w:t>
      </w:r>
    </w:p>
    <w:p w14:paraId="7F3DC50C" w14:textId="77777777" w:rsidR="00A23B19" w:rsidRDefault="00A23B19" w:rsidP="00A23B19">
      <w:pPr>
        <w:pStyle w:val="p1"/>
      </w:pPr>
      <w:r>
        <w:t>(4) Schülerinnen oder Schüler, die besondere Begabungen aufweisen, können in Einzel-</w:t>
      </w:r>
    </w:p>
    <w:p w14:paraId="7FBD4C53" w14:textId="77777777" w:rsidR="00A23B19" w:rsidRDefault="00A23B19" w:rsidP="00A23B19">
      <w:pPr>
        <w:pStyle w:val="p1"/>
      </w:pPr>
      <w:r>
        <w:t>fällen als Frühstudierende ohne Hochschulzulassung und Immatrikulation zu bestimmten</w:t>
      </w:r>
    </w:p>
    <w:p w14:paraId="1C260CCF" w14:textId="77777777" w:rsidR="00A23B19" w:rsidRDefault="00A23B19" w:rsidP="00A23B19">
      <w:pPr>
        <w:pStyle w:val="p1"/>
      </w:pPr>
      <w:r>
        <w:t xml:space="preserve">Lehrveranstaltungen und Prüfungen zugelassen werden. Ihre Studien- und </w:t>
      </w:r>
      <w:proofErr w:type="spellStart"/>
      <w:r>
        <w:t>Prüfungsleis</w:t>
      </w:r>
      <w:proofErr w:type="spellEnd"/>
      <w:r>
        <w:t>-</w:t>
      </w:r>
    </w:p>
    <w:p w14:paraId="7AC61007" w14:textId="77777777" w:rsidR="00A23B19" w:rsidRDefault="00A23B19" w:rsidP="00A23B19">
      <w:pPr>
        <w:pStyle w:val="p1"/>
      </w:pPr>
      <w:proofErr w:type="spellStart"/>
      <w:r>
        <w:t>tungen</w:t>
      </w:r>
      <w:proofErr w:type="spellEnd"/>
      <w:r>
        <w:t xml:space="preserve"> werden bei einem späteren Studium angerechnet.</w:t>
      </w:r>
    </w:p>
    <w:p w14:paraId="1B61CA8A" w14:textId="77777777" w:rsidR="00A23B19" w:rsidRDefault="00A23B19" w:rsidP="00A23B19">
      <w:pPr>
        <w:pStyle w:val="p1"/>
      </w:pPr>
      <w:r>
        <w:t>(5) Die Hochschulen regeln das Nähere zu den Absätzen 1, 2 und 4 durch Satzung.</w:t>
      </w:r>
    </w:p>
    <w:p w14:paraId="17636708" w14:textId="77777777" w:rsidR="00D8092A" w:rsidRDefault="00D8092A"/>
    <w:sectPr w:rsidR="00D809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19"/>
    <w:rsid w:val="003F4158"/>
    <w:rsid w:val="004A444A"/>
    <w:rsid w:val="006947B1"/>
    <w:rsid w:val="00A23B19"/>
    <w:rsid w:val="00D8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97D8D2"/>
  <w15:chartTrackingRefBased/>
  <w15:docId w15:val="{5B784BC1-9710-5945-9948-B9B25367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3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3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3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3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3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3B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3B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3B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3B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3B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3B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3B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3B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3B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3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3B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3B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A23B1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de-DE"/>
      <w14:ligatures w14:val="none"/>
    </w:rPr>
  </w:style>
  <w:style w:type="character" w:customStyle="1" w:styleId="s1">
    <w:name w:val="s1"/>
    <w:basedOn w:val="Absatz-Standardschriftart"/>
    <w:rsid w:val="00A23B19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Weiland, Stephan</dc:creator>
  <cp:keywords/>
  <dc:description/>
  <cp:lastModifiedBy>Weiland, Stephan</cp:lastModifiedBy>
  <cp:revision>1</cp:revision>
  <cp:lastPrinted>2025-11-07T21:54:00Z</cp:lastPrinted>
  <dcterms:created xsi:type="dcterms:W3CDTF">2025-11-07T21:48:00Z</dcterms:created>
  <dcterms:modified xsi:type="dcterms:W3CDTF">2025-11-07T21:56:00Z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2025-11-07T21:56:22Z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aa0b5417-c194-4e62-a199-38d0e11a621e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