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160" w:lineRule="auto"/>
        <w:rPr>
          <w:b w:val="1"/>
          <w:bCs w:val="1"/>
        </w:rPr>
      </w:pPr>
      <w:bookmarkStart w:colFirst="0" w:colLast="0" w:name="_ej175bi5xhnw" w:id="0"/>
      <w:bookmarkEnd w:id="0"/>
      <w:r w:rsidDel="00000000" w:rsidR="00000000" w:rsidRPr="00000000">
        <w:rPr>
          <w:b w:val="1"/>
          <w:bCs w:val="1"/>
          <w:rtl w:val="0"/>
        </w:rPr>
        <w:t xml:space="preserve">Control de cambios – Pestaña “Inteligencia y Personalización”</w:t>
      </w:r>
    </w:p>
    <w:p w:rsidR="00000000" w:rsidDel="00000000" w:rsidP="00000000" w:rsidRDefault="00000000" w:rsidRPr="00000000" w14:paraId="00000002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160" w:lineRule="auto"/>
        <w:ind w:left="1080" w:hanging="36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Cambiar esto por + adopción de la app</w:t>
      </w:r>
    </w:p>
    <w:p w:rsidR="00000000" w:rsidDel="00000000" w:rsidP="00000000" w:rsidRDefault="00000000" w:rsidRPr="00000000" w14:paraId="00000004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1862138" cy="1350405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2138" cy="1350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1080" w:hanging="36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Cambiar esto por: Un solo sitio dinámico que se transforma en tiempo real </w:t>
      </w:r>
      <w:r w:rsidDel="00000000" w:rsidR="00000000" w:rsidRPr="00000000">
        <w:rPr/>
        <w:drawing>
          <wp:inline distB="114300" distT="114300" distL="114300" distR="114300">
            <wp:extent cx="5667477" cy="1174669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477" cy="11746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Rule="auto"/>
        <w:ind w:left="1080" w:hanging="360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Quitar antes y dejar solo el ahora (sin la palabra ahora. Solo </w:t>
      </w:r>
      <w:r w:rsidDel="00000000" w:rsidR="00000000" w:rsidRPr="00000000">
        <w:rPr>
          <w:rtl w:val="0"/>
        </w:rPr>
        <w:t xml:space="preserve">Un sitio, identidad por distribuidora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7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66900" cy="17526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Rule="auto"/>
        <w:ind w:left="1080" w:hanging="360"/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Cambiar la palabra “audiencia” por “segmento”.</w:t>
      </w:r>
    </w:p>
    <w:p w:rsidR="00000000" w:rsidDel="00000000" w:rsidP="00000000" w:rsidRDefault="00000000" w:rsidRPr="00000000" w14:paraId="00000009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014913" cy="2597255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4913" cy="25972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Rule="auto"/>
        <w:ind w:left="1080" w:hanging="360"/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En el paso 5 q</w:t>
      </w:r>
      <w:r w:rsidDel="00000000" w:rsidR="00000000" w:rsidRPr="00000000">
        <w:rPr>
          <w:rtl w:val="0"/>
        </w:rPr>
        <w:t xml:space="preserve">uitar: “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el checkout vive en el mismo lugar” y reemplazar por “Dirigir a la app en un click para realizar pedido”</w:t>
      </w:r>
    </w:p>
    <w:p w:rsidR="00000000" w:rsidDel="00000000" w:rsidP="00000000" w:rsidRDefault="00000000" w:rsidRPr="00000000" w14:paraId="0000000B">
      <w:pPr>
        <w:spacing w:after="16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</w:rPr>
        <w:drawing>
          <wp:inline distB="114300" distT="114300" distL="114300" distR="114300">
            <wp:extent cx="4729163" cy="2449263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9163" cy="2449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Rule="auto"/>
        <w:ind w:left="1080" w:hanging="360"/>
        <w:rPr/>
      </w:pPr>
      <w:r w:rsidDel="00000000" w:rsidR="00000000" w:rsidRPr="00000000">
        <w:rPr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El orden correcto de los pasos es (total 10 pasos): 1 – 2 – 3- 4 – 6- 7 – 8 - 5 – 9 (se direcciona a app para realizar pedido) – 10 (se genera la atribución directa o indirecta para la distribuidora)</w:t>
      </w:r>
    </w:p>
    <w:p w:rsidR="00000000" w:rsidDel="00000000" w:rsidP="00000000" w:rsidRDefault="00000000" w:rsidRPr="00000000" w14:paraId="0000000D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986463" cy="3100427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6463" cy="31004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Rule="auto"/>
        <w:ind w:left="1080" w:hanging="360"/>
        <w:rPr/>
      </w:pPr>
      <w:r w:rsidDel="00000000" w:rsidR="00000000" w:rsidRPr="00000000">
        <w:rPr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Cambiar la palabra “tienda personal” por “catálogo personal”</w:t>
      </w:r>
    </w:p>
    <w:p w:rsidR="00000000" w:rsidDel="00000000" w:rsidP="00000000" w:rsidRDefault="00000000" w:rsidRPr="00000000" w14:paraId="0000000F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6375243" cy="1144274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5243" cy="11442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Rule="auto"/>
        <w:ind w:left="1080" w:hanging="360"/>
        <w:rPr/>
      </w:pPr>
      <w:r w:rsidDel="00000000" w:rsidR="00000000" w:rsidRPr="00000000">
        <w:rPr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Cambiar “Distribuidora Diamante” por “Distribuidora Líder” que es un nivel real en Betterware.</w:t>
      </w:r>
    </w:p>
    <w:p w:rsidR="00000000" w:rsidDel="00000000" w:rsidP="00000000" w:rsidRDefault="00000000" w:rsidRPr="00000000" w14:paraId="00000011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148263" cy="2062111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8263" cy="20621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ind w:left="1080" w:hanging="360"/>
        <w:rPr/>
      </w:pPr>
      <w:r w:rsidDel="00000000" w:rsidR="00000000" w:rsidRPr="00000000">
        <w:rPr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Cambiar:</w:t>
      </w:r>
    </w:p>
    <w:p w:rsidR="00000000" w:rsidDel="00000000" w:rsidP="00000000" w:rsidRDefault="00000000" w:rsidRPr="00000000" w14:paraId="00000015">
      <w:pPr>
        <w:ind w:left="1440" w:hanging="36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Cambiar el título por: Ejemplos de segmentos accionables en campañas de Marketing</w:t>
      </w:r>
    </w:p>
    <w:p w:rsidR="00000000" w:rsidDel="00000000" w:rsidP="00000000" w:rsidRDefault="00000000" w:rsidRPr="00000000" w14:paraId="00000016">
      <w:pPr>
        <w:spacing w:after="160" w:lineRule="auto"/>
        <w:ind w:left="1440" w:hanging="36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La palabra “audiencia”  por “segmento” en todos los casos</w:t>
      </w:r>
    </w:p>
    <w:p w:rsidR="00000000" w:rsidDel="00000000" w:rsidP="00000000" w:rsidRDefault="00000000" w:rsidRPr="00000000" w14:paraId="00000017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4929188" cy="4138258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9188" cy="41382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160" w:lineRule="auto"/>
        <w:ind w:left="1080" w:hanging="360"/>
        <w:rPr/>
      </w:pPr>
      <w:r w:rsidDel="00000000" w:rsidR="00000000" w:rsidRPr="00000000">
        <w:rPr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 En la sección </w:t>
      </w:r>
      <w:r w:rsidDel="00000000" w:rsidR="00000000" w:rsidRPr="00000000">
        <w:rPr>
          <w:color w:val="718096"/>
          <w:sz w:val="19"/>
          <w:szCs w:val="19"/>
          <w:rtl w:val="0"/>
        </w:rPr>
        <w:t xml:space="preserve">Atribución 1:1</w:t>
      </w:r>
      <w:r w:rsidDel="00000000" w:rsidR="00000000" w:rsidRPr="00000000">
        <w:rPr>
          <w:rtl w:val="0"/>
        </w:rPr>
        <w:t xml:space="preserve"> C</w:t>
      </w:r>
      <w:r w:rsidDel="00000000" w:rsidR="00000000" w:rsidRPr="00000000">
        <w:rPr>
          <w:rtl w:val="0"/>
        </w:rPr>
        <w:t xml:space="preserve">ambiar: el cómo funciona por “La asociada compra a través del link que direcciona a la app”</w:t>
      </w:r>
    </w:p>
    <w:p w:rsidR="00000000" w:rsidDel="00000000" w:rsidP="00000000" w:rsidRDefault="00000000" w:rsidRPr="00000000" w14:paraId="0000001B">
      <w:pPr>
        <w:spacing w:after="160" w:lineRule="auto"/>
        <w:ind w:left="720" w:firstLine="720"/>
        <w:rPr/>
      </w:pPr>
      <w:r w:rsidDel="00000000" w:rsidR="00000000" w:rsidRPr="00000000">
        <w:rPr>
          <w:rtl w:val="0"/>
        </w:rPr>
        <w:t xml:space="preserve">Quitar: Cuándo aplica - Caso ideal — sesión continua</w:t>
      </w:r>
    </w:p>
    <w:p w:rsidR="00000000" w:rsidDel="00000000" w:rsidP="00000000" w:rsidRDefault="00000000" w:rsidRPr="00000000" w14:paraId="0000001C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3810000" cy="23368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Rule="auto"/>
        <w:rPr>
          <w:color w:val="718096"/>
        </w:rPr>
      </w:pPr>
      <w:r w:rsidDel="00000000" w:rsidR="00000000" w:rsidRPr="00000000">
        <w:rPr>
          <w:rtl w:val="0"/>
        </w:rPr>
        <w:t xml:space="preserve">En la sección </w:t>
      </w:r>
      <w:r w:rsidDel="00000000" w:rsidR="00000000" w:rsidRPr="00000000">
        <w:rPr>
          <w:color w:val="718096"/>
          <w:rtl w:val="0"/>
        </w:rPr>
        <w:t xml:space="preserve">El stack que lo hace posible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b w:val="1"/>
          <w:bCs w:val="1"/>
          <w:color w:val="000000"/>
          <w:sz w:val="45"/>
          <w:szCs w:val="45"/>
        </w:rPr>
      </w:pPr>
      <w:bookmarkStart w:colFirst="0" w:colLast="0" w:name="_91qars7rbo3l" w:id="1"/>
      <w:bookmarkEnd w:id="1"/>
      <w:r w:rsidDel="00000000" w:rsidR="00000000" w:rsidRPr="00000000">
        <w:rPr>
          <w:b w:val="1"/>
          <w:bCs w:val="1"/>
          <w:color w:val="000000"/>
          <w:sz w:val="45"/>
          <w:szCs w:val="45"/>
          <w:rtl w:val="0"/>
        </w:rPr>
        <w:t xml:space="preserve">Cuatro piezas trabajando juntas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1080" w:hanging="360"/>
        <w:rPr/>
      </w:pPr>
      <w:r w:rsidDel="00000000" w:rsidR="00000000" w:rsidRPr="00000000">
        <w:rPr>
          <w:rtl w:val="0"/>
        </w:rPr>
        <w:t xml:space="preserve">11.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Cambiar en el recuadro 3 “Salesforce Personalization”:</w:t>
      </w:r>
    </w:p>
    <w:p w:rsidR="00000000" w:rsidDel="00000000" w:rsidP="00000000" w:rsidRDefault="00000000" w:rsidRPr="00000000" w14:paraId="00000022">
      <w:pPr>
        <w:ind w:left="1440" w:hanging="36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Mensaje: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Transforma la landing en tiempo real con la identidad de cada distribuidora</w:t>
      </w:r>
      <w:r w:rsidDel="00000000" w:rsidR="00000000" w:rsidRPr="00000000">
        <w:rPr>
          <w:rtl w:val="0"/>
        </w:rPr>
        <w:t xml:space="preserve"> y link que direcciona a la app</w:t>
      </w:r>
    </w:p>
    <w:p w:rsidR="00000000" w:rsidDel="00000000" w:rsidP="00000000" w:rsidRDefault="00000000" w:rsidRPr="00000000" w14:paraId="00000023">
      <w:pPr>
        <w:ind w:left="108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ind w:left="1080" w:hanging="360"/>
        <w:rPr/>
      </w:pPr>
      <w:r w:rsidDel="00000000" w:rsidR="00000000" w:rsidRPr="00000000">
        <w:rPr>
          <w:rtl w:val="0"/>
        </w:rPr>
        <w:t xml:space="preserve">12.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Cambiar en el recuadro 4 “Sitio de Betterware”:</w:t>
      </w:r>
    </w:p>
    <w:p w:rsidR="00000000" w:rsidDel="00000000" w:rsidP="00000000" w:rsidRDefault="00000000" w:rsidRPr="00000000" w14:paraId="00000025">
      <w:pPr>
        <w:ind w:left="1440" w:hanging="36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Título: “Una sola landing”.</w:t>
      </w:r>
    </w:p>
    <w:p w:rsidR="00000000" w:rsidDel="00000000" w:rsidP="00000000" w:rsidRDefault="00000000" w:rsidRPr="00000000" w14:paraId="00000026">
      <w:pPr>
        <w:ind w:left="1440" w:hanging="360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 Quitar la frase “checkout incluido”</w:t>
      </w:r>
    </w:p>
    <w:p w:rsidR="00000000" w:rsidDel="00000000" w:rsidP="00000000" w:rsidRDefault="00000000" w:rsidRPr="00000000" w14:paraId="00000027">
      <w:pPr>
        <w:ind w:left="108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ind w:left="1080" w:hanging="360"/>
        <w:rPr/>
      </w:pPr>
      <w:r w:rsidDel="00000000" w:rsidR="00000000" w:rsidRPr="00000000">
        <w:rPr>
          <w:rtl w:val="0"/>
        </w:rPr>
        <w:t xml:space="preserve">13.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Sumar un recuadro 5 que diga:</w:t>
      </w:r>
    </w:p>
    <w:p w:rsidR="00000000" w:rsidDel="00000000" w:rsidP="00000000" w:rsidRDefault="00000000" w:rsidRPr="00000000" w14:paraId="00000029">
      <w:pPr>
        <w:ind w:left="1440" w:hanging="36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Título: App Betterware Plus</w:t>
      </w:r>
    </w:p>
    <w:p w:rsidR="00000000" w:rsidDel="00000000" w:rsidP="00000000" w:rsidRDefault="00000000" w:rsidRPr="00000000" w14:paraId="0000002A">
      <w:pPr>
        <w:spacing w:after="160" w:lineRule="auto"/>
        <w:ind w:left="1440" w:hanging="36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Mensaje: hacia donde se direccionan para hacer el checkout</w:t>
      </w:r>
    </w:p>
    <w:p w:rsidR="00000000" w:rsidDel="00000000" w:rsidP="00000000" w:rsidRDefault="00000000" w:rsidRPr="00000000" w14:paraId="0000002B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4816140" cy="2185988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6140" cy="2185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1080" w:hanging="360"/>
        <w:rPr/>
      </w:pPr>
      <w:r w:rsidDel="00000000" w:rsidR="00000000" w:rsidRPr="00000000">
        <w:rPr>
          <w:b w:val="1"/>
          <w:bCs w:val="1"/>
          <w:color w:val="718096"/>
          <w:sz w:val="19"/>
          <w:szCs w:val="19"/>
          <w:rtl w:val="0"/>
        </w:rPr>
        <w:t xml:space="preserve">14.</w:t>
      </w:r>
      <w:r w:rsidDel="00000000" w:rsidR="00000000" w:rsidRPr="00000000">
        <w:rPr>
          <w:rFonts w:ascii="Times New Roman" w:cs="Times New Roman" w:eastAsia="Times New Roman" w:hAnsi="Times New Roman"/>
          <w:color w:val="718096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Elimina la secciónr: </w:t>
      </w:r>
      <w:r w:rsidDel="00000000" w:rsidR="00000000" w:rsidRPr="00000000">
        <w:rPr>
          <w:b w:val="1"/>
          <w:bCs w:val="1"/>
          <w:color w:val="718096"/>
          <w:rtl w:val="0"/>
        </w:rPr>
        <w:t xml:space="preserve">Fases de despliegue:</w:t>
      </w:r>
      <w:r w:rsidDel="00000000" w:rsidR="00000000" w:rsidRPr="00000000">
        <w:rPr>
          <w:b w:val="1"/>
          <w:bCs w:val="1"/>
          <w:color w:val="718096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  <w:t xml:space="preserve">Porque esto es lo que estamos definiendo en este momento con el cliente.</w:t>
      </w:r>
    </w:p>
    <w:p w:rsidR="00000000" w:rsidDel="00000000" w:rsidP="00000000" w:rsidRDefault="00000000" w:rsidRPr="00000000" w14:paraId="0000002D">
      <w:pPr>
        <w:ind w:left="720" w:firstLine="0"/>
        <w:rPr>
          <w:b w:val="1"/>
          <w:bCs w:val="1"/>
          <w:color w:val="718096"/>
          <w:sz w:val="19"/>
          <w:szCs w:val="19"/>
        </w:rPr>
      </w:pPr>
      <w:r w:rsidDel="00000000" w:rsidR="00000000" w:rsidRPr="00000000">
        <w:rPr>
          <w:b w:val="1"/>
          <w:bCs w:val="1"/>
          <w:color w:val="718096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02E">
      <w:pPr>
        <w:ind w:left="1080" w:hanging="360"/>
        <w:rPr/>
      </w:pPr>
      <w:r w:rsidDel="00000000" w:rsidR="00000000" w:rsidRPr="00000000">
        <w:rPr>
          <w:rtl w:val="0"/>
        </w:rPr>
        <w:t xml:space="preserve">15.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 En impacto de negocio modificar así:</w:t>
      </w:r>
    </w:p>
    <w:p w:rsidR="00000000" w:rsidDel="00000000" w:rsidP="00000000" w:rsidRDefault="00000000" w:rsidRPr="00000000" w14:paraId="0000002F">
      <w:pPr>
        <w:ind w:left="1440" w:hanging="36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Título: KPIs medibles</w:t>
      </w:r>
    </w:p>
    <w:p w:rsidR="00000000" w:rsidDel="00000000" w:rsidP="00000000" w:rsidRDefault="00000000" w:rsidRPr="00000000" w14:paraId="00000030">
      <w:pPr>
        <w:ind w:left="1440" w:hanging="36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Modificar tabla de indicadores así:</w:t>
      </w:r>
    </w:p>
    <w:p w:rsidR="00000000" w:rsidDel="00000000" w:rsidP="00000000" w:rsidRDefault="00000000" w:rsidRPr="00000000" w14:paraId="00000031">
      <w:pPr>
        <w:spacing w:after="160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9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60"/>
        <w:gridCol w:w="4560"/>
        <w:tblGridChange w:id="0">
          <w:tblGrid>
            <w:gridCol w:w="4560"/>
            <w:gridCol w:w="45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Tasa de conversión por distribuidora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Visible y comparable entre distribuidoras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Ticket promedio por link compartido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Por distribuidora · por región · por producto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Ranking de distribuidoras digitales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Basado en lo que cada DS genera con sus asociadas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Asociadas activas por distribuidora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Dashboard en tiempo real desde Data 360</w:t>
            </w:r>
          </w:p>
        </w:tc>
      </w:tr>
    </w:tbl>
    <w:p w:rsidR="00000000" w:rsidDel="00000000" w:rsidP="00000000" w:rsidRDefault="00000000" w:rsidRPr="00000000" w14:paraId="0000003A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13" Type="http://schemas.openxmlformats.org/officeDocument/2006/relationships/image" Target="media/image8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7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image" Target="media/image2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