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rFonts w:ascii="Times New Roman" w:hAnsi="Times New Roman" w:cs="Times New Roman" w:eastAsia="Times New Roman"/>
          <w:sz w:val="24"/>
        </w:rPr>
        <w:drawing>
          <wp:inline distT="0" distR="0" distB="0" distL="0">
            <wp:extent cx="4826000" cy="1143000"/>
            <wp:docPr id="0" name="Drawing 0" descr="logo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logo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8260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ascii="Times New Roman" w:hAnsi="Times New Roman" w:cs="Times New Roman" w:eastAsia="Times New Roman"/>
          <w:sz w:val="24"/>
          <w:b w:val="on"/>
        </w:rPr>
        <w:br/>
        <w:t>RUC / DNI: 20419021670</w:t>
        <w:br/>
      </w:r>
    </w:p>
    <w:p>
      <w:pPr>
        <w:jc w:val="right"/>
      </w:pPr>
      <w:r>
        <w:rPr>
          <w:rFonts w:ascii="Times New Roman" w:hAnsi="Times New Roman" w:cs="Times New Roman" w:eastAsia="Times New Roman"/>
          <w:sz w:val="24"/>
          <w:b w:val="on"/>
        </w:rPr>
        <w:t>Los olivos 14 de 07 del 2025 - 08:59</w:t>
      </w:r>
    </w:p>
    <w:p>
      <w:r>
        <w:rPr>
          <w:rFonts w:ascii="Times New Roman" w:hAnsi="Times New Roman" w:cs="Times New Roman" w:eastAsia="Times New Roman"/>
          <w:sz w:val="24"/>
          <w:b w:val="on"/>
        </w:rPr>
        <w:br/>
        <w:t>Señores:</w:t>
        <w:br/>
        <w:t>Jonathan Jesus Jacinto Badillo</w:t>
        <w:br/>
        <w:t>At.: Priscilla Arboleda Ramirez</w:t>
        <w:br/>
      </w:r>
    </w:p>
    <w:p>
      <w:pPr>
        <w:jc w:val="center"/>
      </w:pPr>
      <w:r>
        <w:rPr>
          <w:rFonts w:ascii="Times New Roman" w:hAnsi="Times New Roman" w:cs="Times New Roman" w:eastAsia="Times New Roman"/>
          <w:sz w:val="24"/>
          <w:b w:val="on"/>
        </w:rPr>
        <w:br/>
        <w:t>Ref.: Cotización de extintores y otros</w:t>
        <w:br/>
      </w:r>
    </w:p>
    <w:p>
      <w:pPr>
        <w:jc w:val="center"/>
      </w:pPr>
      <w:r>
        <w:rPr>
          <w:rFonts w:ascii="Times New Roman" w:hAnsi="Times New Roman" w:cs="Times New Roman" w:eastAsia="Times New Roman"/>
          <w:sz w:val="24"/>
        </w:rPr>
        <w:br/>
        <w:t>De mi consideración:</w:t>
        <w:br/>
        <w:br/>
        <w:t>Por medio de la presente le hacemos llegar la siguiente cotización de acuerdo a vuestra solicitud:</w:t>
        <w:br/>
      </w:r>
    </w:p>
    <w:tbl>
      <w:tblPr>
        <w:tblW w:w="10773" w:type="dxa"/>
        <w:jc w:val="center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rPr>
                <w:rFonts w:ascii="Times New Roman" w:hAnsi="Times New Roman" w:cs="Times New Roman" w:eastAsia="Times New Roman"/>
                <w:sz w:val="24"/>
                <w:b w:val="on"/>
              </w:rPr>
              <w:t>Item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  <w:b w:val="on"/>
              </w:rPr>
              <w:t>Cant.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  <w:b w:val="on"/>
              </w:rPr>
              <w:t>Descripción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  <w:b w:val="on"/>
              </w:rPr>
              <w:t>P.Unit.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  <w:b w:val="on"/>
              </w:rPr>
              <w:t>Total</w:t>
            </w:r>
          </w:p>
        </w:tc>
      </w:tr>
      <w:tr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>1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>2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>Luz De Emergencia Opalux HB-890T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>S/.45.00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>S/.90.00</w:t>
            </w:r>
          </w:p>
        </w:tc>
      </w:tr>
      <w:tr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>2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>1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>Luz De Emergencia Phelix LED 3038A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>S/.60.00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>S/.60.00</w:t>
            </w:r>
          </w:p>
        </w:tc>
      </w:tr>
    </w:tbl>
    <w:p>
      <w:pPr>
        <w:jc w:val="right"/>
      </w:pPr>
      <w:r>
        <w:rPr>
          <w:rFonts w:ascii="Times New Roman" w:hAnsi="Times New Roman" w:cs="Times New Roman" w:eastAsia="Times New Roman"/>
          <w:sz w:val="24"/>
          <w:b w:val="on"/>
        </w:rPr>
        <w:br/>
        <w:t>Total S/.......... 150.00</w:t>
        <w:br/>
        <w:br/>
        <w:t>INC. I.G.V.</w:t>
      </w:r>
    </w:p>
    <w:p>
      <w:r>
        <w:rPr>
          <w:rFonts w:ascii="Times New Roman" w:hAnsi="Times New Roman" w:cs="Times New Roman" w:eastAsia="Times New Roman"/>
          <w:sz w:val="24"/>
          <w:b w:val="on"/>
          <w:u w:val="single"/>
        </w:rPr>
        <w:t>CON LAS SIGUIENTES CARACTERISTICAS TÉCNICAS:</w:t>
        <w:br/>
      </w:r>
      <w:r>
        <w:rPr>
          <w:rFonts w:ascii="Times New Roman" w:hAnsi="Times New Roman" w:cs="Times New Roman" w:eastAsia="Times New Roman"/>
          <w:sz w:val="24"/>
        </w:rPr>
        <w:t>- Producto: Luz portátil de alta duración con 28 LED SMD. Funciona hasta 15 horas. Recomendado para lugares sin acceso inmediato a energía.- Cantidad: 2</w:t>
        <w:br/>
        <w:t/>
        <w:br/>
        <w:t>- Producto: Lámpara de emergencia económica con doble luz, fácil instalación y botón probador. Autonomía de hasta 8 horas.- Cantidad: 1</w:t>
        <w:br/>
        <w:t/>
        <w:br/>
      </w:r>
    </w:p>
    <w:p>
      <w:r>
        <w:rPr>
          <w:rFonts w:ascii="Times New Roman" w:hAnsi="Times New Roman" w:cs="Times New Roman" w:eastAsia="Times New Roman"/>
          <w:sz w:val="24"/>
          <w:b w:val="on"/>
          <w:u w:val="single"/>
        </w:rPr>
        <w:t>INCLUYE EL SERVICIO VENTA:</w:t>
        <w:br/>
      </w:r>
      <w:r>
        <w:rPr>
          <w:rFonts w:ascii="Times New Roman" w:hAnsi="Times New Roman" w:cs="Times New Roman" w:eastAsia="Times New Roman"/>
          <w:sz w:val="24"/>
        </w:rPr>
        <w:t>-Etiquetas  de capacidad, instrucción, vencimiento, prueba hidrostática y soporte</w:t>
        <w:br/>
        <w:t xml:space="preserve">-Tarjetas de inspección para el control y mantenimiento de extintores </w:t>
        <w:br/>
        <w:t xml:space="preserve">-Garantía :01 año </w:t>
        <w:br/>
        <w:t>-Certificado de operatividad de extintores para presentar a INDECI</w:t>
        <w:br/>
        <w:t>-RPIN: 2092-2006</w:t>
        <w:br/>
      </w:r>
    </w:p>
    <w:p>
      <w:r>
        <w:rPr>
          <w:rFonts w:ascii="Times New Roman" w:hAnsi="Times New Roman" w:cs="Times New Roman" w:eastAsia="Times New Roman"/>
          <w:sz w:val="24"/>
          <w:b w:val="on"/>
          <w:u w:val="single"/>
        </w:rPr>
        <w:t>CONDICIONES DE PAGO:</w:t>
        <w:br/>
      </w:r>
      <w:r>
        <w:rPr>
          <w:rFonts w:ascii="Times New Roman" w:hAnsi="Times New Roman" w:cs="Times New Roman" w:eastAsia="Times New Roman"/>
          <w:sz w:val="24"/>
        </w:rPr>
        <w:t>FORMA DE PAGO: contado c/e</w:t>
        <w:br/>
        <w:t>TIEMPO DE ENTREGA: inmediata</w:t>
        <w:br/>
        <w:t>VALIDEZ DE OFERTA: 30 días</w:t>
        <w:br/>
        <w:t>IMPUESTO: incluye</w:t>
        <w:br/>
        <w:br/>
        <w:br/>
        <w:br/>
      </w:r>
    </w:p>
    <w:p>
      <w:pPr>
        <w:jc w:val="center"/>
      </w:pPr>
      <w:r>
        <w:rPr>
          <w:rFonts w:ascii="Times New Roman" w:hAnsi="Times New Roman" w:cs="Times New Roman" w:eastAsia="Times New Roman"/>
          <w:sz w:val="24"/>
        </w:rPr>
        <w:t>Esperando vernos favorecidos por su amable atención, quedamos de Ud.</w:t>
        <w:br/>
        <w:t>Muy atentamente,
Priscilla Arboleda Ramirez
Administrador
www.servindustria.com
Telf: 533-0219 / 533-2505
N: 328*5756 y Cel: 99828-5756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2025-07-14T13:59:11Z</dcterms:created>
  <dc:creator>Apache POI</dc:creator>
</cp:coreProperties>
</file>