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ind w:firstLine="0"/>
        <w:jc w:val="center"/>
      </w:pPr>
      <w:r>
        <w:rPr>
          <w:rFonts w:ascii="Times New Roman" w:hAnsi="Times New Roman"/>
          <w:b/>
          <w:color w:val="505F69"/>
          <w:sz w:val="22"/>
        </w:rPr>
        <w:t>METHOD AND RESULTS</w:t>
      </w:r>
    </w:p>
    <w:p>
      <w:pPr>
        <w:pStyle w:val="Title"/>
      </w:pPr>
      <w:r>
        <w:rPr>
          <w:rFonts w:ascii="Times New Roman" w:hAnsi="Times New Roman"/>
          <w:b/>
        </w:rPr>
        <w:t>Higher MI Calculations</w:t>
        <w:br/>
        <w:t>and Concepts</w:t>
      </w:r>
    </w:p>
    <w:p>
      <w:pPr>
        <w:spacing w:after="480"/>
        <w:ind w:firstLine="0"/>
        <w:jc w:val="center"/>
      </w:pPr>
      <w:r>
        <w:rPr>
          <w:rFonts w:ascii="Times New Roman" w:hAnsi="Times New Roman"/>
          <w:i/>
          <w:color w:val="374B5A"/>
          <w:sz w:val="30"/>
        </w:rPr>
        <w:t>A textbook explanation of the calculations</w:t>
      </w:r>
    </w:p>
    <w:p>
      <w:pPr>
        <w:pStyle w:val="Heading1"/>
      </w:pPr>
      <w:r>
        <w:rPr>
          <w:rFonts w:ascii="Times New Roman" w:hAnsi="Times New Roman"/>
        </w:rPr>
        <w:t>Purpose of this chapter</w:t>
      </w:r>
    </w:p>
    <w:p>
      <w:r>
        <w:t>This chapter explains how the benchmark turns a transformer’s output scores into an information curve and checks whether the curve can warn of grokking. It follows the calculations from the original report and explains what each number means.</w:t>
      </w:r>
    </w:p>
    <w:tbl>
      <w:tblPr>
        <w:tblW w:type="auto" w:w="0"/>
        <w:jc w:val="center"/>
        <w:tblLook w:firstColumn="1" w:firstRow="1" w:lastColumn="0" w:lastRow="0" w:noHBand="0" w:noVBand="1" w:val="04A0"/>
      </w:tblPr>
      <w:tblGrid>
        <w:gridCol w:w="9403"/>
      </w:tblGrid>
      <w:tr>
        <w:tc>
          <w:tcPr>
            <w:tcW w:type="dxa" w:w="9403"/>
            <w:shd w:fill="EAF0F4"/>
            <w:tcMar>
              <w:top w:w="170" w:type="dxa"/>
              <w:start w:w="220" w:type="dxa"/>
              <w:bottom w:w="170" w:type="dxa"/>
              <w:end w:w="220" w:type="dxa"/>
            </w:tcMar>
          </w:tcPr>
          <w:p>
            <w:pPr>
              <w:spacing w:after="100"/>
              <w:ind w:firstLine="0"/>
            </w:pPr>
            <w:r>
              <w:rPr>
                <w:b/>
                <w:color w:val="193755"/>
              </w:rPr>
              <w:t>MAIN RESULT</w:t>
            </w:r>
          </w:p>
          <w:p>
            <w:pPr>
              <w:spacing w:after="0"/>
              <w:ind w:firstLine="0"/>
            </w:pPr>
            <w:r>
              <w:t>In all five runs, the largest population O-information value appears after the model has generalised. The event therefore gives no early warning in this benchmark, and all three fixed score conditions fail. This conclusion applies to this adaptation and data set.</w:t>
            </w:r>
          </w:p>
        </w:tc>
      </w:tr>
    </w:tbl>
    <w:p>
      <w:r>
        <w:br w:type="page"/>
      </w:r>
    </w:p>
    <w:p>
      <w:pPr>
        <w:pStyle w:val="Heading1"/>
      </w:pPr>
      <w:r>
        <w:rPr>
          <w:rFonts w:ascii="Times New Roman" w:hAnsi="Times New Roman"/>
        </w:rPr>
        <w:t>1. The task and the meaning of grokking</w:t>
      </w:r>
    </w:p>
    <w:p>
      <w:r>
        <w:t>The model learns addition with remainders. Its inputs are two integers a and b, each from 0 to 112. Its answer is also in that range.</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c = (a + b) modulo 113</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(1)</w:t>
            </w:r>
          </w:p>
        </w:tc>
      </w:tr>
    </w:tbl>
    <w:p>
      <w:pPr>
        <w:spacing w:after="20"/>
      </w:pPr>
    </w:p>
    <w:p>
      <w:r>
        <w:t>“Modulo 113” means that we subtract 113 whenever the sum is at least 113, until the answer is between 0 and 112. For example, 23 + 45 = 68, so (23 + 45) modulo 113 = 68. Also, 100 + 20 = 120, and 120 − 113 = 7.</w:t>
      </w:r>
    </w:p>
    <w:p>
      <w:r>
        <w:t>There are 113 × 113 = 12,769 possible input pairs. The pairs are split into two disjoint groups.</w:t>
      </w:r>
    </w:p>
    <w:tbl>
      <w:tblPr>
        <w:tblStyle w:val="TableGrid"/>
        <w:tblW w:type="auto" w:w="0"/>
        <w:jc w:val="center"/>
        <w:tblLayout w:type="fixed"/>
        <w:tblLook w:firstColumn="1" w:firstRow="1" w:lastColumn="0" w:lastRow="0" w:noHBand="0" w:noVBand="1" w:val="04A0"/>
      </w:tblPr>
      <w:tblGrid>
        <w:gridCol w:w="3134"/>
        <w:gridCol w:w="3134"/>
        <w:gridCol w:w="3134"/>
      </w:tblGrid>
      <w:tr>
        <w:trPr>
          <w:tblHeader w:val="true"/>
        </w:trPr>
        <w:tc>
          <w:tcPr>
            <w:tcW w:type="dxa" w:w="1728"/>
            <w:shd w:fill="D9E2EA"/>
            <w:tcMar>
              <w:top w:w="90" w:type="dxa"/>
              <w:start w:w="100" w:type="dxa"/>
              <w:bottom w:w="90" w:type="dxa"/>
              <w:end w:w="100" w:type="dxa"/>
            </w:tcMar>
          </w:tcPr>
          <w:p>
            <w:r>
              <w:rPr>
                <w:b/>
                <w:color w:val="142D41"/>
              </w:rPr>
              <w:t>Set</w:t>
            </w:r>
          </w:p>
        </w:tc>
        <w:tc>
          <w:tcPr>
            <w:tcW w:type="dxa" w:w="2016"/>
            <w:shd w:fill="D9E2EA"/>
            <w:tcMar>
              <w:top w:w="90" w:type="dxa"/>
              <w:start w:w="100" w:type="dxa"/>
              <w:bottom w:w="90" w:type="dxa"/>
              <w:end w:w="100" w:type="dxa"/>
            </w:tcMar>
          </w:tcPr>
          <w:p>
            <w:r>
              <w:rPr>
                <w:b/>
                <w:color w:val="142D41"/>
              </w:rPr>
              <w:t>Number of pairs</w:t>
            </w:r>
          </w:p>
        </w:tc>
        <w:tc>
          <w:tcPr>
            <w:tcW w:type="dxa" w:w="5904"/>
            <w:shd w:fill="D9E2EA"/>
            <w:tcMar>
              <w:top w:w="90" w:type="dxa"/>
              <w:start w:w="100" w:type="dxa"/>
              <w:bottom w:w="90" w:type="dxa"/>
              <w:end w:w="100" w:type="dxa"/>
            </w:tcMar>
          </w:tcPr>
          <w:p>
            <w:r>
              <w:rPr>
                <w:b/>
                <w:color w:val="142D41"/>
              </w:rPr>
              <w:t>Purpose</w:t>
            </w:r>
          </w:p>
        </w:tc>
      </w:tr>
      <w:tr>
        <w:trPr>
          <w:cantSplit/>
        </w:trPr>
        <w:tc>
          <w:tcPr>
            <w:tcW w:type="dxa" w:w="17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Training</w:t>
            </w:r>
          </w:p>
        </w:tc>
        <w:tc>
          <w:tcPr>
            <w:tcW w:type="dxa" w:w="201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3,830 (30%)</w:t>
            </w:r>
          </w:p>
        </w:tc>
        <w:tc>
          <w:tcPr>
            <w:tcW w:type="dxa" w:w="590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The model uses these examples to update its weights.</w:t>
            </w:r>
          </w:p>
        </w:tc>
      </w:tr>
      <w:tr>
        <w:trPr>
          <w:cantSplit/>
        </w:trPr>
        <w:tc>
          <w:tcPr>
            <w:tcW w:type="dxa" w:w="17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Test</w:t>
            </w:r>
          </w:p>
        </w:tc>
        <w:tc>
          <w:tcPr>
            <w:tcW w:type="dxa" w:w="201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8,939 (70%)</w:t>
            </w:r>
          </w:p>
        </w:tc>
        <w:tc>
          <w:tcPr>
            <w:tcW w:type="dxa" w:w="590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These examples are held aside to measure performance on unseen inputs.</w:t>
            </w:r>
          </w:p>
        </w:tc>
      </w:tr>
    </w:tbl>
    <w:p>
      <w:pPr>
        <w:spacing w:after="40"/>
      </w:pPr>
    </w:p>
    <w:p>
      <w:r>
        <w:t>Training accuracy is the fraction of training pairs answered correctly. Test accuracy is the fraction of test pairs answered correctly. A model may fit its training examples without yet learning the general rule.</w:t>
      </w:r>
    </w:p>
    <w:p>
      <w:pPr>
        <w:pStyle w:val="Heading2"/>
      </w:pPr>
      <w:r>
        <w:rPr>
          <w:rFonts w:ascii="Times New Roman" w:hAnsi="Times New Roman"/>
        </w:rPr>
        <w:t>Epochs and checkpoints</w:t>
      </w:r>
    </w:p>
    <w:p>
      <w:r>
        <w:t>One epoch is one full pass through the 3,830 training pairs. Training lasts 40,000 epochs. The model state is saved every 100 epochs, giving 401 saved checkpoints, including the final checkpoint. A random seed fixes the initial model and the data split. Five seeds, numbered 0 to 4, were used.</w:t>
      </w:r>
    </w:p>
    <w:p>
      <w:pPr>
        <w:pStyle w:val="Heading2"/>
      </w:pPr>
      <w:r>
        <w:rPr>
          <w:rFonts w:ascii="Times New Roman" w:hAnsi="Times New Roman"/>
        </w:rPr>
        <w:t>Grok epoch</w:t>
      </w:r>
    </w:p>
    <w:p>
      <w:r>
        <w:t>Grokking is delayed generalisation. The model reaches training accuracy of at least 0.99 near epoch 205, but its test accuracy rises much later. In this study, the grok epoch G is the first epoch when test accuracy is greater than 0.9:</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19"/>
              </w:rPr>
              <w:t>G = the first t for which test accuracy at t &gt; 0.9</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(2)</w:t>
            </w:r>
          </w:p>
        </w:tc>
      </w:tr>
    </w:tbl>
    <w:p>
      <w:pPr>
        <w:spacing w:after="20"/>
      </w:pP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567"/>
            <w:shd w:fill="D9E2EA"/>
            <w:tcMar>
              <w:top w:w="90" w:type="dxa"/>
              <w:start w:w="100" w:type="dxa"/>
              <w:bottom w:w="90" w:type="dxa"/>
              <w:end w:w="100" w:type="dxa"/>
            </w:tcMar>
          </w:tcPr>
          <w:p>
            <w:r>
              <w:rPr>
                <w:b/>
                <w:color w:val="142D41"/>
              </w:rPr>
              <w:t>Seed</w:t>
            </w:r>
          </w:p>
        </w:tc>
        <w:tc>
          <w:tcPr>
            <w:tcW w:type="dxa" w:w="1567"/>
            <w:shd w:fill="D9E2EA"/>
            <w:tcMar>
              <w:top w:w="90" w:type="dxa"/>
              <w:start w:w="100" w:type="dxa"/>
              <w:bottom w:w="90" w:type="dxa"/>
              <w:end w:w="100" w:type="dxa"/>
            </w:tcMar>
          </w:tcPr>
          <w:p>
            <w:r>
              <w:rPr>
                <w:b/>
                <w:color w:val="142D41"/>
              </w:rPr>
              <w:t>0</w:t>
            </w:r>
          </w:p>
        </w:tc>
        <w:tc>
          <w:tcPr>
            <w:tcW w:type="dxa" w:w="1567"/>
            <w:shd w:fill="D9E2EA"/>
            <w:tcMar>
              <w:top w:w="90" w:type="dxa"/>
              <w:start w:w="100" w:type="dxa"/>
              <w:bottom w:w="90" w:type="dxa"/>
              <w:end w:w="100" w:type="dxa"/>
            </w:tcMar>
          </w:tcPr>
          <w:p>
            <w:r>
              <w:rPr>
                <w:b/>
                <w:color w:val="142D41"/>
              </w:rPr>
              <w:t>1</w:t>
            </w:r>
          </w:p>
        </w:tc>
        <w:tc>
          <w:tcPr>
            <w:tcW w:type="dxa" w:w="1567"/>
            <w:shd w:fill="D9E2EA"/>
            <w:tcMar>
              <w:top w:w="90" w:type="dxa"/>
              <w:start w:w="100" w:type="dxa"/>
              <w:bottom w:w="90" w:type="dxa"/>
              <w:end w:w="100" w:type="dxa"/>
            </w:tcMar>
          </w:tcPr>
          <w:p>
            <w:r>
              <w:rPr>
                <w:b/>
                <w:color w:val="142D41"/>
              </w:rPr>
              <w:t>2</w:t>
            </w:r>
          </w:p>
        </w:tc>
        <w:tc>
          <w:tcPr>
            <w:tcW w:type="dxa" w:w="1567"/>
            <w:shd w:fill="D9E2EA"/>
            <w:tcMar>
              <w:top w:w="90" w:type="dxa"/>
              <w:start w:w="100" w:type="dxa"/>
              <w:bottom w:w="90" w:type="dxa"/>
              <w:end w:w="100" w:type="dxa"/>
            </w:tcMar>
          </w:tcPr>
          <w:p>
            <w:r>
              <w:rPr>
                <w:b/>
                <w:color w:val="142D41"/>
              </w:rPr>
              <w:t>3</w:t>
            </w:r>
          </w:p>
        </w:tc>
        <w:tc>
          <w:tcPr>
            <w:tcW w:type="dxa" w:w="1567"/>
            <w:shd w:fill="D9E2EA"/>
            <w:tcMar>
              <w:top w:w="90" w:type="dxa"/>
              <w:start w:w="100" w:type="dxa"/>
              <w:bottom w:w="90" w:type="dxa"/>
              <w:end w:w="100" w:type="dxa"/>
            </w:tcMar>
          </w:tcPr>
          <w:p>
            <w:r>
              <w:rPr>
                <w:b/>
                <w:color w:val="142D41"/>
              </w:rPr>
              <w:t>4</w:t>
            </w:r>
          </w:p>
        </w:tc>
      </w:tr>
      <w:tr>
        <w:trPr>
          <w:cantSplit/>
        </w:trPr>
        <w:tc>
          <w:tcPr>
            <w:tcW w:type="dxa" w:w="1567"/>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Grok epoch G</w:t>
            </w:r>
          </w:p>
        </w:tc>
        <w:tc>
          <w:tcPr>
            <w:tcW w:type="dxa" w:w="1567"/>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12,987</w:t>
            </w:r>
          </w:p>
        </w:tc>
        <w:tc>
          <w:tcPr>
            <w:tcW w:type="dxa" w:w="1567"/>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6,921</w:t>
            </w:r>
          </w:p>
        </w:tc>
        <w:tc>
          <w:tcPr>
            <w:tcW w:type="dxa" w:w="1567"/>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9,510</w:t>
            </w:r>
          </w:p>
        </w:tc>
        <w:tc>
          <w:tcPr>
            <w:tcW w:type="dxa" w:w="1567"/>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11,019</w:t>
            </w:r>
          </w:p>
        </w:tc>
        <w:tc>
          <w:tcPr>
            <w:tcW w:type="dxa" w:w="1567"/>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23,747</w:t>
            </w:r>
          </w:p>
        </w:tc>
      </w:tr>
    </w:tbl>
    <w:p>
      <w:pPr>
        <w:spacing w:after="40"/>
      </w:pPr>
    </w:p>
    <w:p>
      <w:r>
        <w:t>The five G values are far apart. A useful warning should happen before G in each run. It should also happen later in runs whose G is later.</w:t>
      </w:r>
    </w:p>
    <w:p>
      <w:r>
        <w:br w:type="page"/>
      </w:r>
    </w:p>
    <w:p>
      <w:pPr>
        <w:pStyle w:val="Heading1"/>
      </w:pPr>
      <w:r>
        <w:rPr>
          <w:rFonts w:ascii="Times New Roman" w:hAnsi="Times New Roman"/>
        </w:rPr>
        <w:t>2. From output scores to three numbers</w:t>
      </w:r>
    </w:p>
    <w:p>
      <w:r>
        <w:t>For each input, the network gives one raw score, called a logit, for each of the 113 possible answers. The largest logit determines the model’s answer. Logits are not probabilities: they need not lie between zero and one, and they do not have to add to one. This calculation uses the logits directly and does not apply softmax.</w:t>
      </w:r>
    </w:p>
    <w:p>
      <w:r>
        <w:t>Let c be the correct answer, and let ℓ[j] be the logit for answer j. Let r be the wrong answer with the largest logit. The method makes three summaries from the 113 logits:</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r = arg max ℓ[j], for j ≠ c</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(3)</w:t>
            </w:r>
          </w:p>
        </w:tc>
      </w:tr>
    </w:tbl>
    <w:p>
      <w:pPr>
        <w:spacing w:after="20"/>
      </w:pP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F₀ = ℓ[c]</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(4)</w:t>
            </w:r>
          </w:p>
        </w:tc>
      </w:tr>
    </w:tbl>
    <w:p>
      <w:pPr>
        <w:spacing w:after="20"/>
      </w:pP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F₁ = ℓ[r]</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(5)</w:t>
            </w:r>
          </w:p>
        </w:tc>
      </w:tr>
    </w:tbl>
    <w:p>
      <w:pPr>
        <w:spacing w:after="20"/>
      </w:pP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F₂ = (1/111) Σ ℓ[j], for j not in {c, r}</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(6)</w:t>
            </w:r>
          </w:p>
        </w:tc>
      </w:tr>
    </w:tbl>
    <w:p>
      <w:pPr>
        <w:spacing w:after="20"/>
      </w:pPr>
    </w:p>
    <w:tbl>
      <w:tblPr>
        <w:tblStyle w:val="TableGrid"/>
        <w:tblW w:type="auto" w:w="0"/>
        <w:jc w:val="center"/>
        <w:tblLayout w:type="fixed"/>
        <w:tblLook w:firstColumn="1" w:firstRow="1" w:lastColumn="0" w:lastRow="0" w:noHBand="0" w:noVBand="1" w:val="04A0"/>
      </w:tblPr>
      <w:tblGrid>
        <w:gridCol w:w="4701"/>
        <w:gridCol w:w="4701"/>
      </w:tblGrid>
      <w:tr>
        <w:trPr>
          <w:tblHeader w:val="true"/>
        </w:trPr>
        <w:tc>
          <w:tcPr>
            <w:tcW w:type="dxa" w:w="1584"/>
            <w:shd w:fill="D9E2EA"/>
            <w:tcMar>
              <w:top w:w="90" w:type="dxa"/>
              <w:start w:w="100" w:type="dxa"/>
              <w:bottom w:w="90" w:type="dxa"/>
              <w:end w:w="100" w:type="dxa"/>
            </w:tcMar>
          </w:tcPr>
          <w:p>
            <w:r>
              <w:rPr>
                <w:b/>
                <w:color w:val="142D41"/>
              </w:rPr>
              <w:t>Quantity</w:t>
            </w:r>
          </w:p>
        </w:tc>
        <w:tc>
          <w:tcPr>
            <w:tcW w:type="dxa" w:w="8064"/>
            <w:shd w:fill="D9E2EA"/>
            <w:tcMar>
              <w:top w:w="90" w:type="dxa"/>
              <w:start w:w="100" w:type="dxa"/>
              <w:bottom w:w="90" w:type="dxa"/>
              <w:end w:w="100" w:type="dxa"/>
            </w:tcMar>
          </w:tcPr>
          <w:p>
            <w:r>
              <w:rPr>
                <w:b/>
                <w:color w:val="142D41"/>
              </w:rPr>
              <w:t>Meaning</w:t>
            </w:r>
          </w:p>
        </w:tc>
      </w:tr>
      <w:tr>
        <w:trPr>
          <w:cantSplit/>
        </w:trPr>
        <w:tc>
          <w:tcPr>
            <w:tcW w:type="dxa" w:w="158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F₀</w:t>
            </w:r>
          </w:p>
        </w:tc>
        <w:tc>
          <w:tcPr>
            <w:tcW w:type="dxa" w:w="806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Score for the correct answer.</w:t>
            </w:r>
          </w:p>
        </w:tc>
      </w:tr>
      <w:tr>
        <w:trPr>
          <w:cantSplit/>
        </w:trPr>
        <w:tc>
          <w:tcPr>
            <w:tcW w:type="dxa" w:w="158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F₁</w:t>
            </w:r>
          </w:p>
        </w:tc>
        <w:tc>
          <w:tcPr>
            <w:tcW w:type="dxa" w:w="806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Highest score assigned to a wrong answer.</w:t>
            </w:r>
          </w:p>
        </w:tc>
      </w:tr>
      <w:tr>
        <w:trPr>
          <w:cantSplit/>
        </w:trPr>
        <w:tc>
          <w:tcPr>
            <w:tcW w:type="dxa" w:w="158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F₂</w:t>
            </w:r>
          </w:p>
        </w:tc>
        <w:tc>
          <w:tcPr>
            <w:tcW w:type="dxa" w:w="8064"/>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Average score of the other 111 wrong answers.</w:t>
            </w:r>
          </w:p>
        </w:tc>
      </w:tr>
    </w:tbl>
    <w:p>
      <w:pPr>
        <w:spacing w:after="40"/>
      </w:pPr>
    </w:p>
    <w:p>
      <w:r>
        <w:t>The runner-up is the wrong answer that has score F₁. After removing the correct answer and this runner-up, 111 wrong answers remain. F₂ is their arithmetic mean. It is not a probability or a confidence value.</w:t>
      </w:r>
    </w:p>
    <w:p>
      <w:pPr>
        <w:pStyle w:val="Heading2"/>
      </w:pPr>
      <w:r>
        <w:rPr>
          <w:rFonts w:ascii="Times New Roman" w:hAnsi="Times New Roman"/>
        </w:rPr>
        <w:t>Correctness and margin</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Prediction is correct exactly when F₀ &gt; F₁</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(7)</w:t>
            </w:r>
          </w:p>
        </w:tc>
      </w:tr>
    </w:tbl>
    <w:p>
      <w:pPr>
        <w:spacing w:after="20"/>
      </w:pP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Margin m = F₀ − F₁</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(8)</w:t>
            </w:r>
          </w:p>
        </w:tc>
      </w:tr>
    </w:tbl>
    <w:p>
      <w:pPr>
        <w:spacing w:after="20"/>
      </w:pPr>
    </w:p>
    <w:p>
      <w:r>
        <w:t>If m is positive, the correct answer has the highest score. If m is negative, a wrong answer has the highest score. A tie occurs when m is zero.</w:t>
      </w:r>
    </w:p>
    <w:p>
      <w:r>
        <w:br w:type="page"/>
      </w:r>
    </w:p>
    <w:p>
      <w:pPr>
        <w:pStyle w:val="Heading2"/>
      </w:pPr>
      <w:r>
        <w:rPr>
          <w:rFonts w:ascii="Times New Roman" w:hAnsi="Times New Roman"/>
        </w:rPr>
        <w:t>Worked Example 1  Calculating the margin</w:t>
      </w:r>
    </w:p>
    <w:p>
      <w:r>
        <w:t>Suppose the correct answer has logit F₀ = 42 and the largest wrong answer has logit F₁ = 37. Find the margin and decide whether the model is correct.</w:t>
      </w:r>
    </w:p>
    <w:p>
      <w:r>
        <w:t>Solution</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m = F₀ − F₁ = 42 − 37 = 5</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(9)</w:t>
            </w:r>
          </w:p>
        </w:tc>
      </w:tr>
    </w:tbl>
    <w:p>
      <w:pPr>
        <w:spacing w:after="20"/>
      </w:pPr>
    </w:p>
    <w:p>
      <w:r>
        <w:t>Since m is positive, F₀ is greater than F₁. The model’s answer is correct. If the largest wrong logit were 50, then m = 42 − 50 = −8, and the model would be wrong. The other 111 wrong logits are averaged to find F₂.</w:t>
      </w:r>
    </w:p>
    <w:p>
      <w:r>
        <w:t>In the report’s example for input (23, 45), class 68 is correct. At epoch 5,000 the margin is about −36.4, so the answer is wrong. At epoch 12,900 the margin is +5.4, with class 54 as the runner-up. At epoch 20,000 the margin is about +15.8. These three values illustrate one example only; they do not describe the whole test set.</w:t>
      </w:r>
    </w:p>
    <w:p>
      <w:pPr>
        <w:pStyle w:val="Heading2"/>
      </w:pPr>
      <w:r>
        <w:rPr>
          <w:rFonts w:ascii="Times New Roman" w:hAnsi="Times New Roman"/>
        </w:rPr>
        <w:t>Why use these three summaries</w:t>
      </w:r>
    </w:p>
    <w:p>
      <w:r>
        <w:t>The information calculation is defined here for three variables. The task has 113 answer classes, so the report reduces 113 logits to F₀, F₁ and F₂. This is a choice made for this benchmark; the source paper did not specify this reduction. It discards the identities and detailed score pattern of most wrong answers. A different reduction could give a different information curve.</w:t>
      </w:r>
    </w:p>
    <w:p>
      <w:r>
        <w:t>The model has one extra output entry for the “=” token. That token is not an answer class, so it is excluded from all three summaries.</w:t>
      </w:r>
    </w:p>
    <w:p>
      <w:pPr>
        <w:pStyle w:val="Heading1"/>
      </w:pPr>
      <w:r>
        <w:rPr>
          <w:rFonts w:ascii="Times New Roman" w:hAnsi="Times New Roman"/>
        </w:rPr>
        <w:t>3. One information value at each checkpoint</w:t>
      </w:r>
    </w:p>
    <w:p>
      <w:r>
        <w:t>At one saved checkpoint, the three summaries are calculated separately for every test input. There are 8,939 triplets: (F₀, F₁, F₂), one triplet per input. The estimator looks at how these triplets vary across the test examples and returns one number, written Ωpop(t), for that checkpoint t.</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19"/>
              </w:rPr>
              <w:t>8,939 test examples → 8,939 triplets at time t → one Ωpop(t) value</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(10)</w:t>
            </w:r>
          </w:p>
        </w:tc>
      </w:tr>
    </w:tbl>
    <w:p>
      <w:pPr>
        <w:spacing w:after="20"/>
      </w:pPr>
    </w:p>
    <w:p>
      <w:r>
        <w:t>Repeating this calculation at all 401 checkpoints makes one curve for each seed. The fraction of test examples for which F₀ &gt; F₁ is exactly the test accuracy at that checkpoint.</w:t>
      </w:r>
    </w:p>
    <w:p>
      <w:r>
        <w:t>This is a population calculation across examples at a fixed time. It does not measure how the scores change over time. The report also describes a separate exploratory time-window calculation; that calculation first averages the scores across examples and then studies those averages over time.</w:t>
      </w:r>
    </w:p>
    <w:p>
      <w:pPr>
        <w:pStyle w:val="Heading1"/>
      </w:pPr>
      <w:r>
        <w:rPr>
          <w:rFonts w:ascii="Times New Roman" w:hAnsi="Times New Roman"/>
        </w:rPr>
        <w:t>4. Information, redundancy and synergy</w:t>
      </w:r>
    </w:p>
    <w:p>
      <w:pPr>
        <w:pStyle w:val="Heading2"/>
      </w:pPr>
      <w:r>
        <w:rPr>
          <w:rFonts w:ascii="Times New Roman" w:hAnsi="Times New Roman"/>
        </w:rPr>
        <w:t>Mutual information</w:t>
      </w:r>
    </w:p>
    <w:p>
      <w:r>
        <w:t>Mutual information, written I(X;Y), measures how much two quantities are statistically related. If knowing X helps us predict Y, the mutual information is positive. If X and Y are independent, it is zero. With natural logarithms, the unit is a nat. Mutual information can measure curved or other non-linear relationships, not only straight-line relationships.</w:t>
      </w:r>
    </w:p>
    <w:p>
      <w:r>
        <w:t>Conditional mutual information I(X;Y|Z) measures the relationship between X and Y after Z is already known. It asks whether X still gives information about Y once Z is taken into account.</w:t>
      </w:r>
    </w:p>
    <w:p>
      <w:pPr>
        <w:pStyle w:val="Heading2"/>
      </w:pPr>
      <w:r>
        <w:rPr>
          <w:rFonts w:ascii="Times New Roman" w:hAnsi="Times New Roman"/>
        </w:rPr>
        <w:t>Redundancy and synergy</w:t>
      </w:r>
    </w:p>
    <w:p>
      <w:r>
        <w:t>Redundancy means that variables carry overlapping information. If two variables tend to tell us much the same thing, they are redundant. Synergy means that a useful relationship appears when variables are considered together, even though each alone may reveal little. For example, if Z is the exclusive OR of two binary values X and Y, neither value alone determines Z, but the pair does.</w:t>
      </w:r>
    </w:p>
    <w:p>
      <w:pPr>
        <w:pStyle w:val="Heading2"/>
      </w:pPr>
      <w:r>
        <w:rPr>
          <w:rFonts w:ascii="Times New Roman" w:hAnsi="Times New Roman"/>
        </w:rPr>
        <w:t>O-information</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Ω = I(F₀;F₁) − I(F₀;F₁ | F₂)</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(11)</w:t>
            </w:r>
          </w:p>
        </w:tc>
      </w:tr>
    </w:tbl>
    <w:p>
      <w:pPr>
        <w:spacing w:after="20"/>
      </w:pPr>
    </w:p>
    <w:p>
      <w:r>
        <w:t>The first term measures the relationship between the correct-answer score and the strongest wrong-answer score. The second measures how much of that relationship remains after the average background score F₂ is known. The report uses this sign convention:</w:t>
      </w:r>
    </w:p>
    <w:p>
      <w:pPr>
        <w:pStyle w:val="ListBullet"/>
      </w:pPr>
      <w:r>
        <w:t>Positive Ω: redundancy is stronger.</w:t>
      </w:r>
    </w:p>
    <w:p>
      <w:pPr>
        <w:pStyle w:val="ListBullet"/>
      </w:pPr>
      <w:r>
        <w:t>Negative Ω: synergy is stronger.</w:t>
      </w:r>
    </w:p>
    <w:p>
      <w:r>
        <w:t>The sign does not say whether the model has grokked. O-information describes the joint statistical pattern of the three scores across examples. It is not a measure of accuracy. For example, at epoch 20,000, F₀ and F₁ have a correlation of 0.998 across examples, while Ω is about 0.36 nats. Correlation and O-information measure different things.</w:t>
      </w:r>
    </w:p>
    <w:p>
      <w:pPr>
        <w:pStyle w:val="Heading1"/>
      </w:pPr>
      <w:r>
        <w:rPr>
          <w:rFonts w:ascii="Times New Roman" w:hAnsi="Times New Roman"/>
        </w:rPr>
        <w:t>5. How the information is estimated</w:t>
      </w:r>
    </w:p>
    <w:p>
      <w:r>
        <w:t>The exact probability distributions of F₀, F₁ and F₂ are not known. We have only a finite sample of 8,939 triplets. A histogram method would split each axis into bins and count the points in each bin. Its answer can change when the bin widths change.</w:t>
      </w:r>
    </w:p>
    <w:p>
      <w:r>
        <w:t>The report uses a nearest-neighbour method called KSG, named after Kraskov, Stögbauer and Grassberger. It estimates information from distances between points instead of fixed bins. The chosen number of neighbours is k = 4.</w:t>
      </w:r>
    </w:p>
    <w:p>
      <w:pPr>
        <w:spacing w:after="80"/>
        <w:ind w:left="461" w:hanging="374"/>
      </w:pPr>
      <w:r>
        <w:t>1.  For each triplet, find its fourth-nearest other triplet in the three-dimensional space (F₀, F₁, F₂).</w:t>
      </w:r>
    </w:p>
    <w:p>
      <w:pPr>
        <w:spacing w:after="80"/>
        <w:ind w:left="461" w:hanging="374"/>
      </w:pPr>
      <w:r>
        <w:t>2.  Use that distance as a local radius. The distance uses the maximum norm: the distance between two points is the largest absolute difference across their coordinates.</w:t>
      </w:r>
    </w:p>
    <w:p>
      <w:pPr>
        <w:spacing w:after="80"/>
        <w:ind w:left="461" w:hanging="374"/>
      </w:pPr>
      <w:r>
        <w:t>3.  Count how many other points lie strictly inside that radius in the smaller spaces, such as the F₀ coordinate alone or the (F₀,F₂) pair.</w:t>
      </w:r>
    </w:p>
    <w:p>
      <w:pPr>
        <w:spacing w:after="80"/>
        <w:ind w:left="461" w:hanging="374"/>
      </w:pPr>
      <w:r>
        <w:t>4.  Use the counts to estimate mutual information and conditional mutual information. Combine them using the O-information formula.</w:t>
      </w:r>
    </w:p>
    <w:p>
      <w:r>
        <w:t>“Strictly inside” matters. The point that sets the fourth-neighbour radius is on the boundary, so it must not be counted as inside. An implementation check found that inclusive counting could change a test value substantially. The corrected implementation uses strict counts and matched a brute-force calculation.</w:t>
      </w:r>
    </w:p>
    <w:p>
      <w:pPr>
        <w:pStyle w:val="Heading2"/>
      </w:pPr>
      <w:r>
        <w:rPr>
          <w:rFonts w:ascii="Times New Roman" w:hAnsi="Times New Roman"/>
        </w:rPr>
        <w:t>Estimator equations</w:t>
      </w:r>
    </w:p>
    <w:p>
      <w:r>
        <w:t>Let T be the number of triplets, k = 4, and ψ be the digamma function. The digamma function is a standard function related to the derivative of the logarithm of the gamma function. In the formulas below, angle brackets mean: calculate the quantity for every sample point and then take the average.</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19"/>
              </w:rPr>
              <w:t>I(X;Y) = ψ(k) + ψ(T) − average[ψ(Nx + 1) + ψ(Ny + 1)]</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(12)</w:t>
            </w:r>
          </w:p>
        </w:tc>
      </w:tr>
    </w:tbl>
    <w:p>
      <w:pPr>
        <w:spacing w:after="20"/>
      </w:pPr>
    </w:p>
    <w:p>
      <w:r>
        <w:t>Here Nx and Ny count points inside the radius along X and Y, separately.</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19"/>
              </w:rPr>
              <w:t>I(X;Y|Z) = ψ(k) + average[ψ(Nz + 1) − ψ(Nxz + 1) − ψ(Nyz + 1)]</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(13)</w:t>
            </w:r>
          </w:p>
        </w:tc>
      </w:tr>
    </w:tbl>
    <w:p>
      <w:pPr>
        <w:spacing w:after="20"/>
      </w:pPr>
    </w:p>
    <w:p>
      <w:r>
        <w:t>Here Nz counts points along Z, while Nxz and Nyz count points in the corresponding two-dimensional spaces. These are the estimator forms used in the report.</w:t>
      </w:r>
    </w:p>
    <w:p>
      <w:r>
        <w:t>The exact O-information formula treats the three variables symmetrically. The finite-sample estimates can depend slightly on their order. The calculation is therefore repeated for all six orderings of F₀, F₁ and F₂, and the six results are averaged. For seed 0 at epoch 12,900, the mean was 0.4044 nats and the standard deviation across the six orderings was 0.0099 nats.</w:t>
      </w:r>
    </w:p>
    <w:p>
      <w:pPr>
        <w:pStyle w:val="Heading1"/>
      </w:pPr>
      <w:r>
        <w:rPr>
          <w:rFonts w:ascii="Times New Roman" w:hAnsi="Times New Roman"/>
        </w:rPr>
        <w:t>6. What event is scored</w:t>
      </w:r>
    </w:p>
    <w:p>
      <w:r>
        <w:t>The predictor event P is defined as the checkpoint where Ωpop(t) reaches its global maximum:</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21"/>
              </w:rPr>
              <w:t>P = the time t at which Ωpop(t) is largest</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(14)</w:t>
            </w:r>
          </w:p>
        </w:tc>
      </w:tr>
    </w:tbl>
    <w:p>
      <w:pPr>
        <w:spacing w:after="20"/>
      </w:pPr>
    </w:p>
    <w:p>
      <w:r>
        <w:t>This rule was fixed before the results were scored. The grok epoch G is the first time test accuracy exceeds 0.9. The question is whether P happens before G and whether its timing tracks G across seeds.</w:t>
      </w:r>
    </w:p>
    <w:p>
      <w:pPr>
        <w:pStyle w:val="Heading2"/>
      </w:pPr>
      <w:r>
        <w:rPr>
          <w:rFonts w:ascii="Times New Roman" w:hAnsi="Times New Roman"/>
        </w:rPr>
        <w:t>Observed curve pattern</w:t>
      </w:r>
    </w:p>
    <w:p>
      <w:pPr>
        <w:pStyle w:val="ListBullet"/>
      </w:pPr>
      <w:r>
        <w:t>At epoch 0, Ωpop ranges from about +0.002 to +0.040. The lowest observed value is −0.130.</w:t>
      </w:r>
    </w:p>
    <w:p>
      <w:pPr>
        <w:pStyle w:val="ListBullet"/>
      </w:pPr>
      <w:r>
        <w:t>The curves have repeated rises and falls both before and after grokking.</w:t>
      </w:r>
    </w:p>
    <w:p>
      <w:pPr>
        <w:pStyle w:val="ListBullet"/>
      </w:pPr>
      <w:r>
        <w:t>In every seed, Ωpop first rises above 0.2 at epoch 1,900.</w:t>
      </w:r>
    </w:p>
    <w:p>
      <w:pPr>
        <w:pStyle w:val="ListBullet"/>
      </w:pPr>
      <w:r>
        <w:t>The global maximum occurs after G in every seed.</w:t>
      </w:r>
    </w:p>
    <w:p>
      <w:pPr>
        <w:pStyle w:val="ListBullet"/>
      </w:pPr>
      <w:r>
        <w:t>The peak size varies. For example, seed 4 rises from about 0.04 to 1.80, while seed 1 changes from about 0.033 to 0.070.</w:t>
      </w:r>
    </w:p>
    <w:p>
      <w:r>
        <w:t>The shared first rise at epoch 1,900 happens before grokking in every run. It may reflect a general training change rather than grokking, but the cause was not tested. The report also notes that its initial values do not reproduce the strongly negative values described in the source paper.</w:t>
      </w:r>
    </w:p>
    <w:p>
      <w:r>
        <w:br w:type="page"/>
      </w:r>
    </w:p>
    <w:p>
      <w:pPr>
        <w:pStyle w:val="Heading1"/>
      </w:pPr>
      <w:r>
        <w:rPr>
          <w:rFonts w:ascii="Times New Roman" w:hAnsi="Times New Roman"/>
        </w:rPr>
        <w:t>7. Peak times and score calculations</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936"/>
            <w:shd w:fill="D9E2EA"/>
            <w:tcMar>
              <w:top w:w="90" w:type="dxa"/>
              <w:start w:w="100" w:type="dxa"/>
              <w:bottom w:w="90" w:type="dxa"/>
              <w:end w:w="100" w:type="dxa"/>
            </w:tcMar>
          </w:tcPr>
          <w:p>
            <w:r>
              <w:rPr>
                <w:b/>
                <w:color w:val="142D41"/>
              </w:rPr>
              <w:t>Seed</w:t>
            </w:r>
          </w:p>
        </w:tc>
        <w:tc>
          <w:tcPr>
            <w:tcW w:type="dxa" w:w="1613"/>
            <w:shd w:fill="D9E2EA"/>
            <w:tcMar>
              <w:top w:w="90" w:type="dxa"/>
              <w:start w:w="100" w:type="dxa"/>
              <w:bottom w:w="90" w:type="dxa"/>
              <w:end w:w="100" w:type="dxa"/>
            </w:tcMar>
          </w:tcPr>
          <w:p>
            <w:r>
              <w:rPr>
                <w:b/>
                <w:color w:val="142D41"/>
              </w:rPr>
              <w:t>G</w:t>
            </w:r>
          </w:p>
        </w:tc>
        <w:tc>
          <w:tcPr>
            <w:tcW w:type="dxa" w:w="1613"/>
            <w:shd w:fill="D9E2EA"/>
            <w:tcMar>
              <w:top w:w="90" w:type="dxa"/>
              <w:start w:w="100" w:type="dxa"/>
              <w:bottom w:w="90" w:type="dxa"/>
              <w:end w:w="100" w:type="dxa"/>
            </w:tcMar>
          </w:tcPr>
          <w:p>
            <w:r>
              <w:rPr>
                <w:b/>
                <w:color w:val="142D41"/>
              </w:rPr>
              <w:t>P</w:t>
            </w:r>
          </w:p>
        </w:tc>
        <w:tc>
          <w:tcPr>
            <w:tcW w:type="dxa" w:w="1613"/>
            <w:shd w:fill="D9E2EA"/>
            <w:tcMar>
              <w:top w:w="90" w:type="dxa"/>
              <w:start w:w="100" w:type="dxa"/>
              <w:bottom w:w="90" w:type="dxa"/>
              <w:end w:w="100" w:type="dxa"/>
            </w:tcMar>
          </w:tcPr>
          <w:p>
            <w:r>
              <w:rPr>
                <w:b/>
                <w:color w:val="142D41"/>
              </w:rPr>
              <w:t>P − G</w:t>
            </w:r>
          </w:p>
        </w:tc>
        <w:tc>
          <w:tcPr>
            <w:tcW w:type="dxa" w:w="1440"/>
            <w:shd w:fill="D9E2EA"/>
            <w:tcMar>
              <w:top w:w="90" w:type="dxa"/>
              <w:start w:w="100" w:type="dxa"/>
              <w:bottom w:w="90" w:type="dxa"/>
              <w:end w:w="100" w:type="dxa"/>
            </w:tcMar>
          </w:tcPr>
          <w:p>
            <w:r>
              <w:rPr>
                <w:b/>
                <w:color w:val="142D41"/>
              </w:rPr>
              <w:t>P / G</w:t>
            </w:r>
          </w:p>
        </w:tc>
        <w:tc>
          <w:tcPr>
            <w:tcW w:type="dxa" w:w="2088"/>
            <w:shd w:fill="D9E2EA"/>
            <w:tcMar>
              <w:top w:w="90" w:type="dxa"/>
              <w:start w:w="100" w:type="dxa"/>
              <w:bottom w:w="90" w:type="dxa"/>
              <w:end w:w="100" w:type="dxa"/>
            </w:tcMar>
          </w:tcPr>
          <w:p>
            <w:r>
              <w:rPr>
                <w:b/>
                <w:color w:val="142D41"/>
              </w:rPr>
              <w:t>(G − P)/G</w:t>
            </w:r>
          </w:p>
        </w:tc>
      </w:tr>
      <w:tr>
        <w:trPr>
          <w:cantSplit/>
        </w:trPr>
        <w:tc>
          <w:tcPr>
            <w:tcW w:type="dxa" w:w="93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12,987</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15,500</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2,513</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1.19</w:t>
            </w:r>
          </w:p>
        </w:tc>
        <w:tc>
          <w:tcPr>
            <w:tcW w:type="dxa" w:w="208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−0.1935</w:t>
            </w:r>
          </w:p>
        </w:tc>
      </w:tr>
      <w:tr>
        <w:trPr>
          <w:cantSplit/>
        </w:trPr>
        <w:tc>
          <w:tcPr>
            <w:tcW w:type="dxa" w:w="93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6,921</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8,500</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1,579</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1.23</w:t>
            </w:r>
          </w:p>
        </w:tc>
        <w:tc>
          <w:tcPr>
            <w:tcW w:type="dxa" w:w="208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−0.2281</w:t>
            </w:r>
          </w:p>
        </w:tc>
      </w:tr>
      <w:tr>
        <w:trPr>
          <w:cantSplit/>
        </w:trPr>
        <w:tc>
          <w:tcPr>
            <w:tcW w:type="dxa" w:w="93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2</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9,510</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20,600</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11,090</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2.17</w:t>
            </w:r>
          </w:p>
        </w:tc>
        <w:tc>
          <w:tcPr>
            <w:tcW w:type="dxa" w:w="208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−1.1661</w:t>
            </w:r>
          </w:p>
        </w:tc>
      </w:tr>
      <w:tr>
        <w:trPr>
          <w:cantSplit/>
        </w:trPr>
        <w:tc>
          <w:tcPr>
            <w:tcW w:type="dxa" w:w="93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3</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11,019</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12,900</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1,881</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1.17</w:t>
            </w:r>
          </w:p>
        </w:tc>
        <w:tc>
          <w:tcPr>
            <w:tcW w:type="dxa" w:w="208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−0.1707</w:t>
            </w:r>
          </w:p>
        </w:tc>
      </w:tr>
      <w:tr>
        <w:trPr>
          <w:cantSplit/>
        </w:trPr>
        <w:tc>
          <w:tcPr>
            <w:tcW w:type="dxa" w:w="93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4</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23,747</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32,500</w:t>
            </w:r>
          </w:p>
        </w:tc>
        <w:tc>
          <w:tcPr>
            <w:tcW w:type="dxa" w:w="1613"/>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8,753</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1.37</w:t>
            </w:r>
          </w:p>
        </w:tc>
        <w:tc>
          <w:tcPr>
            <w:tcW w:type="dxa" w:w="208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−0.3686</w:t>
            </w:r>
          </w:p>
        </w:tc>
      </w:tr>
    </w:tbl>
    <w:p>
      <w:pPr>
        <w:spacing w:after="40"/>
      </w:pPr>
    </w:p>
    <w:p>
      <w:r>
        <w:t>For seed 0, P − G = 15,500 − 12,987 = 2,513 epochs. The peak is late. Its relative lead is (G − P)/G = (12,987 − 15,500)/12,987, which is about −0.1935. A negative value means the event happened after grokking. The same calculation is negative for all five seeds.</w:t>
      </w:r>
    </w:p>
    <w:p>
      <w:pPr>
        <w:pStyle w:val="Heading2"/>
      </w:pPr>
      <w:r>
        <w:rPr>
          <w:rFonts w:ascii="Times New Roman" w:hAnsi="Times New Roman"/>
        </w:rPr>
        <w:t>The three fixed conditions</w:t>
      </w:r>
    </w:p>
    <w:p>
      <w:r>
        <w:t>The benchmark uses the same three tests for each predictor. A lead must be at least 100 epochs before G.</w:t>
      </w:r>
    </w:p>
    <w:p>
      <w:pPr>
        <w:pStyle w:val="ListBullet"/>
      </w:pPr>
      <w:r>
        <w:t>Early-warning fraction: count seeds where P &lt; G − 100, then divide by 5. It must be at least 0.80, meaning at least four seeds must lead.</w:t>
      </w:r>
    </w:p>
    <w:p>
      <w:pPr>
        <w:pStyle w:val="ListBullet"/>
      </w:pPr>
      <w:r>
        <w:t>Rank correlation: compare the rank order of the five G values with the rank order of the five P values using Spearman’s correlation. It must be at least 0.90.</w:t>
      </w:r>
    </w:p>
    <w:p>
      <w:pPr>
        <w:pStyle w:val="ListBullet"/>
      </w:pPr>
      <w:r>
        <w:t>Mean relative lead: average (G − P)/G over the five seeds. It must be between 0.05 and 0.90.</w:t>
      </w:r>
    </w:p>
    <w:p>
      <w:pPr>
        <w:pStyle w:val="Heading2"/>
      </w:pPr>
      <w:r>
        <w:rPr>
          <w:rFonts w:ascii="Times New Roman" w:hAnsi="Times New Roman"/>
        </w:rPr>
        <w:t>Spearman calculation</w:t>
      </w:r>
    </w:p>
    <w:p>
      <w:r>
        <w:t>The G ranks for seeds 0 to 4 are (4, 1, 2, 3, 5). The P ranks are (3, 1, 4, 2, 5). Subtracting the ranks gives differences (1, 0, −2, 1, 0), whose squared values sum to 6. With n = 5 seeds:</w:t>
      </w:r>
    </w:p>
    <w:tbl>
      <w:tblPr>
        <w:tblW w:type="auto" w:w="0"/>
        <w:jc w:val="center"/>
        <w:tblLayout w:type="fixed"/>
        <w:tblLook w:firstColumn="1" w:firstRow="1" w:lastColumn="0" w:lastRow="0" w:noHBand="0" w:noVBand="1" w:val="04A0"/>
      </w:tblPr>
      <w:tblGrid>
        <w:gridCol w:w="3134"/>
        <w:gridCol w:w="3134"/>
        <w:gridCol w:w="3134"/>
      </w:tblGrid>
      <w:tr>
        <w:tc>
          <w:tcPr>
            <w:tcW w:type="dxa" w:w="547"/>
            <w:shd w:fill="F1F4F6"/>
            <w:tcMar>
              <w:top w:w="55" w:type="dxa"/>
              <w:start w:w="70" w:type="dxa"/>
              <w:bottom w:w="55" w:type="dxa"/>
              <w:end w:w="70" w:type="dxa"/>
            </w:tcMar>
          </w:tcPr>
          <w:p/>
        </w:tc>
        <w:tc>
          <w:tcPr>
            <w:tcW w:type="dxa" w:w="8280"/>
            <w:shd w:fill="F1F4F6"/>
            <w:tcMar>
              <w:top w:w="55" w:type="dxa"/>
              <w:start w:w="70" w:type="dxa"/>
              <w:bottom w:w="55" w:type="dxa"/>
              <w:end w:w="70" w:type="dxa"/>
            </w:tcMar>
          </w:tcPr>
          <w:p>
            <w:pPr>
              <w:ind w:firstLine="0"/>
              <w:jc w:val="center"/>
            </w:pPr>
            <w:r>
              <w:rPr>
                <w:rFonts w:ascii="Times New Roman" w:hAnsi="Times New Roman"/>
                <w:b/>
                <w:sz w:val="19"/>
              </w:rPr>
              <w:t>ρ = 1 − 6 Σd² / [n(n² − 1)] = 1 − 36 / 120 = 0.70</w:t>
            </w:r>
          </w:p>
        </w:tc>
        <w:tc>
          <w:tcPr>
            <w:tcW w:type="dxa" w:w="547"/>
            <w:shd w:fill="F1F4F6"/>
            <w:tcMar>
              <w:top w:w="55" w:type="dxa"/>
              <w:start w:w="70" w:type="dxa"/>
              <w:bottom w:w="55" w:type="dxa"/>
              <w:end w:w="70" w:type="dxa"/>
            </w:tcMar>
          </w:tcPr>
          <w:p>
            <w:pPr>
              <w:ind w:firstLine="0"/>
              <w:jc w:val="right"/>
            </w:pPr>
            <w:r>
              <w:rPr>
                <w:rFonts w:ascii="Times New Roman" w:hAnsi="Times New Roman"/>
                <w:sz w:val="19"/>
              </w:rPr>
              <w:t>(15)</w:t>
            </w:r>
          </w:p>
        </w:tc>
      </w:tr>
    </w:tbl>
    <w:p>
      <w:pPr>
        <w:spacing w:after="20"/>
      </w:pPr>
    </w:p>
    <w:p>
      <w:r>
        <w:t>The mean relative lead is the average of the five values in the last column of the table. It is −0.4254. This is outside the required range because the peaks are late on average.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880"/>
            <w:shd w:fill="D9E2EA"/>
            <w:tcMar>
              <w:top w:w="90" w:type="dxa"/>
              <w:start w:w="100" w:type="dxa"/>
              <w:bottom w:w="90" w:type="dxa"/>
              <w:end w:w="100" w:type="dxa"/>
            </w:tcMar>
          </w:tcPr>
          <w:p>
            <w:r>
              <w:rPr>
                <w:b/>
                <w:color w:val="142D41"/>
              </w:rPr>
              <w:t>Condition</w:t>
            </w:r>
          </w:p>
        </w:tc>
        <w:tc>
          <w:tcPr>
            <w:tcW w:type="dxa" w:w="2016"/>
            <w:shd w:fill="D9E2EA"/>
            <w:tcMar>
              <w:top w:w="90" w:type="dxa"/>
              <w:start w:w="100" w:type="dxa"/>
              <w:bottom w:w="90" w:type="dxa"/>
              <w:end w:w="100" w:type="dxa"/>
            </w:tcMar>
          </w:tcPr>
          <w:p>
            <w:r>
              <w:rPr>
                <w:b/>
                <w:color w:val="142D41"/>
              </w:rPr>
              <w:t>Required</w:t>
            </w:r>
          </w:p>
        </w:tc>
        <w:tc>
          <w:tcPr>
            <w:tcW w:type="dxa" w:w="1872"/>
            <w:shd w:fill="D9E2EA"/>
            <w:tcMar>
              <w:top w:w="90" w:type="dxa"/>
              <w:start w:w="100" w:type="dxa"/>
              <w:bottom w:w="90" w:type="dxa"/>
              <w:end w:w="100" w:type="dxa"/>
            </w:tcMar>
          </w:tcPr>
          <w:p>
            <w:r>
              <w:rPr>
                <w:b/>
                <w:color w:val="142D41"/>
              </w:rPr>
              <w:t>Observed</w:t>
            </w:r>
          </w:p>
        </w:tc>
        <w:tc>
          <w:tcPr>
            <w:tcW w:type="dxa" w:w="1440"/>
            <w:shd w:fill="D9E2EA"/>
            <w:tcMar>
              <w:top w:w="90" w:type="dxa"/>
              <w:start w:w="100" w:type="dxa"/>
              <w:bottom w:w="90" w:type="dxa"/>
              <w:end w:w="100" w:type="dxa"/>
            </w:tcMar>
          </w:tcPr>
          <w:p>
            <w:r>
              <w:rPr>
                <w:b/>
                <w:color w:val="142D41"/>
              </w:rPr>
              <w:t>Result</w:t>
            </w:r>
          </w:p>
        </w:tc>
      </w:tr>
      <w:tr>
        <w:trPr>
          <w:cantSplit/>
        </w:trPr>
        <w:tc>
          <w:tcPr>
            <w:tcW w:type="dxa" w:w="288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Early-warning fraction</w:t>
            </w:r>
          </w:p>
        </w:tc>
        <w:tc>
          <w:tcPr>
            <w:tcW w:type="dxa" w:w="201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At least 0.80</w:t>
            </w:r>
          </w:p>
        </w:tc>
        <w:tc>
          <w:tcPr>
            <w:tcW w:type="dxa" w:w="1872"/>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0/5 = 0</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Fail</w:t>
            </w:r>
          </w:p>
        </w:tc>
      </w:tr>
      <w:tr>
        <w:trPr>
          <w:cantSplit/>
        </w:trPr>
        <w:tc>
          <w:tcPr>
            <w:tcW w:type="dxa" w:w="288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Spearman rank correlation</w:t>
            </w:r>
          </w:p>
        </w:tc>
        <w:tc>
          <w:tcPr>
            <w:tcW w:type="dxa" w:w="201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At least 0.90</w:t>
            </w:r>
          </w:p>
        </w:tc>
        <w:tc>
          <w:tcPr>
            <w:tcW w:type="dxa" w:w="1872"/>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0.70</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Fail</w:t>
            </w:r>
          </w:p>
        </w:tc>
      </w:tr>
      <w:tr>
        <w:trPr>
          <w:cantSplit/>
        </w:trPr>
        <w:tc>
          <w:tcPr>
            <w:tcW w:type="dxa" w:w="288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Mean relative lead</w:t>
            </w:r>
          </w:p>
        </w:tc>
        <w:tc>
          <w:tcPr>
            <w:tcW w:type="dxa" w:w="201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0.05 to 0.90</w:t>
            </w:r>
          </w:p>
        </w:tc>
        <w:tc>
          <w:tcPr>
            <w:tcW w:type="dxa" w:w="1872"/>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−0.4254</w:t>
            </w:r>
          </w:p>
        </w:tc>
        <w:tc>
          <w:tcPr>
            <w:tcW w:type="dxa" w:w="1440"/>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Fail</w:t>
            </w:r>
          </w:p>
        </w:tc>
      </w:tr>
    </w:tbl>
    <w:p>
      <w:pPr>
        <w:spacing w:after="40"/>
      </w:pPr>
    </w:p>
    <w:p>
      <w:r>
        <w:t>All three conditions fail. Although the order of some peaks resembles the order of grok epochs, that agreement is not strong enough to meet the required rank correlation, and none of the peaks is early.</w:t>
      </w:r>
    </w:p>
    <w:p>
      <w:pPr>
        <w:pStyle w:val="Heading1"/>
      </w:pPr>
      <w:r>
        <w:rPr>
          <w:rFonts w:ascii="Times New Roman" w:hAnsi="Times New Roman"/>
        </w:rPr>
        <w:t>8. Temporal control and its limits</w:t>
      </w:r>
    </w:p>
    <w:p>
      <w:r>
        <w:t>The main calculation samples different test examples at one checkpoint. The exploratory temporal control asks a different question. First, it averages F₀, F₁ and F₂ over the test set at each checkpoint. It then groups 100 consecutive checkpoints into a window and calculates information from these mean triplets. The window moves forward by 10 checkpoints.</w:t>
      </w:r>
    </w:p>
    <w:p>
      <w:r>
        <w:t>Each window covers about 9,900 epochs from its first to last checkpoint. The 31 reported values have centres from epoch 5,000 to epoch 35,000. There is no temporal value before epoch 5,000.</w:t>
      </w:r>
    </w:p>
    <w:p>
      <w:r>
        <w:t>In seed 0, the temporal curve begins near 1.55, falls to about 0.52 near epoch 10,000, and later stays around 1.2 to 1.45. It is not negative in any seed. The population curve does not show the same dip. These curves are different because they use different samples and answer different questions. The windows are wide, and this control was not part of the fixed score, so its dip is not a precise warning time.</w:t>
      </w:r>
    </w:p>
    <w:p>
      <w:r>
        <w:t>A possible concern for the population calculation is shared example difficulty. An easy example may have a high F₀ and a low F₂; a difficult one may have F₀ close to F₁. This can make the summaries move together even if grokking is not the cause. The temporal comparison does not remove this concern.</w:t>
      </w:r>
    </w:p>
    <w:p>
      <w:pPr>
        <w:pStyle w:val="Heading1"/>
      </w:pPr>
      <w:r>
        <w:rPr>
          <w:rFonts w:ascii="Times New Roman" w:hAnsi="Times New Roman"/>
        </w:rPr>
        <w:t>9. What the result does and does not say</w:t>
      </w:r>
    </w:p>
    <w:p>
      <w:r>
        <w:t>The tested implementation uses a one-layer transformer on modular addition with 113 classes. It replaces the original class scores with project-defined summaries and calculates information across test examples at fixed checkpoints. The cited 2025 paper used a matrix product state classifier on three-class tasks and reported a peak near grokking in that setting.</w:t>
      </w:r>
    </w:p>
    <w:p>
      <w:r>
        <w:t>The source paper did not claim that the peak gives an early warning. The model, task, variables and sampling method differ. Therefore, this benchmark result does not refute the source paper. It shows that the particular global-maximum rule fails as an early-warning predictor here.</w:t>
      </w:r>
    </w:p>
    <w:p>
      <w:r>
        <w:t>The report found and corrected two implementation problems before scoring. First, the neighbour count had to be strict. Second, the test split had to be rebuilt with the saved random seed. The corrected seed-0 split has 8,939 test pairs and reproduces the stored population information values.</w:t>
      </w:r>
    </w:p>
    <w:p>
      <w:pPr>
        <w:pStyle w:val="Heading2"/>
      </w:pPr>
      <w:r>
        <w:rPr>
          <w:rFonts w:ascii="Times New Roman" w:hAnsi="Times New Roman"/>
        </w:rPr>
        <w:t>Limits and next checks</w:t>
      </w:r>
    </w:p>
    <w:p>
      <w:pPr>
        <w:pStyle w:val="ListBullet"/>
      </w:pPr>
      <w:r>
        <w:t>Only five seeds were used. With five values, Spearman’s correlation can take only 11 possible values.</w:t>
      </w:r>
    </w:p>
    <w:p>
      <w:pPr>
        <w:pStyle w:val="ListBullet"/>
      </w:pPr>
      <w:r>
        <w:t>Checkpoints are 100 epochs apart, so a faster change may be missed.</w:t>
      </w:r>
    </w:p>
    <w:p>
      <w:pPr>
        <w:pStyle w:val="ListBullet"/>
      </w:pPr>
      <w:r>
        <w:t>The three-number reduction discards information from the 113 logits.</w:t>
      </w:r>
    </w:p>
    <w:p>
      <w:pPr>
        <w:pStyle w:val="ListBullet"/>
      </w:pPr>
      <w:r>
        <w:t>The common rise at epoch 1,900 has no tested explanation.</w:t>
      </w:r>
    </w:p>
    <w:p>
      <w:pPr>
        <w:pStyle w:val="ListBullet"/>
      </w:pPr>
      <w:r>
        <w:t>Shared test-example difficulty may affect the population measure.</w:t>
      </w:r>
    </w:p>
    <w:p>
      <w:pPr>
        <w:pStyle w:val="ListBullet"/>
      </w:pPr>
      <w:r>
        <w:t>The time-window control is coarse and starts only at epoch 5,000.</w:t>
      </w:r>
    </w:p>
    <w:p>
      <w:r>
        <w:t>Further work can use more seeds, save more checkpoints near epoch 1,900 and near each G, test different ways of reducing the logits, and control for example difficulty.</w:t>
      </w:r>
    </w:p>
    <w:p>
      <w:r>
        <w:br w:type="page"/>
      </w:r>
    </w:p>
    <w:p>
      <w:pPr>
        <w:pStyle w:val="Heading1"/>
      </w:pPr>
      <w:r>
        <w:rPr>
          <w:rFonts w:ascii="Times New Roman" w:hAnsi="Times New Roman"/>
        </w:rPr>
        <w:t>10. Main terms at a glance</w:t>
      </w:r>
    </w:p>
    <w:tbl>
      <w:tblPr>
        <w:tblStyle w:val="TableGrid"/>
        <w:tblW w:type="auto" w:w="0"/>
        <w:jc w:val="center"/>
        <w:tblLayout w:type="fixed"/>
        <w:tblLook w:firstColumn="1" w:firstRow="1" w:lastColumn="0" w:lastRow="0" w:noHBand="0" w:noVBand="1" w:val="04A0"/>
      </w:tblPr>
      <w:tblGrid>
        <w:gridCol w:w="4701"/>
        <w:gridCol w:w="4701"/>
      </w:tblGrid>
      <w:tr>
        <w:trPr>
          <w:tblHeader w:val="true"/>
        </w:trPr>
        <w:tc>
          <w:tcPr>
            <w:tcW w:type="dxa" w:w="2376"/>
            <w:shd w:fill="D9E2EA"/>
            <w:tcMar>
              <w:top w:w="90" w:type="dxa"/>
              <w:start w:w="100" w:type="dxa"/>
              <w:bottom w:w="90" w:type="dxa"/>
              <w:end w:w="100" w:type="dxa"/>
            </w:tcMar>
          </w:tcPr>
          <w:p>
            <w:r>
              <w:rPr>
                <w:b/>
                <w:color w:val="142D41"/>
              </w:rPr>
              <w:t>Term</w:t>
            </w:r>
          </w:p>
        </w:tc>
        <w:tc>
          <w:tcPr>
            <w:tcW w:type="dxa" w:w="7128"/>
            <w:shd w:fill="D9E2EA"/>
            <w:tcMar>
              <w:top w:w="90" w:type="dxa"/>
              <w:start w:w="100" w:type="dxa"/>
              <w:bottom w:w="90" w:type="dxa"/>
              <w:end w:w="100" w:type="dxa"/>
            </w:tcMar>
          </w:tcPr>
          <w:p>
            <w:r>
              <w:rPr>
                <w:b/>
                <w:color w:val="142D41"/>
              </w:rPr>
              <w:t>Plain meaning</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Logit</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Raw score assigned to one possible answer.</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Checkpoint</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Saved model state at a particular training epoch.</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Grok epoch G</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First epoch when test accuracy is greater than 0.9.</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F₀</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Logit for the correct answer.</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F₁</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Largest logit for any wrong answer.</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F₂</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Mean logit of the other 111 wrong answers.</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Margin</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F₀ minus F₁. Positive means correct; negative means wrong.</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Mutual information</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Measure of statistical dependence between quantities.</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O-information Ω</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Measure of redundancy or synergy among three quantities.</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Population Ωpop(t)</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O-information across test examples at one checkpoint.</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Predictor event P</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Checkpoint with the largest population O-information value.</w:t>
            </w:r>
          </w:p>
        </w:tc>
      </w:tr>
      <w:tr>
        <w:trPr>
          <w:cantSplit/>
        </w:trPr>
        <w:tc>
          <w:tcPr>
            <w:tcW w:type="dxa" w:w="2376"/>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KSG</w:t>
            </w:r>
          </w:p>
        </w:tc>
        <w:tc>
          <w:tcPr>
            <w:tcW w:type="dxa" w:w="7128"/>
            <w:vAlign w:val="center"/>
            <w:tcMar>
              <w:top w:w="90" w:type="dxa"/>
              <w:start w:w="100" w:type="dxa"/>
              <w:bottom w:w="90" w:type="dxa"/>
              <w:end w:w="100" w:type="dxa"/>
            </w:tcMar>
          </w:tcPr>
          <w:p>
            <w:pPr>
              <w:spacing w:after="20" w:line="240" w:lineRule="auto"/>
              <w:ind w:firstLine="0"/>
              <w:jc w:val="left"/>
            </w:pPr>
            <w:r>
              <w:rPr>
                <w:rFonts w:ascii="Times New Roman" w:hAnsi="Times New Roman"/>
                <w:sz w:val="21"/>
              </w:rPr>
              <w:t>Nearest-neighbour method used to estimate information.</w:t>
            </w:r>
          </w:p>
        </w:tc>
      </w:tr>
    </w:tbl>
    <w:p>
      <w:pPr>
        <w:spacing w:after="40"/>
      </w:pPr>
    </w:p>
    <w:p>
      <w:pPr>
        <w:pStyle w:val="Heading1"/>
      </w:pPr>
      <w:r>
        <w:rPr>
          <w:rFonts w:ascii="Times New Roman" w:hAnsi="Times New Roman"/>
        </w:rPr>
        <w:t>Source</w:t>
      </w:r>
    </w:p>
    <w:p>
      <w:r>
        <w:t>This explanation follows the supplied Higher MI method and results report. The experiment details, reported values, event rule, and equations follow that document. The referenced paper is Pomarico et al. (2025), arXiv:2507.23346.</w:t>
      </w:r>
    </w:p>
    <w:sectPr w:rsidR="00FC693F" w:rsidRPr="0006063C" w:rsidSect="00034616">
      <w:headerReference w:type="default" r:id="rId9"/>
      <w:footerReference w:type="default" r:id="rId10"/>
      <w:pgSz w:w="11909" w:h="16834"/>
      <w:pgMar w:top="1123" w:right="1181" w:bottom="1080" w:left="1325"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5A646E"/>
        <w:sz w:val="18"/>
      </w:rPr>
      <w:t xml:space="preserve">Higher MI Method and Results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olor w:val="5A646E"/>
        <w:sz w:val="17"/>
      </w:rPr>
      <w:t>HIGHER MI  |  CALCULATIONS AND CONCEPTS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40" w:line="269" w:lineRule="auto"/>
      <w:ind w:firstLine="36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ind w:firstLine="0"/>
      <w:outlineLvl w:val="0"/>
    </w:pPr>
    <w:rPr>
      <w:rFonts w:asciiTheme="majorHAnsi" w:eastAsiaTheme="majorEastAsia" w:hAnsiTheme="majorHAnsi" w:cstheme="majorBidi" w:ascii="Times New Roman" w:hAnsi="Times New Roman" w:eastAsia="Times New Roman"/>
      <w:b/>
      <w:bCs/>
      <w:color w:val="193755"/>
      <w:sz w:val="32"/>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eastAsia="Times New Roman"/>
      <w:b/>
      <w:bCs/>
      <w:color w:val="23415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960"/>
      <w:ind w:firstLine="0"/>
      <w:contextualSpacing/>
      <w:jc w:val="center"/>
    </w:pPr>
    <w:rPr>
      <w:rFonts w:asciiTheme="majorHAnsi" w:eastAsiaTheme="majorEastAsia" w:hAnsiTheme="majorHAnsi" w:cstheme="majorBidi" w:ascii="Times New Roman" w:hAnsi="Times New Roman" w:eastAsia="Times New Roman"/>
      <w:b/>
      <w:color w:val="1937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461" w:hanging="288"/>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461" w:hanging="288"/>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Higher MI Calculations and Concepts</dc:title>
  <dc:subject>Plain English explanation of the Higher-MI benchmark calculations and concepts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