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>6. Conclusion</w:t>
      </w:r>
    </w:p>
    <w:p>
      <w:pPr>
        <w:autoSpaceDN w:val="0"/>
        <w:autoSpaceDE w:val="0"/>
        <w:widowControl/>
        <w:spacing w:line="330" w:lineRule="exact" w:before="484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24"/>
        </w:rPr>
        <w:t>6.1 Summary of Findings</w:t>
      </w:r>
    </w:p>
    <w:p>
      <w:pPr>
        <w:autoSpaceDN w:val="0"/>
        <w:autoSpaceDE w:val="0"/>
        <w:widowControl/>
        <w:spacing w:line="340" w:lineRule="exact" w:before="214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This research empirically evaluated the trade-offs between utility and privacy in federated recommendation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systems using the MovieLens 100K dataset. The comprehensive experimental analysis yields three primary </w:t>
      </w:r>
      <w:r>
        <w:rPr>
          <w:rFonts w:ascii="Arial" w:hAnsi="Arial" w:eastAsia="Helvetica"/>
          <w:b w:val="0"/>
          <w:i w:val="0"/>
          <w:color w:val="000000"/>
          <w:sz w:val="22"/>
        </w:rPr>
        <w:t>conclusions regarding the deployability of private federated learning on mobile devices.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First, differential privacy proves to be a viable protection mechanism that does not prohibitively sacrifice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utility. The results demonstrate that a privacy budget in the range of epsilon in [4, 8] offers an optimal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trade-off, providing rigorous formal privacy guarantees while maintaining recommendation accuracy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comparable to non-private baselines. Stricter privacy settings (lower epsilon) result in a sharp utility drop, </w:t>
      </w:r>
      <w:r>
        <w:rPr>
          <w:rFonts w:ascii="Arial" w:hAnsi="Arial" w:eastAsia="Helvetica"/>
          <w:b w:val="0"/>
          <w:i w:val="0"/>
          <w:color w:val="000000"/>
          <w:sz w:val="22"/>
        </w:rPr>
        <w:t>identifying this range as the critical operating point for practical deployment.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Second, the vulnerability analysis reveals that the sparsity of recommendation data acts as a natural privacy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defense. Model Inversion Attacks (MIA) failed completely across all experimental configurations, achieving a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0% success rate. Membership Inference Attacks similarly showed limited effectiveness even without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differential privacy, suggesting that gradient updates in matrix factorization models leak significantly less </w:t>
      </w:r>
      <w:r>
        <w:rPr>
          <w:rFonts w:ascii="Arial" w:hAnsi="Arial" w:eastAsia="Helvetica"/>
          <w:b w:val="0"/>
          <w:i w:val="0"/>
          <w:color w:val="000000"/>
          <w:sz w:val="22"/>
        </w:rPr>
        <w:t>sensitive information than those in dense neural networks for image or text classification.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Third, the system demonstrated unexpected robustness to data heterogeneity. Contrasting with common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challenges in federated learning, variations in the non-IID degree (controlled by the Dirichlet parameter alpha)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had negligible impact on model convergence and final accuracy. This indicates that standard federated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averaging is sufficiently robust for collaborative filtering tasks even when user data distributions are highly </w:t>
      </w:r>
      <w:r>
        <w:rPr>
          <w:rFonts w:ascii="Arial" w:hAnsi="Arial" w:eastAsia="Helvetica"/>
          <w:b w:val="0"/>
          <w:i w:val="0"/>
          <w:color w:val="000000"/>
          <w:sz w:val="22"/>
        </w:rPr>
        <w:t>skewed.</w:t>
      </w:r>
    </w:p>
    <w:p>
      <w:pPr>
        <w:autoSpaceDN w:val="0"/>
        <w:autoSpaceDE w:val="0"/>
        <w:widowControl/>
        <w:spacing w:line="330" w:lineRule="exact" w:before="478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24"/>
        </w:rPr>
        <w:t>6.2 Limitations and Future Directions</w:t>
      </w:r>
    </w:p>
    <w:p>
      <w:pPr>
        <w:autoSpaceDN w:val="0"/>
        <w:autoSpaceDE w:val="0"/>
        <w:widowControl/>
        <w:spacing w:line="340" w:lineRule="exact" w:before="214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While privacy and heterogeneity concerns were effectively mitigated, the study identified that the primary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performance bottleneck is the limited communication budget. The gap between federated and centralized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accuracy is driven more by the constrained number of training rounds than by privacy noise or data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distribution. Consequently, future work should prioritize communication-efficient optimization strategies, such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as gradient compression and quantization, to enable longer training durations on resource-constrained </w:t>
      </w:r>
      <w:r>
        <w:rPr>
          <w:rFonts w:ascii="Arial" w:hAnsi="Arial" w:eastAsia="Helvetica"/>
          <w:b w:val="0"/>
          <w:i w:val="0"/>
          <w:color w:val="000000"/>
          <w:sz w:val="22"/>
        </w:rPr>
        <w:t>mobile devices.</w:t>
      </w:r>
    </w:p>
    <w:p>
      <w:pPr>
        <w:autoSpaceDN w:val="0"/>
        <w:autoSpaceDE w:val="0"/>
        <w:widowControl/>
        <w:spacing w:line="340" w:lineRule="exact" w:before="340" w:after="0"/>
        <w:ind w:left="0" w:right="20" w:firstLine="0"/>
        <w:jc w:val="both"/>
      </w:pPr>
      <w:r>
        <w:rPr>
          <w:rFonts w:ascii="Arial" w:hAnsi="Arial" w:eastAsia="Helvetica"/>
          <w:b w:val="0"/>
          <w:i w:val="0"/>
          <w:color w:val="000000"/>
          <w:sz w:val="22"/>
        </w:rPr>
        <w:t xml:space="preserve">Additionally, while the current attack models were ineffective, future research should explore more </w:t>
      </w:r>
      <w:r>
        <w:rPr>
          <w:rFonts w:ascii="Arial" w:hAnsi="Arial" w:eastAsia="Helvetica"/>
          <w:b w:val="0"/>
          <w:i w:val="0"/>
          <w:color w:val="000000"/>
          <w:sz w:val="22"/>
        </w:rPr>
        <w:t xml:space="preserve">sophisticated threats tailored to sparse data, such as property inference attacks, to ensure comprehensive </w:t>
      </w:r>
      <w:r>
        <w:rPr>
          <w:rFonts w:ascii="Arial" w:hAnsi="Arial" w:eastAsia="Helvetica"/>
          <w:b w:val="0"/>
          <w:i w:val="0"/>
          <w:color w:val="000000"/>
          <w:sz w:val="22"/>
        </w:rPr>
        <w:t>security in production environments.</w:t>
      </w:r>
    </w:p>
    <w:p>
      <w:pPr>
        <w:autoSpaceDN w:val="0"/>
        <w:autoSpaceDE w:val="0"/>
        <w:widowControl/>
        <w:spacing w:line="216" w:lineRule="exact" w:before="2524" w:after="0"/>
        <w:ind w:left="0" w:right="0" w:firstLine="0"/>
        <w:jc w:val="center"/>
      </w:pPr>
      <w:r>
        <w:rPr>
          <w:rFonts w:ascii="Arial" w:hAnsi="Arial" w:eastAsia="Helvetica"/>
          <w:b w:val="0"/>
          <w:i/>
          <w:color w:val="000000"/>
          <w:sz w:val="16"/>
        </w:rPr>
        <w:t>Page 1</w:t>
      </w:r>
    </w:p>
    <w:sectPr w:rsidR="00FC693F" w:rsidRPr="0006063C" w:rsidSect="00034616">
      <w:pgSz w:w="11906" w:h="16838"/>
      <w:pgMar w:top="310" w:right="604" w:bottom="236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