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36"/>
        </w:rPr>
        <w:t>Experimental Setup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4.1 Overview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This chapter details the complete experimental setup used to evaluate the accuracy–privacy trade-offs in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 learning for mobile movie recommendation systems. The experiments are designed to answer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three research questions: (RQ1) the impact of differential privacy budgets on recommendation accuracy,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(RQ2) the effectiveness of privacy attacks under varying DP configurations, and (RQ3) the influence of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data heterogeneity on federated learning performance. The experimental pipeline encompasses dataset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preparation, non-IID data partitioning, in-memory federated learning simulation, differential privacy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integration, privacy attack evaluation, and comprehensive metric collection. A companion mobile client </w:t>
      </w:r>
      <w:r>
        <w:rPr>
          <w:rFonts w:ascii="Arial" w:hAnsi="Arial" w:eastAsia="Times"/>
          <w:b w:val="0"/>
          <w:i w:val="0"/>
          <w:color w:val="000000"/>
          <w:sz w:val="21"/>
        </w:rPr>
        <w:t>built with Flutter demonstrates real-device deployment feasibility.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4.2 Hardware and Software Environment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4.2.1 Computation Platform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All experiments are executed on a single workstation equipped with a multi-core CPU. No GPU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acceleration is employed; the relatively compact model size (approximately 168K parameters) and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moderate dataset scale (100K interactions) make CPU-only training practical. The complete experiment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suite of 30 configurations finishes in approximately 2.5–3 hours of wall-clock time. Peak memory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consumption is approximately 4 GB RAM per full experiment run, and the aggregate disk footprint for all </w:t>
      </w:r>
      <w:r>
        <w:rPr>
          <w:rFonts w:ascii="Arial" w:hAnsi="Arial" w:eastAsia="Times"/>
          <w:b w:val="0"/>
          <w:i w:val="0"/>
          <w:color w:val="000000"/>
          <w:sz w:val="21"/>
        </w:rPr>
        <w:t>result artifacts (JSON, CSV, and PNG figures) is under 500 MB.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4.2.2 Software Stack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server-side implementation is written entirely in Python. The core deep-learning framework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PyTorch, which handles model definition, forward and backward passes, and gradient manipulation for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DP-SGD. NumPy is used for data partitioning via the Dirichlet distribution and general numerical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operations. Pandas handles tabular data loading and result aggregation. Scikit-learn provides the Random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Forest classifier used in the membership inference attack as well as standard evaluation utilities (e.g.,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roc_auc_score). Matplotlib and Seaborn generate all publication-quality figures. FastAPI powers the </w:t>
      </w:r>
      <w:r>
        <w:rPr>
          <w:rFonts w:ascii="Arial" w:hAnsi="Arial" w:eastAsia="Times"/>
          <w:b w:val="0"/>
          <w:i w:val="0"/>
          <w:color w:val="000000"/>
          <w:sz w:val="21"/>
        </w:rPr>
        <w:t>optional HTTP-based server for distributed and mobile client deployment.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3: Core Software Dependencies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Component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Library / Framework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Deep Learning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PyTorch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2.0.0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Model training, DP-SGD gradient operations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Numerical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NumPy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1.24.0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Dirichlet partitioning, array operations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 Processing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Pandas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2.0.0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CSV loading, result aggregation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ML Utilities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Scikit-learn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1.3.0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 classifier, AUC computation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Visualization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Matplotlib / Seaborn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3.7 /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0.12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Publication-quality figures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HTTP Server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FastAPI / Uvicorn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Latest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Distributed FL deployment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Mobile Client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Flutter SDK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3.9.2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Android on-device training app</w:t>
            </w:r>
          </w:p>
        </w:tc>
      </w:tr>
    </w:tbl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4.3 Dataset Preparation</w:t>
      </w:r>
    </w:p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4.3.1 Data Loading and Preprocessing</w:t>
      </w:r>
    </w:p>
    <w:p>
      <w:pPr>
        <w:autoSpaceDN w:val="0"/>
        <w:autoSpaceDE w:val="0"/>
        <w:widowControl/>
        <w:spacing w:line="240" w:lineRule="auto" w:before="0" w:after="120"/>
        <w:ind w:left="268" w:right="28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MovieLens 100K dataset is loaded from a CSV file containing four columns: </w:t>
      </w:r>
      <w:r>
        <w:rPr>
          <w:rFonts w:ascii="Arial" w:hAnsi="Arial" w:eastAsia="Times"/>
          <w:b w:val="0"/>
          <w:i/>
          <w:color w:val="000000"/>
          <w:sz w:val="21"/>
        </w:rPr>
        <w:t>userId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</w:t>
      </w:r>
      <w:r>
        <w:rPr>
          <w:rFonts w:ascii="Arial" w:hAnsi="Arial" w:eastAsia="Times"/>
          <w:b w:val="0"/>
          <w:i/>
          <w:color w:val="000000"/>
          <w:sz w:val="21"/>
        </w:rPr>
        <w:t>movieId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</w:t>
      </w:r>
      <w:r>
        <w:rPr>
          <w:rFonts w:ascii="Arial" w:hAnsi="Arial" w:eastAsia="Times"/>
          <w:b w:val="0"/>
          <w:i/>
          <w:color w:val="000000"/>
          <w:sz w:val="21"/>
        </w:rPr>
        <w:t>rating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and </w:t>
      </w:r>
      <w:r>
        <w:rPr>
          <w:rFonts w:ascii="Arial" w:hAnsi="Arial" w:eastAsia="Times"/>
          <w:b w:val="0"/>
          <w:i/>
          <w:color w:val="000000"/>
          <w:sz w:val="21"/>
        </w:rPr>
        <w:t>timestamp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. User and item identifiers are re-mapped to zero-indexed integers to serve as direct indices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into the embedding layers. After re-mapping, the dataset comprises 943 unique users, 1,682 unique items,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and 100,000 interaction records. Ratings are retained on their original 1–5 continuous scale for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regression-based evaluation pipeline; for the binary classification variant used in certain attack evaluations,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ratings are binarized with a threshold of 4.0 (ratings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4.0 </w:t>
      </w:r>
      <w:r>
        <w:rPr>
          <w:rFonts w:ascii="Arial" w:hAnsi="Arial" w:eastAsia="Symbol"/>
          <w:b w:val="0"/>
          <w:i w:val="0"/>
          <w:color w:val="000000"/>
          <w:sz w:val="21"/>
        </w:rPr>
        <w:t>→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1.0; otherwise </w:t>
      </w:r>
      <w:r>
        <w:rPr>
          <w:rFonts w:ascii="Arial" w:hAnsi="Arial" w:eastAsia="Symbol"/>
          <w:b w:val="0"/>
          <w:i w:val="0"/>
          <w:color w:val="000000"/>
          <w:sz w:val="21"/>
        </w:rPr>
        <w:t>→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0.0).</w:t>
      </w:r>
    </w:p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4.3.2 Train–Test Split</w:t>
      </w:r>
    </w:p>
    <w:p>
      <w:pPr>
        <w:autoSpaceDN w:val="0"/>
        <w:autoSpaceDE w:val="0"/>
        <w:widowControl/>
        <w:spacing w:line="240" w:lineRule="auto" w:before="0" w:after="120"/>
        <w:ind w:left="268" w:right="28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100,000 interactions are split into 80% training (80,000 interactions) and 20% test (20,000 interactions)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sets via a random permutation with a fixed seed. The split is performed at the interaction level rather than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user level, ensuring that every user has some ratings in both the training and test sets. This enables </w:t>
      </w:r>
      <w:r>
        <w:rPr>
          <w:rFonts w:ascii="Arial" w:hAnsi="Arial" w:eastAsia="Times"/>
          <w:b w:val="0"/>
          <w:i w:val="0"/>
          <w:color w:val="000000"/>
          <w:sz w:val="21"/>
        </w:rPr>
        <w:t>per-user recommendation metric computation on the test set.</w:t>
      </w:r>
    </w:p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4.3.3 Non-IID Data Partitioning via Dirichlet Distribution</w:t>
      </w:r>
    </w:p>
    <w:p>
      <w:pPr>
        <w:autoSpaceDN w:val="0"/>
        <w:autoSpaceDE w:val="0"/>
        <w:widowControl/>
        <w:spacing w:line="240" w:lineRule="auto" w:before="0" w:after="120"/>
        <w:ind w:left="268" w:right="28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To simulate realistic mobile data distributions where each device holds a distinct and non-overlapping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subset of user interactions, the 80,000 training interactions are partitioned among </w:t>
      </w:r>
      <w:r>
        <w:rPr>
          <w:rFonts w:ascii="Arial" w:hAnsi="Arial" w:eastAsia="Times"/>
          <w:b w:val="0"/>
          <w:i/>
          <w:color w:val="000000"/>
          <w:sz w:val="21"/>
        </w:rPr>
        <w:t>K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100 simulated clients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using a Dirichlet distribution with concentration parameter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>. The partitioning proceeds as follows:</w:t>
      </w:r>
    </w:p>
    <w:p>
      <w:pPr>
        <w:autoSpaceDN w:val="0"/>
        <w:autoSpaceDE w:val="0"/>
        <w:widowControl/>
        <w:spacing w:line="240" w:lineRule="auto" w:before="0" w:after="120"/>
        <w:ind w:left="74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Step 1 – Group by User: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Interactions are grouped by user ID, yielding up to 943 groups.</w:t>
      </w:r>
    </w:p>
    <w:p>
      <w:pPr>
        <w:autoSpaceDN w:val="0"/>
        <w:autoSpaceDE w:val="0"/>
        <w:widowControl/>
        <w:spacing w:line="240" w:lineRule="auto" w:before="0" w:after="120"/>
        <w:ind w:left="748" w:right="288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Step 2 – Sample Proportions: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For each user, a probability vector </w:t>
      </w:r>
      <w:r>
        <w:rPr>
          <w:rFonts w:ascii="Arial" w:hAnsi="Arial" w:eastAsia="Times"/>
          <w:b/>
          <w:i w:val="0"/>
          <w:color w:val="000000"/>
          <w:sz w:val="21"/>
        </w:rPr>
        <w:t>p</w:t>
      </w:r>
      <w:r>
        <w:rPr>
          <w:rFonts w:ascii="Arial" w:hAnsi="Arial" w:eastAsia="Symbol"/>
          <w:b w:val="0"/>
          <w:i w:val="0"/>
          <w:color w:val="000000"/>
          <w:sz w:val="21"/>
        </w:rPr>
        <w:t>∼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Dir(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…,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 with </w:t>
      </w:r>
      <w:r>
        <w:rPr>
          <w:rFonts w:ascii="Arial" w:hAnsi="Arial" w:eastAsia="Times"/>
          <w:b w:val="0"/>
          <w:i/>
          <w:color w:val="000000"/>
          <w:sz w:val="21"/>
        </w:rPr>
        <w:t>K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100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components is drawn. Each component </w:t>
      </w:r>
      <w:r>
        <w:rPr>
          <w:rFonts w:ascii="Arial" w:hAnsi="Arial" w:eastAsia="Times"/>
          <w:b w:val="0"/>
          <w:i/>
          <w:color w:val="000000"/>
          <w:sz w:val="21"/>
        </w:rPr>
        <w:t>p</w:t>
      </w:r>
      <w:r>
        <w:rPr>
          <w:rFonts w:ascii="Arial" w:hAnsi="Arial" w:eastAsia="Times"/>
          <w:b w:val="0"/>
          <w:i/>
          <w:color w:val="000000"/>
          <w:sz w:val="17"/>
        </w:rPr>
        <w:t>k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represents the fraction of that user’s interactions assigned to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client </w:t>
      </w:r>
      <w:r>
        <w:rPr>
          <w:rFonts w:ascii="Arial" w:hAnsi="Arial" w:eastAsia="Times"/>
          <w:b w:val="0"/>
          <w:i/>
          <w:color w:val="000000"/>
          <w:sz w:val="21"/>
        </w:rPr>
        <w:t>k</w:t>
      </w:r>
      <w:r>
        <w:rPr>
          <w:rFonts w:ascii="Arial" w:hAnsi="Arial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0" w:after="120"/>
        <w:ind w:left="748" w:right="288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Step 3 – Assign Interactions: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Each interaction is independently assigned to a client according to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sampled proportions. This introduces controlled heterogeneity: a small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concentrates most of a user’s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data on one or two clients, while a larger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distributes it more evenly.</w:t>
      </w:r>
    </w:p>
    <w:p>
      <w:pPr>
        <w:autoSpaceDN w:val="0"/>
        <w:autoSpaceDE w:val="0"/>
        <w:widowControl/>
        <w:spacing w:line="240" w:lineRule="auto" w:before="0" w:after="120"/>
        <w:ind w:left="268" w:right="28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resulting partition is inherently imbalanced. With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0.5 (the default), client dataset sizes range from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roughly 100 to 1,500 interactions, with a mean of 800. This imbalance is representative of production </w:t>
      </w:r>
      <w:r>
        <w:rPr>
          <w:rFonts w:ascii="Arial" w:hAnsi="Arial" w:eastAsia="Times"/>
          <w:b w:val="0"/>
          <w:i w:val="0"/>
          <w:color w:val="000000"/>
          <w:sz w:val="21"/>
        </w:rPr>
        <w:t>mobile deployments where user activity levels vary widely.</w:t>
      </w:r>
    </w:p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4: Dirichlet Concentration Parameter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407"/>
        <w:gridCol w:w="2407"/>
        <w:gridCol w:w="2407"/>
        <w:gridCol w:w="2407"/>
      </w:tblGrid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 Value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Heterogeneity Level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Typical Client Profile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Use Case</w:t>
            </w:r>
          </w:p>
        </w:tc>
      </w:tr>
      <w:tr>
        <w:trPr>
          <w:trHeight w:hRule="exact" w:val="64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Highly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Most clients receive data from 1–2 users only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576" w:right="576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RQ3: extreme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heterogeneity</w:t>
            </w:r>
          </w:p>
        </w:tc>
      </w:tr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Moderately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Clients receive data from several users with overlap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Default for RQ1, RQ2</w:t>
            </w:r>
          </w:p>
        </w:tc>
      </w:tr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Mildly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 distributed more uniformly, approaching IID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RQ3: low heterogeneity</w:t>
            </w:r>
          </w:p>
        </w:tc>
      </w:tr>
    </w:tbl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4.4 Federated Learning Simulation Environment</w:t>
      </w:r>
    </w:p>
    <w:p>
      <w:pPr>
        <w:autoSpaceDN w:val="0"/>
        <w:autoSpaceDE w:val="0"/>
        <w:widowControl/>
        <w:spacing w:line="240" w:lineRule="auto" w:before="0" w:after="120"/>
        <w:ind w:left="26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4.4.1 In-Memory Simulation Architecture</w:t>
      </w:r>
    </w:p>
    <w:p>
      <w:pPr>
        <w:autoSpaceDN w:val="0"/>
        <w:autoSpaceDE w:val="0"/>
        <w:widowControl/>
        <w:spacing w:line="240" w:lineRule="auto" w:before="0" w:after="120"/>
        <w:ind w:left="268" w:right="28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federated learning experiments are conducted using an in-memory simulation that faithfully replicates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Federated Averaging (FedAvg) protocol without incurring network latency or serialization overhead. In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each communication round, every client receives a deep copy of the current global model’s state dictionary,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performs local training on its private data partition, and returns the updated state dictionary to the server.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server then performs weighted averaging (Section 3.4 of the Methodology) to produce the next global </w:t>
      </w:r>
      <w:r>
        <w:rPr>
          <w:rFonts w:ascii="Arial" w:hAnsi="Arial" w:eastAsia="Times"/>
          <w:b w:val="0"/>
          <w:i w:val="0"/>
          <w:color w:val="000000"/>
          <w:sz w:val="21"/>
        </w:rPr>
        <w:t>model. This design enables the complete 30-experiment suite to execute on a single machine while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remaining functionally equivalent to a distributed deployment.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4.4.2 Per-Round Execution Flow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Each federated learning round executes the following steps: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1. Model Distribution: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global model’s state dictionary is deep-copied to each of the 100 clients.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Each client instantiates a fresh </w:t>
      </w:r>
      <w:r>
        <w:rPr>
          <w:rFonts w:ascii="Arial" w:hAnsi="Arial" w:eastAsia="Times"/>
          <w:b w:val="0"/>
          <w:i/>
          <w:color w:val="000000"/>
          <w:sz w:val="21"/>
        </w:rPr>
        <w:t>MatrixFactorization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module and loads the copied parameters.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2. Local Training: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Each client trains on its local data partition for </w:t>
      </w:r>
      <w:r>
        <w:rPr>
          <w:rFonts w:ascii="Arial" w:hAnsi="Arial" w:eastAsia="Times"/>
          <w:b w:val="0"/>
          <w:i/>
          <w:color w:val="000000"/>
          <w:sz w:val="21"/>
        </w:rPr>
        <w:t>E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3 local epochs using SGD </w:t>
      </w:r>
      <w:r>
        <w:rPr>
          <w:rFonts w:ascii="Arial" w:hAnsi="Arial" w:eastAsia="Times"/>
          <w:b w:val="0"/>
          <w:i w:val="0"/>
          <w:color w:val="000000"/>
          <w:sz w:val="21"/>
        </w:rPr>
        <w:t>(learning rate 0.01, weight decay 10</w:t>
      </w:r>
      <w:r>
        <w:rPr>
          <w:rFonts w:ascii="Arial" w:hAnsi="Arial" w:eastAsia="Symbol"/>
          <w:b w:val="0"/>
          <w:i w:val="0"/>
          <w:color w:val="000000"/>
          <w:sz w:val="17"/>
        </w:rPr>
        <w:t>−</w:t>
      </w:r>
      <w:r>
        <w:rPr>
          <w:rFonts w:ascii="Arial" w:hAnsi="Arial" w:eastAsia="Times"/>
          <w:b w:val="0"/>
          <w:i w:val="0"/>
          <w:color w:val="000000"/>
          <w:sz w:val="17"/>
        </w:rPr>
        <w:t>5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batch size 32). The loss function is Mean Squared Error (MSE)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for the regression variant or Binary Cross-Entropy (BCE) for the binary variant. If differential privacy </w:t>
      </w:r>
      <w:r>
        <w:rPr>
          <w:rFonts w:ascii="Arial" w:hAnsi="Arial" w:eastAsia="Times"/>
          <w:b w:val="0"/>
          <w:i w:val="0"/>
          <w:color w:val="000000"/>
          <w:sz w:val="21"/>
        </w:rPr>
        <w:t>is enabled, DP-SGD gradient clipping and noise injection are applied after each backward pass.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3. Parameter Collection: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Each client’s updated state dictionary and local sample count are collected.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center"/>
      </w:pPr>
      <w:r/>
      <m:oMath>
        <m:sSub>
          <m:e>
            <m:r>
              <m:t>w</m:t>
            </m:r>
          </m:e>
          <m:sub>
            <m:r>
              <m:t>global</m:t>
            </m:r>
          </m:sub>
        </m:sSub>
        <m:r>
          <m:t>=</m:t>
        </m:r>
        <m:nary>
          <m:naryPr>
            <m:chr m:val="∑"/>
          </m:naryPr>
          <m:sub>
            <m:r>
              <m:t>k=1</m:t>
            </m:r>
          </m:sub>
          <m:sup>
            <m:r>
              <m:t>K</m:t>
            </m:r>
          </m:sup>
          <m:e>
            <m:f>
              <m:num>
                <m:sSub>
                  <m:e>
                    <m:r>
                      <m:t>n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total</m:t>
                    </m:r>
                  </m:sub>
                </m:sSub>
              </m:den>
            </m:f>
            <m:r>
              <m:t>·</m:t>
            </m:r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5. Evaluation: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aggregated global model is evaluated on the held-out test set. Full evaluation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(including recommendation metrics) is performed at key checkpoints (rounds 1, 5, and 10) to reduce </w:t>
      </w:r>
      <w:r>
        <w:rPr>
          <w:rFonts w:ascii="Arial" w:hAnsi="Arial" w:eastAsia="Times"/>
          <w:b w:val="0"/>
          <w:i w:val="0"/>
          <w:color w:val="000000"/>
          <w:sz w:val="21"/>
        </w:rPr>
        <w:t>computational overhead, while basic regression metrics (MSE, MAE) are computed every round.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6. Logging: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Round-level metrics are appended to an in-memory collector and persisted to disk as </w:t>
      </w:r>
      <w:r>
        <w:rPr>
          <w:rFonts w:ascii="Arial" w:hAnsi="Arial" w:eastAsia="Times"/>
          <w:b w:val="0"/>
          <w:i w:val="0"/>
          <w:color w:val="000000"/>
          <w:sz w:val="21"/>
        </w:rPr>
        <w:t>JSON and CSV at the end of the experiment.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4.5 Differential Privacy Integration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4.5.1 DP-SGD Implementation Details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Differential privacy is enforced at the gradient level during local client training. After each backward pass, </w:t>
      </w:r>
      <w:r>
        <w:rPr>
          <w:rFonts w:ascii="Arial" w:hAnsi="Arial" w:eastAsia="Times"/>
          <w:b w:val="0"/>
          <w:i w:val="0"/>
          <w:color w:val="000000"/>
          <w:sz w:val="21"/>
        </w:rPr>
        <w:t>two operations are applied sequentially: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Per-Parameter Gradient Clipping: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L2 norm of the full gradient vector (concatenated across all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model parameters) is computed. If the norm exceeds the clipping threshold </w:t>
      </w:r>
      <w:r>
        <w:rPr>
          <w:rFonts w:ascii="Arial" w:hAnsi="Arial" w:eastAsia="Times"/>
          <w:b w:val="0"/>
          <w:i/>
          <w:color w:val="000000"/>
          <w:sz w:val="21"/>
        </w:rPr>
        <w:t>C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1.0, all per-parameter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gradients are scaled down by the factor </w:t>
      </w:r>
      <w:r>
        <w:rPr>
          <w:rFonts w:ascii="Arial" w:hAnsi="Arial" w:eastAsia="Times"/>
          <w:b w:val="0"/>
          <w:i/>
          <w:color w:val="000000"/>
          <w:sz w:val="21"/>
        </w:rPr>
        <w:t>C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/ (||</w:t>
      </w:r>
      <w:r>
        <w:rPr>
          <w:rFonts w:ascii="Arial" w:hAnsi="Arial" w:eastAsia="Times"/>
          <w:b w:val="0"/>
          <w:i/>
          <w:color w:val="000000"/>
          <w:sz w:val="21"/>
        </w:rPr>
        <w:t>g</w:t>
      </w:r>
      <w:r>
        <w:rPr>
          <w:rFonts w:ascii="Arial" w:hAnsi="Arial" w:eastAsia="Times"/>
          <w:b w:val="0"/>
          <w:i w:val="0"/>
          <w:color w:val="000000"/>
          <w:sz w:val="21"/>
        </w:rPr>
        <w:t>||</w:t>
      </w:r>
      <w:r>
        <w:rPr>
          <w:rFonts w:ascii="Arial" w:hAnsi="Arial" w:eastAsia="Times"/>
          <w:b w:val="0"/>
          <w:i w:val="0"/>
          <w:color w:val="000000"/>
          <w:sz w:val="17"/>
        </w:rPr>
        <w:t>2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+ 10</w:t>
      </w:r>
      <w:r>
        <w:rPr>
          <w:rFonts w:ascii="Arial" w:hAnsi="Arial" w:eastAsia="Symbol"/>
          <w:b w:val="0"/>
          <w:i w:val="0"/>
          <w:color w:val="000000"/>
          <w:sz w:val="17"/>
        </w:rPr>
        <w:t>−</w:t>
      </w:r>
      <w:r>
        <w:rPr>
          <w:rFonts w:ascii="Arial" w:hAnsi="Arial" w:eastAsia="Times"/>
          <w:b w:val="0"/>
          <w:i w:val="0"/>
          <w:color w:val="000000"/>
          <w:sz w:val="17"/>
        </w:rPr>
        <w:t>6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). This bounds the maximum contribution of </w:t>
      </w:r>
      <w:r>
        <w:rPr>
          <w:rFonts w:ascii="Arial" w:hAnsi="Arial" w:eastAsia="Times"/>
          <w:b w:val="0"/>
          <w:i w:val="0"/>
          <w:color w:val="000000"/>
          <w:sz w:val="21"/>
        </w:rPr>
        <w:t>any single training sample to the model update.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Gaussian Noise Injection: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After clipping, independent Gaussian noise drawn from </w:t>
      </w:r>
      <w:r>
        <w:rPr>
          <w:rFonts w:ascii="Arial" w:hAnsi="Arial" w:eastAsia="ZapfDingbats"/>
          <w:b w:val="0"/>
          <w:i w:val="0"/>
          <w:color w:val="000000"/>
          <w:sz w:val="21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(0, 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² · </w:t>
      </w:r>
      <w:r>
        <w:rPr>
          <w:rFonts w:ascii="Arial" w:hAnsi="Arial" w:eastAsia="Times"/>
          <w:b w:val="0"/>
          <w:i/>
          <w:color w:val="000000"/>
          <w:sz w:val="21"/>
        </w:rPr>
        <w:t>C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² · </w:t>
      </w:r>
      <w:r>
        <w:rPr>
          <w:rFonts w:ascii="Arial" w:hAnsi="Arial" w:eastAsia="Times"/>
          <w:b/>
          <w:i w:val="0"/>
          <w:color w:val="000000"/>
          <w:sz w:val="21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added to each parameter’s gradient. The noise multiplier 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is pre-computed to achieve the target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privacy budget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given the number of training steps, batch size, and dataset size.</w:t>
      </w:r>
    </w:p>
    <w:p>
      <w:pPr>
        <w:autoSpaceDN w:val="0"/>
        <w:autoSpaceDE w:val="0"/>
        <w:widowControl/>
        <w:spacing w:line="240" w:lineRule="auto" w:before="0" w:after="12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clipping and noise operations are applied at every gradient step within the local training loop, ensuring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that each mini-batch update satisfies the local DP guarantee. The cumulative privacy loss across all rounds </w:t>
      </w:r>
      <w:r>
        <w:rPr>
          <w:rFonts w:ascii="Arial" w:hAnsi="Arial" w:eastAsia="Times"/>
          <w:b w:val="0"/>
          <w:i w:val="0"/>
          <w:color w:val="000000"/>
          <w:sz w:val="21"/>
        </w:rPr>
        <w:t>is tracked by the RDP accountant.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4.5.2 Privacy Budget Calibration</w:t>
      </w:r>
    </w:p>
    <w:p>
      <w:pPr>
        <w:autoSpaceDN w:val="0"/>
        <w:autoSpaceDE w:val="0"/>
        <w:widowControl/>
        <w:spacing w:line="240" w:lineRule="auto" w:before="0" w:after="12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noise multiplier 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for each target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is computed using the Rényi Differential Privacy (RDP) accountant.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accountant evaluates the RDP guarantee at a range of Rényi orders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Symbol"/>
          <w:b w:val="0"/>
          <w:i w:val="0"/>
          <w:color w:val="000000"/>
          <w:sz w:val="21"/>
        </w:rPr>
        <w:t>∈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{1.1, 1.2, …, 1.9, 2, 3, …, 64} </w:t>
      </w:r>
      <w:r>
        <w:rPr>
          <w:rFonts w:ascii="Arial" w:hAnsi="Arial" w:eastAsia="Times"/>
          <w:b w:val="0"/>
          <w:i w:val="0"/>
          <w:color w:val="000000"/>
          <w:sz w:val="21"/>
        </w:rPr>
        <w:t>and converts the tightest bound to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</w:t>
      </w:r>
      <w:r>
        <w:rPr>
          <w:rFonts w:ascii="Arial" w:hAnsi="Arial" w:eastAsia="Symbol"/>
          <w:b w:val="0"/>
          <w:i w:val="0"/>
          <w:color w:val="000000"/>
          <w:sz w:val="21"/>
        </w:rPr>
        <w:t>δ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)-DP with </w:t>
      </w:r>
      <w:r>
        <w:rPr>
          <w:rFonts w:ascii="Arial" w:hAnsi="Arial" w:eastAsia="Symbol"/>
          <w:b w:val="0"/>
          <w:i w:val="0"/>
          <w:color w:val="000000"/>
          <w:sz w:val="21"/>
        </w:rPr>
        <w:t>δ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10</w:t>
      </w:r>
      <w:r>
        <w:rPr>
          <w:rFonts w:ascii="Arial" w:hAnsi="Arial" w:eastAsia="Symbol"/>
          <w:b w:val="0"/>
          <w:i w:val="0"/>
          <w:color w:val="000000"/>
          <w:sz w:val="17"/>
        </w:rPr>
        <w:t>−</w:t>
      </w:r>
      <w:r>
        <w:rPr>
          <w:rFonts w:ascii="Arial" w:hAnsi="Arial" w:eastAsia="Times"/>
          <w:b w:val="0"/>
          <w:i w:val="0"/>
          <w:color w:val="000000"/>
          <w:sz w:val="17"/>
        </w:rPr>
        <w:t>5</w:t>
      </w:r>
      <w:r>
        <w:rPr>
          <w:rFonts w:ascii="Arial" w:hAnsi="Arial" w:eastAsia="Times"/>
          <w:b w:val="0"/>
          <w:i w:val="0"/>
          <w:color w:val="000000"/>
          <w:sz w:val="21"/>
        </w:rPr>
        <w:t>. The key parameters for the accounting are: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Steps per round:</w:t>
      </w:r>
      <w:r>
        <w:rPr>
          <w:rFonts w:ascii="Arial" w:hAnsi="Arial" w:eastAsia="ZapfDingbats"/>
          <w:b w:val="0"/>
          <w:i w:val="0"/>
          <w:color w:val="000000"/>
          <w:sz w:val="21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>samples_per_client / batch_size</w:t>
      </w:r>
      <w:r>
        <w:rPr>
          <w:rFonts w:ascii="Arial" w:hAnsi="Arial" w:eastAsia="ZapfDingbats"/>
          <w:b w:val="0"/>
          <w:i w:val="0"/>
          <w:color w:val="000000"/>
          <w:sz w:val="21"/>
        </w:rPr>
        <w:t>I</w:t>
      </w:r>
      <w:r>
        <w:rPr>
          <w:rFonts w:ascii="Arial" w:hAnsi="Arial" w:eastAsia="Symbol"/>
          <w:b w:val="0"/>
          <w:i w:val="0"/>
          <w:color w:val="000000"/>
          <w:sz w:val="21"/>
        </w:rPr>
        <w:t>≈</w:t>
      </w:r>
      <w:r>
        <w:rPr>
          <w:rFonts w:ascii="Arial" w:hAnsi="Arial" w:eastAsia="ZapfDingbats"/>
          <w:b w:val="0"/>
          <w:i w:val="0"/>
          <w:color w:val="000000"/>
          <w:sz w:val="21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>80 / 32</w:t>
      </w:r>
      <w:r>
        <w:rPr>
          <w:rFonts w:ascii="Arial" w:hAnsi="Arial" w:eastAsia="ZapfDingbats"/>
          <w:b w:val="0"/>
          <w:i w:val="0"/>
          <w:color w:val="000000"/>
          <w:sz w:val="21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25 (with 3 local epochs: 75 </w:t>
      </w:r>
      <w:r>
        <w:rPr>
          <w:rFonts w:ascii="Arial" w:hAnsi="Arial" w:eastAsia="Times"/>
          <w:b w:val="0"/>
          <w:i w:val="0"/>
          <w:color w:val="000000"/>
          <w:sz w:val="21"/>
        </w:rPr>
        <w:t>steps per round)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Total steps: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10 rounds × 75 steps = 750 gradient steps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Per-step RDP: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/ (2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²) for Gaussian mechanism at order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Composition: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Total RDP = 750 × per-step RDP (linear composition under RDP)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Conversion: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total_RDP + log(1/</w:t>
      </w:r>
      <w:r>
        <w:rPr>
          <w:rFonts w:ascii="Arial" w:hAnsi="Arial" w:eastAsia="Symbol"/>
          <w:b w:val="0"/>
          <w:i w:val="0"/>
          <w:color w:val="000000"/>
          <w:sz w:val="21"/>
        </w:rPr>
        <w:t>δ</w:t>
      </w:r>
      <w:r>
        <w:rPr>
          <w:rFonts w:ascii="Arial" w:hAnsi="Arial" w:eastAsia="Times"/>
          <w:b w:val="0"/>
          <w:i w:val="0"/>
          <w:color w:val="000000"/>
          <w:sz w:val="21"/>
        </w:rPr>
        <w:t>) / (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Symbol"/>
          <w:b w:val="0"/>
          <w:i w:val="0"/>
          <w:color w:val="000000"/>
          <w:sz w:val="21"/>
        </w:rPr>
        <w:t>−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1); minimized over all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5: Differential Privacy Configurations and Achieved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19"/>
        <w:gridCol w:w="1819"/>
        <w:gridCol w:w="1819"/>
        <w:gridCol w:w="1819"/>
        <w:gridCol w:w="1819"/>
      </w:tblGrid>
      <w:tr>
        <w:trPr>
          <w:trHeight w:hRule="exact" w:val="64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Target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σ</w:t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 (Noise Multiplier)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Achieved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Privacy Level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288" w:right="288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Gradient Clip </w:t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Norm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No Privacy (Baseline)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N/A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11.03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7.91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Relaxed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20.40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4.02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Moderate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40.70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1.94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Strong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75.06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1.03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Very Strong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4.6 Privacy Attack Setup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4.6.1 Membership Inference Attack Configuration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membership inference attack (MIA) follows the shadow-model paradigm described in Section 3.7.1 of </w:t>
      </w:r>
      <w:r>
        <w:rPr>
          <w:rFonts w:ascii="Arial" w:hAnsi="Arial" w:eastAsia="Times"/>
          <w:b w:val="0"/>
          <w:i w:val="0"/>
          <w:color w:val="000000"/>
          <w:sz w:val="21"/>
        </w:rPr>
        <w:t>the Methodology. The attack is configured as follows: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Shadow Models: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Three shadow models are trained, each on a random subset of the training data </w:t>
      </w:r>
      <w:r>
        <w:rPr>
          <w:rFonts w:ascii="Arial" w:hAnsi="Arial" w:eastAsia="Times"/>
          <w:b w:val="0"/>
          <w:i w:val="0"/>
          <w:color w:val="000000"/>
          <w:sz w:val="21"/>
        </w:rPr>
        <w:t>containing up to min(|</w:t>
      </w:r>
      <w:r>
        <w:rPr>
          <w:rFonts w:ascii="Arial" w:hAnsi="Arial" w:eastAsia="Times"/>
          <w:b w:val="0"/>
          <w:i/>
          <w:color w:val="000000"/>
          <w:sz w:val="21"/>
        </w:rPr>
        <w:t>D</w:t>
      </w:r>
      <w:r>
        <w:rPr>
          <w:rFonts w:ascii="Arial" w:hAnsi="Arial" w:eastAsia="Times"/>
          <w:b w:val="0"/>
          <w:i w:val="0"/>
          <w:color w:val="000000"/>
          <w:sz w:val="17"/>
        </w:rPr>
        <w:t>train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| / 3, 5000) </w:t>
      </w:r>
      <w:r>
        <w:rPr>
          <w:rFonts w:ascii="Arial" w:hAnsi="Arial" w:eastAsia="Symbol"/>
          <w:b w:val="0"/>
          <w:i w:val="0"/>
          <w:color w:val="000000"/>
          <w:sz w:val="21"/>
        </w:rPr>
        <w:t>≈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2,666 samples. Each shadow model is trained for 5 epochs </w:t>
      </w:r>
      <w:r>
        <w:rPr>
          <w:rFonts w:ascii="Arial" w:hAnsi="Arial" w:eastAsia="Times"/>
          <w:b w:val="0"/>
          <w:i w:val="0"/>
          <w:color w:val="000000"/>
          <w:sz w:val="21"/>
        </w:rPr>
        <w:t>with the same optimizer configuration as the target model (SGD, lr = 0.01, weight decay = 10</w:t>
      </w:r>
      <w:r>
        <w:rPr>
          <w:rFonts w:ascii="Arial" w:hAnsi="Arial" w:eastAsia="Symbol"/>
          <w:b w:val="0"/>
          <w:i w:val="0"/>
          <w:color w:val="000000"/>
          <w:sz w:val="17"/>
        </w:rPr>
        <w:t>−</w:t>
      </w:r>
      <w:r>
        <w:rPr>
          <w:rFonts w:ascii="Arial" w:hAnsi="Arial" w:eastAsia="Times"/>
          <w:b w:val="0"/>
          <w:i w:val="0"/>
          <w:color w:val="000000"/>
          <w:sz w:val="17"/>
        </w:rPr>
        <w:t>5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batch </w:t>
      </w:r>
      <w:r>
        <w:rPr>
          <w:rFonts w:ascii="Arial" w:hAnsi="Arial" w:eastAsia="Times"/>
          <w:b w:val="0"/>
          <w:i w:val="0"/>
          <w:color w:val="000000"/>
          <w:sz w:val="21"/>
        </w:rPr>
        <w:t>size 32).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Feature Extraction: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For each sample presented to a shadow model, the following features are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extracted: (1) the model’s prediction value, (2) the absolute prediction error, (3) the L2 norm of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user embedding, (4) the L2 norm of the item embedding, (5) the dot product of the user and item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embeddings, and (6) the full user and item embedding vectors (flattened). This yields a feature vector </w:t>
      </w:r>
      <w:r>
        <w:rPr>
          <w:rFonts w:ascii="Arial" w:hAnsi="Arial" w:eastAsia="Times"/>
          <w:b w:val="0"/>
          <w:i w:val="0"/>
          <w:color w:val="000000"/>
          <w:sz w:val="21"/>
        </w:rPr>
        <w:t>of dimension 5 + 2×64 = 133.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Attack Classifier: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Random Forest classifier with 50 estimators (scikit-learn defaults otherwise)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trained on the labeled feature vectors from all three shadow models. The classifier learns to </w:t>
      </w:r>
      <w:r>
        <w:rPr>
          <w:rFonts w:ascii="Arial" w:hAnsi="Arial" w:eastAsia="Times"/>
          <w:b w:val="0"/>
          <w:i w:val="0"/>
          <w:color w:val="000000"/>
          <w:sz w:val="21"/>
        </w:rPr>
        <w:t>discriminate between member (training) and non-member (test) samples.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Evaluation: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trained classifier is evaluated on 100 member and 100 non-member samples drawn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from the target model. Performance is measured by AUC (area under the ROC curve) and </w:t>
      </w:r>
      <w:r>
        <w:rPr>
          <w:rFonts w:ascii="Arial" w:hAnsi="Arial" w:eastAsia="Times"/>
          <w:b w:val="0"/>
          <w:i w:val="0"/>
          <w:color w:val="000000"/>
          <w:sz w:val="21"/>
        </w:rPr>
        <w:t>classification accuracy. An AUC of 0.5 corresponds to random guessing (no privacy leakage).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4.6.2 Model Inversion Attack Configuration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The model inversion attack attempts to reconstruct a user’s top-</w:t>
      </w:r>
      <w:r>
        <w:rPr>
          <w:rFonts w:ascii="Arial" w:hAnsi="Arial" w:eastAsia="Times"/>
          <w:b w:val="0"/>
          <w:i/>
          <w:color w:val="000000"/>
          <w:sz w:val="21"/>
        </w:rPr>
        <w:t>K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preferred items from the trained model. </w:t>
      </w:r>
      <w:r>
        <w:rPr>
          <w:rFonts w:ascii="Arial" w:hAnsi="Arial" w:eastAsia="Times"/>
          <w:b w:val="0"/>
          <w:i w:val="0"/>
          <w:color w:val="000000"/>
          <w:sz w:val="21"/>
        </w:rPr>
        <w:t>For each of 50 randomly sampled target users: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• All 1,682 items are scored using the model’s prediction function.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• The top-10 items by predicted score are selected as the “reconstructed” preferences.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• These are compared against the ground-truth top-10 items (determined by actual training ratings).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A user is considered “successfully attacked” if at least 20% (i.e., 2 out of 10) of the reconstructed </w:t>
      </w:r>
      <w:r>
        <w:rPr>
          <w:rFonts w:ascii="Arial" w:hAnsi="Arial" w:eastAsia="Times"/>
          <w:b w:val="0"/>
          <w:i w:val="0"/>
          <w:color w:val="000000"/>
          <w:sz w:val="21"/>
        </w:rPr>
        <w:t>items overlap with the true top-10.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attack success rate is reported as the fraction of the 50 target users for whom the overlap threshold is </w:t>
      </w:r>
      <w:r>
        <w:rPr>
          <w:rFonts w:ascii="Arial" w:hAnsi="Arial" w:eastAsia="Times"/>
          <w:b w:val="0"/>
          <w:i w:val="0"/>
          <w:color w:val="000000"/>
          <w:sz w:val="21"/>
        </w:rPr>
        <w:t>met.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4.7 Experiment Configurations</w:t>
      </w:r>
    </w:p>
    <w:p>
      <w:pPr>
        <w:autoSpaceDN w:val="0"/>
        <w:autoSpaceDE w:val="0"/>
        <w:widowControl/>
        <w:spacing w:line="240" w:lineRule="auto" w:before="0" w:after="120"/>
        <w:ind w:left="108" w:right="1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experimental design consists of four experiment groups, totaling 30 individual experiment runs. Each </w:t>
      </w:r>
      <w:r>
        <w:rPr>
          <w:rFonts w:ascii="Arial" w:hAnsi="Arial" w:eastAsia="Times"/>
          <w:b w:val="0"/>
          <w:i w:val="0"/>
          <w:color w:val="000000"/>
          <w:sz w:val="21"/>
        </w:rPr>
        <w:t>federated learning configuration is repeated with three random seeds (42, 123, 456) to report mean ±</w:t>
      </w:r>
      <w:r>
        <w:rPr>
          <w:rFonts w:ascii="Arial" w:hAnsi="Arial" w:eastAsia="Times"/>
          <w:b w:val="0"/>
          <w:i w:val="0"/>
          <w:color w:val="000000"/>
          <w:sz w:val="21"/>
        </w:rPr>
        <w:t>standard deviation. The following subsections describe each group.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4.7.1 Experiment 1: Centralized Baseline</w:t>
      </w:r>
    </w:p>
    <w:p>
      <w:pPr>
        <w:autoSpaceDN w:val="0"/>
        <w:autoSpaceDE w:val="0"/>
        <w:widowControl/>
        <w:spacing w:line="240" w:lineRule="auto" w:before="0" w:after="120"/>
        <w:ind w:left="108" w:right="1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A centralized model is trained on the full 80,000-interaction training set for 50 epochs with batch size 64,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learning rate 0.01, and no differential privacy. This configuration serves as the upper bound for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recommendation accuracy and provides the reference point against which federated learning degradation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measured. The centralized model uses the same </w:t>
      </w:r>
      <w:r>
        <w:rPr>
          <w:rFonts w:ascii="Arial" w:hAnsi="Arial" w:eastAsia="Times"/>
          <w:b w:val="0"/>
          <w:i/>
          <w:color w:val="000000"/>
          <w:sz w:val="21"/>
        </w:rPr>
        <w:t>MatrixFactorization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architecture with embedding </w:t>
      </w:r>
      <w:r>
        <w:rPr>
          <w:rFonts w:ascii="Arial" w:hAnsi="Arial" w:eastAsia="Times"/>
          <w:b w:val="0"/>
          <w:i w:val="0"/>
          <w:color w:val="000000"/>
          <w:sz w:val="21"/>
        </w:rPr>
        <w:t>dimension 64, totaling 167,936 parameters.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4.7.2 Experiment 2: DP Budget Sweep (RQ1)</w:t>
      </w:r>
    </w:p>
    <w:p>
      <w:pPr>
        <w:autoSpaceDN w:val="0"/>
        <w:autoSpaceDE w:val="0"/>
        <w:widowControl/>
        <w:spacing w:line="240" w:lineRule="auto" w:before="0" w:after="120"/>
        <w:ind w:left="108" w:right="1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 learning is run with 100 clients, 10 communication rounds, and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0.5 (moderately non-IID) for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five privacy budgets: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Symbol"/>
          <w:b w:val="0"/>
          <w:i w:val="0"/>
          <w:color w:val="000000"/>
          <w:sz w:val="21"/>
        </w:rPr>
        <w:t>∈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{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8, 4, 2, 1}. Each of the five configurations is repeated with three seeds,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yielding 15 experiments. The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configuration disables DP-SGD entirely (no clipping, no noise). This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experiment group isolates the effect of differential privacy on recommendation quality while holding the </w:t>
      </w:r>
      <w:r>
        <w:rPr>
          <w:rFonts w:ascii="Arial" w:hAnsi="Arial" w:eastAsia="Times"/>
          <w:b w:val="0"/>
          <w:i w:val="0"/>
          <w:color w:val="000000"/>
          <w:sz w:val="21"/>
        </w:rPr>
        <w:t>data distribution constant.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4.7.3 Experiment 3: Privacy Attack Evaluation (RQ2)</w:t>
      </w:r>
    </w:p>
    <w:p>
      <w:pPr>
        <w:autoSpaceDN w:val="0"/>
        <w:autoSpaceDE w:val="0"/>
        <w:widowControl/>
        <w:spacing w:line="240" w:lineRule="auto" w:before="0" w:after="120"/>
        <w:ind w:left="108" w:right="1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For each of the five DP budgets in Experiment 2 (using seed 42), the trained model is subjected to both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membership inference attack and the model inversion attack. This yields five attack evaluation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configurations. The attacks are applied to the final global model after round 10. This experiment group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assesses whether increasing the DP guarantee effectively reduces the success rate of practical privacy </w:t>
      </w:r>
      <w:r>
        <w:rPr>
          <w:rFonts w:ascii="Arial" w:hAnsi="Arial" w:eastAsia="Times"/>
          <w:b w:val="0"/>
          <w:i w:val="0"/>
          <w:color w:val="000000"/>
          <w:sz w:val="21"/>
        </w:rPr>
        <w:t>attacks.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4.7.4 Experiment 4: Heterogeneity Sweep (RQ3)</w:t>
      </w:r>
    </w:p>
    <w:p>
      <w:pPr>
        <w:autoSpaceDN w:val="0"/>
        <w:autoSpaceDE w:val="0"/>
        <w:widowControl/>
        <w:spacing w:line="240" w:lineRule="auto" w:before="0" w:after="120"/>
        <w:ind w:left="108" w:right="1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>Federated learning is run with 100 clients, 10 rounds, no differential privacy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), and three Dirichlet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concentration parameters: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Symbol"/>
          <w:b w:val="0"/>
          <w:i w:val="0"/>
          <w:color w:val="000000"/>
          <w:sz w:val="21"/>
        </w:rPr>
        <w:t>∈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{0.1, 0.5, 1.0}. Each configuration is repeated with three seeds, yielding 9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experiments (of which 3 overlap with the DP sweep at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0.5,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). This experiment group isolates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effect of data heterogeneity on federated learning performance by removing the confound of differential </w:t>
      </w:r>
      <w:r>
        <w:rPr>
          <w:rFonts w:ascii="Arial" w:hAnsi="Arial" w:eastAsia="Times"/>
          <w:b w:val="0"/>
          <w:i w:val="0"/>
          <w:color w:val="000000"/>
          <w:sz w:val="21"/>
        </w:rPr>
        <w:t>privacy.</w:t>
      </w:r>
    </w:p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6: Summary of All Experiment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0"/>
        <w:gridCol w:w="1330"/>
        <w:gridCol w:w="1330"/>
        <w:gridCol w:w="1330"/>
        <w:gridCol w:w="1330"/>
        <w:gridCol w:w="1330"/>
        <w:gridCol w:w="1330"/>
      </w:tblGrid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Experiment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Clients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Rounds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Seeds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44" w:right="144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Total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Runs</w:t>
            </w:r>
          </w:p>
        </w:tc>
      </w:tr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Centralized Baseline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4" w:right="144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50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epochs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DP Budget Sweep (RQ1)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15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 Evaluation (RQ2)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42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12" w:right="432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Heterogeneity Sweep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(RQ3)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4" w:right="144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{0.1, 0.5,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1.0}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9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40" w:lineRule="auto" w:before="0" w:after="120"/>
        <w:ind w:left="10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4.8 Complete Hyperparameter Summary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Table 7 consolidates all hyperparameters used across the experimental suite. Values were selected based on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standard practices in the federated learning and recommendation systems literature and kept constant across </w:t>
      </w:r>
      <w:r>
        <w:rPr>
          <w:rFonts w:ascii="Arial" w:hAnsi="Arial" w:eastAsia="Times"/>
          <w:b w:val="0"/>
          <w:i w:val="0"/>
          <w:color w:val="000000"/>
          <w:sz w:val="21"/>
        </w:rPr>
        <w:t>all experiments unless explicitly noted as a swept variable.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7: Complete Hyperparameter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Parameter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Notes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Embedding Dimension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User and item embeddings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Total Parameters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167,936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(943 + 1,682) × 64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Initialization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(0, 0.1)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576" w:right="576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Gaussian noise for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embeddings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Output Activation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Sigmoid / None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BCE variant / MSE variant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Number of Clients (K)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Simulated in-memory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Communication Rounds (T)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Global aggregation rounds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Local Epochs (E)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Per-client per-round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Aggregation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FedAvg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Sample-count weighted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Client Participation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100%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All clients every round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Algorithm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SGD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No momentum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Learning Rate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0.01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Fixed, no scheduling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Local Batch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Federated experiments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Centralized Batch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Baseline only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Weight Decay (L2)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  <w:r>
              <w:rPr>
                <w:rFonts w:ascii="Arial" w:hAnsi="Arial" w:eastAsia="ZapfDingbats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Regularization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Gradient Clip Norm (C)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Per-parameter L2 clipping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DP Delta (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δ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  <w:r>
              <w:rPr>
                <w:rFonts w:ascii="Arial" w:hAnsi="Arial" w:eastAsia="ZapfDingbats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Standard delta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Privacy Budgets (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Swept variable (RQ1)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Noise Multipliers (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σ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88" w:right="288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{0, 11.03, 20.40, 40.70,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75.06}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Calibrated via RDP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Dataset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MovieLens 100K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943 users, 1,682 items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Train / Test Split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80% / 20%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80K / 20K interactions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Dirichlet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{0.1, 0.5, 1.0}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Swept variable (RQ3)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Relevance Threshold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4.0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For ranking metrics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Top-K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432" w:right="432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NDCG@10, Hit@10,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Prec@10, Rec@10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Test Users Sampled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≤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100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For recommendation metrics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 Seeds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 runs per configuration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Shadow Models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Trained on random subsets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Parameter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Notes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Shadow Subset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min(|D|/3, 5000)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≈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2,666 samples each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Shadow Training Epochs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Same optimizer as target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Classifier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 Forest (50 trees)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Scikit-learn defaults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Eval Samples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432" w:right="432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100 member + 100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non-member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Balanced evaluation set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Target Users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Randomly sampled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Reconstructed Top-K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Compared to ground truth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Success Threshold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 of 10 items match</w:t>
            </w:r>
          </w:p>
        </w:tc>
      </w:tr>
    </w:tbl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4.9 Evaluation Protocol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4.9.1 Recommendation Metric Computation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Recommendation metrics are computed using the full item catalog scoring approach. For each sampled test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user (up to 100 users), the model scores all 1,682 items by computing the dot product of the user’s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embedding with every item embedding. Items are ranked by predicted score in descending order, and the </w:t>
      </w:r>
      <w:r>
        <w:rPr>
          <w:rFonts w:ascii="Arial" w:hAnsi="Arial" w:eastAsia="Times"/>
          <w:b w:val="0"/>
          <w:i w:val="0"/>
          <w:color w:val="000000"/>
          <w:sz w:val="21"/>
        </w:rPr>
        <w:t>top-10 items are selected. The following metrics are then computed:</w:t>
      </w:r>
    </w:p>
    <w:p>
      <w:pPr>
        <w:autoSpaceDN w:val="0"/>
        <w:autoSpaceDE w:val="0"/>
        <w:widowControl/>
        <w:spacing w:line="240" w:lineRule="auto" w:before="0" w:after="120"/>
        <w:ind w:left="698" w:right="144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NDCG@10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uses the original 1–5 ratings as graded relevance scores. DCG@10 = 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17"/>
        </w:rPr>
        <w:t xml:space="preserve">i=1 </w:t>
      </w:r>
      <w:r>
        <w:rPr>
          <w:rFonts w:ascii="Arial" w:hAnsi="Arial" w:eastAsia="Times"/>
          <w:b w:val="0"/>
          <w:i w:val="0"/>
          <w:color w:val="000000"/>
          <w:sz w:val="17"/>
        </w:rPr>
        <w:t>10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rel</w:t>
      </w:r>
      <w:r>
        <w:rPr>
          <w:rFonts w:ascii="Arial" w:hAnsi="Arial" w:eastAsia="Times"/>
          <w:b w:val="0"/>
          <w:i w:val="0"/>
          <w:color w:val="000000"/>
          <w:sz w:val="17"/>
        </w:rPr>
        <w:t>i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/ log</w:t>
      </w:r>
      <w:r>
        <w:rPr>
          <w:rFonts w:ascii="Arial" w:hAnsi="Arial" w:eastAsia="Times"/>
          <w:b w:val="0"/>
          <w:i w:val="0"/>
          <w:color w:val="000000"/>
          <w:sz w:val="17"/>
        </w:rPr>
        <w:t>2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(i + </w:t>
      </w:r>
      <w:r>
        <w:rPr>
          <w:rFonts w:ascii="Arial" w:hAnsi="Arial" w:eastAsia="Times"/>
          <w:b w:val="0"/>
          <w:i w:val="0"/>
          <w:color w:val="000000"/>
          <w:sz w:val="21"/>
        </w:rPr>
        <w:t>1), normalized by the ideal DCG (IDCG) obtained from a perfect ranking of the user’s items.</w:t>
      </w:r>
    </w:p>
    <w:p>
      <w:pPr>
        <w:autoSpaceDN w:val="0"/>
        <w:autoSpaceDE w:val="0"/>
        <w:widowControl/>
        <w:spacing w:line="240" w:lineRule="auto" w:before="0" w:after="120"/>
        <w:ind w:left="698" w:right="144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Hit@10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is a binary indicator: 1 if any item in the top-10 has a ground-truth rating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4.0, and 0 </w:t>
      </w:r>
      <w:r>
        <w:rPr>
          <w:rFonts w:ascii="Arial" w:hAnsi="Arial" w:eastAsia="Times"/>
          <w:b w:val="0"/>
          <w:i w:val="0"/>
          <w:color w:val="000000"/>
          <w:sz w:val="21"/>
        </w:rPr>
        <w:t>otherwise. The average across users gives the hit rate.</w:t>
      </w:r>
    </w:p>
    <w:p>
      <w:pPr>
        <w:autoSpaceDN w:val="0"/>
        <w:autoSpaceDE w:val="0"/>
        <w:widowControl/>
        <w:spacing w:line="240" w:lineRule="auto" w:before="0" w:after="120"/>
        <w:ind w:left="69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Precision@10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is the fraction of items in the top-10 with a ground-truth rating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4.0.</w:t>
      </w:r>
    </w:p>
    <w:p>
      <w:pPr>
        <w:autoSpaceDN w:val="0"/>
        <w:autoSpaceDE w:val="0"/>
        <w:widowControl/>
        <w:spacing w:line="240" w:lineRule="auto" w:before="0" w:after="120"/>
        <w:ind w:left="69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Recall@10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is the fraction of all items with a ground-truth rating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4.0 that appear in the top-10.</w:t>
      </w:r>
    </w:p>
    <w:p>
      <w:pPr>
        <w:autoSpaceDN w:val="0"/>
        <w:autoSpaceDE w:val="0"/>
        <w:widowControl/>
        <w:spacing w:line="240" w:lineRule="auto" w:before="0" w:after="120"/>
        <w:ind w:left="218" w:right="144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Recommendation metrics are computed at key checkpoint rounds (1, 5, and 10) rather than every round, as </w:t>
      </w:r>
      <w:r>
        <w:rPr>
          <w:rFonts w:ascii="Arial" w:hAnsi="Arial" w:eastAsia="Times"/>
          <w:b w:val="0"/>
          <w:i w:val="0"/>
          <w:color w:val="000000"/>
          <w:sz w:val="21"/>
        </w:rPr>
        <w:t>scoring all items for all users is computationally more expensive than the regression metrics.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4.9.2 Regression Metric Computation</w:t>
      </w:r>
    </w:p>
    <w:p>
      <w:pPr>
        <w:autoSpaceDN w:val="0"/>
        <w:autoSpaceDE w:val="0"/>
        <w:widowControl/>
        <w:spacing w:line="240" w:lineRule="auto" w:before="0" w:after="120"/>
        <w:ind w:left="218" w:right="23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MSE and MAE are computed over the full 20,000-interaction test set every round. These metrics evaluate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model’s ability to predict exact rating values rather than its ranking performance, providing a </w:t>
      </w:r>
      <w:r>
        <w:rPr>
          <w:rFonts w:ascii="Arial" w:hAnsi="Arial" w:eastAsia="Times"/>
          <w:b w:val="0"/>
          <w:i w:val="0"/>
          <w:color w:val="000000"/>
          <w:sz w:val="21"/>
        </w:rPr>
        <w:t>complementary view of model quality.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4.9.3 Privacy Metric Computation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Three privacy metrics are collected for each attack evaluation:</w:t>
      </w:r>
    </w:p>
    <w:p>
      <w:pPr>
        <w:autoSpaceDN w:val="0"/>
        <w:autoSpaceDE w:val="0"/>
        <w:widowControl/>
        <w:spacing w:line="240" w:lineRule="auto" w:before="0" w:after="120"/>
        <w:ind w:left="698" w:right="238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MIA AUC: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Area under the ROC curve for the membership inference classifier. Values near 0.5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indicate that the classifier performs no better than random, meaning the model does not leak </w:t>
      </w:r>
      <w:r>
        <w:rPr>
          <w:rFonts w:ascii="Arial" w:hAnsi="Arial" w:eastAsia="Times"/>
          <w:b w:val="0"/>
          <w:i w:val="0"/>
          <w:color w:val="000000"/>
          <w:sz w:val="21"/>
        </w:rPr>
        <w:t>membership information.</w:t>
      </w:r>
    </w:p>
    <w:p>
      <w:pPr>
        <w:autoSpaceDN w:val="0"/>
        <w:autoSpaceDE w:val="0"/>
        <w:widowControl/>
        <w:spacing w:line="240" w:lineRule="auto" w:before="0" w:after="120"/>
        <w:ind w:left="698" w:right="144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MIA Accuracy: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Classification accuracy of the attack classifier on the balanced evaluation set (100 </w:t>
      </w:r>
      <w:r>
        <w:rPr>
          <w:rFonts w:ascii="Arial" w:hAnsi="Arial" w:eastAsia="Times"/>
          <w:b w:val="0"/>
          <w:i w:val="0"/>
          <w:color w:val="000000"/>
          <w:sz w:val="21"/>
        </w:rPr>
        <w:t>members, 100 non-members). Baseline accuracy is 0.5.</w:t>
      </w:r>
    </w:p>
    <w:p>
      <w:pPr>
        <w:autoSpaceDN w:val="0"/>
        <w:autoSpaceDE w:val="0"/>
        <w:widowControl/>
        <w:spacing w:line="240" w:lineRule="auto" w:before="0" w:after="120"/>
        <w:ind w:left="698" w:right="144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Inversion Top-K Accuracy: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Fraction of target users whose top-10 preferences were successfully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reconstructed with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20% overlap.</w:t>
      </w:r>
    </w:p>
    <w:p>
      <w:pPr>
        <w:autoSpaceDN w:val="0"/>
        <w:autoSpaceDE w:val="0"/>
        <w:widowControl/>
        <w:spacing w:line="240" w:lineRule="auto" w:before="0" w:after="120"/>
        <w:ind w:left="218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4.10 Results Storage and Analysis Pipeline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4.10.1 Result Serialization Format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Each experiment produces two output files:</w:t>
      </w:r>
    </w:p>
    <w:p>
      <w:pPr>
        <w:autoSpaceDN w:val="0"/>
        <w:tabs>
          <w:tab w:pos="1922" w:val="left"/>
          <w:tab w:pos="3104" w:val="left"/>
          <w:tab w:pos="4132" w:val="left"/>
          <w:tab w:pos="5464" w:val="left"/>
          <w:tab w:pos="7054" w:val="left"/>
          <w:tab w:pos="8082" w:val="left"/>
        </w:tabs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JSON File: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comprehensive record containing the experiment identifier, timestamp, full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configuration dictionary, per-round metrics (train loss, test MSE, MAE, and recommendation metrics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at checkpoint rounds), aggregation statistics (number of participating clients, total samples), and final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metrics. </w:t>
      </w:r>
      <w:r>
        <w:rPr>
          <w:rFonts w:ascii="Arial" w:hAnsi="Arial"/>
        </w:rPr>
        <w:tab/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Files </w:t>
      </w:r>
      <w:r>
        <w:rPr>
          <w:rFonts w:ascii="Arial" w:hAnsi="Arial"/>
        </w:rPr>
        <w:tab/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are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named </w:t>
      </w:r>
      <w:r>
        <w:rPr>
          <w:rFonts w:ascii="Arial" w:hAnsi="Arial"/>
        </w:rPr>
        <w:tab/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following </w:t>
      </w:r>
      <w:r>
        <w:rPr>
          <w:rFonts w:ascii="Arial" w:hAnsi="Arial"/>
        </w:rPr>
        <w:tab/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convention: </w:t>
      </w:r>
      <w:r>
        <w:rPr>
          <w:rFonts w:ascii="Arial" w:hAnsi="Arial" w:eastAsia="Courier"/>
          <w:b w:val="0"/>
          <w:i w:val="0"/>
          <w:color w:val="000000"/>
          <w:sz w:val="18"/>
        </w:rPr>
        <w:t>dp_{epsilon}_alpha_{alpha}_dim_64_clients_100_seed_{seed}.json</w:t>
      </w:r>
      <w:r>
        <w:rPr>
          <w:rFonts w:ascii="Arial" w:hAnsi="Arial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CSV Summary: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tabular summary with one row per round, suitable for quick inspection and import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into spreadsheet tools. Columns include round number, train loss, all six evaluation metrics, and a </w:t>
      </w:r>
      <w:r>
        <w:rPr>
          <w:rFonts w:ascii="Arial" w:hAnsi="Arial" w:eastAsia="Times"/>
          <w:b w:val="0"/>
          <w:i w:val="0"/>
          <w:color w:val="000000"/>
          <w:sz w:val="21"/>
        </w:rPr>
        <w:t>final summary row.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Attack evaluation results are consolidated into a single JSON file (</w:t>
      </w:r>
      <w:r>
        <w:rPr>
          <w:rFonts w:ascii="Arial" w:hAnsi="Arial" w:eastAsia="Courier"/>
          <w:b w:val="0"/>
          <w:i w:val="0"/>
          <w:color w:val="000000"/>
          <w:sz w:val="18"/>
        </w:rPr>
        <w:t>attack_evaluation_summary.json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containing MIA AUC, MIA accuracy, and inversion accuracy for each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configuration.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4.10.2 Analysis and Visualization</w:t>
      </w:r>
    </w:p>
    <w:p>
      <w:pPr>
        <w:autoSpaceDN w:val="0"/>
        <w:autoSpaceDE w:val="0"/>
        <w:widowControl/>
        <w:spacing w:line="240" w:lineRule="auto" w:before="0" w:after="12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>A dedicated analysis script (</w:t>
      </w:r>
      <w:r>
        <w:rPr>
          <w:rFonts w:ascii="Arial" w:hAnsi="Arial" w:eastAsia="Courier"/>
          <w:b w:val="0"/>
          <w:i w:val="0"/>
          <w:color w:val="000000"/>
          <w:sz w:val="18"/>
        </w:rPr>
        <w:t>comprehensive_analysis.py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 reads all result JSON files and generates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publication-quality figures. The script computes mean and standard deviation across the three seeds for each </w:t>
      </w:r>
      <w:r>
        <w:rPr>
          <w:rFonts w:ascii="Arial" w:hAnsi="Arial" w:eastAsia="Times"/>
          <w:b w:val="0"/>
          <w:i w:val="0"/>
          <w:color w:val="000000"/>
          <w:sz w:val="21"/>
        </w:rPr>
        <w:t>configuration and produces the following visualizations: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Convergence plots: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Training loss versus communication round for all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values, showing learning </w:t>
      </w:r>
      <w:r>
        <w:rPr>
          <w:rFonts w:ascii="Arial" w:hAnsi="Arial" w:eastAsia="Times"/>
          <w:b w:val="0"/>
          <w:i w:val="0"/>
          <w:color w:val="000000"/>
          <w:sz w:val="21"/>
        </w:rPr>
        <w:t>dynamics under different privacy constraints.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 xml:space="preserve">Accuracy vs.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/>
          <w:i w:val="0"/>
          <w:color w:val="000000"/>
          <w:sz w:val="21"/>
        </w:rPr>
        <w:t xml:space="preserve"> plots: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NDCG@10 and Hit@10 as a function of the privacy budget, with error bars </w:t>
      </w:r>
      <w:r>
        <w:rPr>
          <w:rFonts w:ascii="Arial" w:hAnsi="Arial" w:eastAsia="Times"/>
          <w:b w:val="0"/>
          <w:i w:val="0"/>
          <w:color w:val="000000"/>
          <w:sz w:val="21"/>
        </w:rPr>
        <w:t>representing ±1 standard deviation.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center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Accuracy loss plot: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Relative accuracy degradation (%) from the no-DP baseline as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decreases.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Heterogeneity plots: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NDCG@10 and Hit@10 as a function of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isolating the effect of data </w:t>
      </w:r>
      <w:r>
        <w:rPr>
          <w:rFonts w:ascii="Arial" w:hAnsi="Arial" w:eastAsia="Times"/>
          <w:b w:val="0"/>
          <w:i w:val="0"/>
          <w:color w:val="000000"/>
          <w:sz w:val="21"/>
        </w:rPr>
        <w:t>distribution on FL performance.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Times"/>
          <w:b/>
          <w:i w:val="0"/>
          <w:color w:val="000000"/>
          <w:sz w:val="21"/>
        </w:rPr>
        <w:t>Attack effectiveness plots: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MIA AUC and accuracy versus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demonstrating the effectiveness of DP </w:t>
      </w:r>
      <w:r>
        <w:rPr>
          <w:rFonts w:ascii="Arial" w:hAnsi="Arial" w:eastAsia="Times"/>
          <w:b w:val="0"/>
          <w:i w:val="0"/>
          <w:color w:val="000000"/>
          <w:sz w:val="21"/>
        </w:rPr>
        <w:t>in mitigating privacy attacks.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All figures are rendered at 1200×800 pixel resolution using Seaborn’s darkgrid style, with clear legends,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axis labels, and error bars. Figures are saved as PNG files in the </w:t>
      </w:r>
      <w:r>
        <w:rPr>
          <w:rFonts w:ascii="Arial" w:hAnsi="Arial" w:eastAsia="Courier"/>
          <w:b w:val="0"/>
          <w:i w:val="0"/>
          <w:color w:val="000000"/>
          <w:sz w:val="18"/>
        </w:rPr>
        <w:t>figures/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directory.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4.11 Mobile Client Integration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4.11.1 Flutter Application Architecture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center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A companion mobile application built with Flutter (Dart) demonstrates the feasibility of on-device federated </w:t>
      </w:r>
      <w:r>
        <w:rPr>
          <w:rFonts w:ascii="Arial" w:hAnsi="Arial" w:eastAsia="Times"/>
          <w:b w:val="0"/>
          <w:i w:val="0"/>
          <w:color w:val="000000"/>
          <w:sz w:val="21"/>
        </w:rPr>
        <w:t>learning. The application targets Android (minimum API level 21) and includes the following components: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Matrix Factorization Model (Dart):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pure-Dart implementation of the same matrix factorization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architecture used in the Python experiments. The model performs forward passes, computes gradients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via manual backpropagation, and applies SGD updates entirely on-device without any native ML </w:t>
      </w:r>
      <w:r>
        <w:rPr>
          <w:rFonts w:ascii="Arial" w:hAnsi="Arial" w:eastAsia="Times"/>
          <w:b w:val="0"/>
          <w:i w:val="0"/>
          <w:color w:val="000000"/>
          <w:sz w:val="21"/>
        </w:rPr>
        <w:t>framework dependency.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FL Client Service: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Manages the federated learning lifecycle: registration with the server,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downloading global model parameters, local training, and uploading updated parameters.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Communication uses HTTP with JSON payloads; model parameters are serialized as base64-encoded </w:t>
      </w:r>
      <w:r>
        <w:rPr>
          <w:rFonts w:ascii="Arial" w:hAnsi="Arial" w:eastAsia="Times"/>
          <w:b w:val="0"/>
          <w:i w:val="0"/>
          <w:color w:val="000000"/>
          <w:sz w:val="21"/>
        </w:rPr>
        <w:t>Float32 arrays for cross-platform compatibility.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Resource Monitor: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Tracks battery level, battery drain rate, memory usage, and device information </w:t>
      </w:r>
      <w:r>
        <w:rPr>
          <w:rFonts w:ascii="Arial" w:hAnsi="Arial" w:eastAsia="Times"/>
          <w:b w:val="0"/>
          <w:i w:val="0"/>
          <w:color w:val="000000"/>
          <w:sz w:val="21"/>
        </w:rPr>
        <w:t>during training. These metrics quantify the on-device computational cost of federated learning.</w:t>
      </w:r>
    </w:p>
    <w:p>
      <w:pPr>
        <w:autoSpaceDN w:val="0"/>
        <w:autoSpaceDE w:val="0"/>
        <w:widowControl/>
        <w:spacing w:line="240" w:lineRule="auto" w:before="0" w:after="120"/>
        <w:ind w:left="480" w:right="28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User Interface: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single-screen interface displaying the server URL input, connection status, training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logs (last 50 messages), per-round metrics, and resource consumption. Users can initiate training and </w:t>
      </w:r>
      <w:r>
        <w:rPr>
          <w:rFonts w:ascii="Arial" w:hAnsi="Arial" w:eastAsia="Times"/>
          <w:b w:val="0"/>
          <w:i w:val="0"/>
          <w:color w:val="000000"/>
          <w:sz w:val="21"/>
        </w:rPr>
        <w:t>export results.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4.11.2 Server–Client Communication Protocol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The distributed deployment uses a FastAPI server that exposes the following endpoints: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Courier"/>
          <w:b w:val="0"/>
          <w:i w:val="0"/>
          <w:color w:val="000000"/>
          <w:sz w:val="18"/>
        </w:rPr>
        <w:t>POST /register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— Client registration with a unique client ID.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Courier"/>
          <w:b w:val="0"/>
          <w:i w:val="0"/>
          <w:color w:val="000000"/>
          <w:sz w:val="18"/>
        </w:rPr>
        <w:t>POST /init-model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— Server-side model initialization with specified dimensions (num_users, </w:t>
      </w:r>
      <w:r>
        <w:rPr>
          <w:rFonts w:ascii="Arial" w:hAnsi="Arial" w:eastAsia="Times"/>
          <w:b w:val="0"/>
          <w:i w:val="0"/>
          <w:color w:val="000000"/>
          <w:sz w:val="21"/>
        </w:rPr>
        <w:t>num_items, embedding_dim).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Courier"/>
          <w:b w:val="0"/>
          <w:i w:val="0"/>
          <w:color w:val="000000"/>
          <w:sz w:val="18"/>
        </w:rPr>
        <w:t>POST /global-params-json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— Download current global model parameters as base64-encoded </w:t>
      </w:r>
      <w:r>
        <w:rPr>
          <w:rFonts w:ascii="Arial" w:hAnsi="Arial" w:eastAsia="Times"/>
          <w:b w:val="0"/>
          <w:i w:val="0"/>
          <w:color w:val="000000"/>
          <w:sz w:val="21"/>
        </w:rPr>
        <w:t>tensors.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• </w:t>
      </w:r>
      <w:r>
        <w:rPr>
          <w:rFonts w:ascii="Arial" w:hAnsi="Arial" w:eastAsia="Courier"/>
          <w:b w:val="0"/>
          <w:i w:val="0"/>
          <w:color w:val="000000"/>
          <w:sz w:val="18"/>
        </w:rPr>
        <w:t>POST /upload-params-json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— Upload local model updates along with the client’s sample count </w:t>
      </w:r>
      <w:r>
        <w:rPr>
          <w:rFonts w:ascii="Arial" w:hAnsi="Arial" w:eastAsia="Times"/>
          <w:b w:val="0"/>
          <w:i w:val="0"/>
          <w:color w:val="000000"/>
          <w:sz w:val="21"/>
        </w:rPr>
        <w:t>for weighted aggregation.</w:t>
      </w:r>
    </w:p>
    <w:p>
      <w:pPr>
        <w:autoSpaceDN w:val="0"/>
        <w:autoSpaceDE w:val="0"/>
        <w:widowControl/>
        <w:spacing w:line="240" w:lineRule="auto" w:before="0" w:after="120"/>
        <w:ind w:left="0" w:right="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Model parameters are transmitted as JSON objects containing the parameter name, tensor shape, data type,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and base64-encoded Float32 byte arrays. For the 167,936-parameter model, a single parameter upload is </w:t>
      </w:r>
      <w:r>
        <w:rPr>
          <w:rFonts w:ascii="Arial" w:hAnsi="Arial" w:eastAsia="Times"/>
          <w:b w:val="0"/>
          <w:i w:val="0"/>
          <w:color w:val="000000"/>
          <w:sz w:val="21"/>
        </w:rPr>
        <w:t>approximately 650 KB.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4.12 Reproducibility Measures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Several measures ensure full reproducibility of all reported results:</w:t>
      </w:r>
    </w:p>
    <w:p>
      <w:pPr>
        <w:autoSpaceDN w:val="0"/>
        <w:autoSpaceDE w:val="0"/>
        <w:widowControl/>
        <w:spacing w:line="240" w:lineRule="auto" w:before="0" w:after="120"/>
        <w:ind w:left="480" w:right="28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Fixed Random Seeds: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All stochastic operations—PyTorch weight initialization, NumPy Dirichlet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sampling, data shuffling, and train/test splitting—use fixed seeds. Each experiment configuration is </w:t>
      </w:r>
      <w:r>
        <w:rPr>
          <w:rFonts w:ascii="Arial" w:hAnsi="Arial" w:eastAsia="Times"/>
          <w:b w:val="0"/>
          <w:i w:val="0"/>
          <w:color w:val="000000"/>
          <w:sz w:val="21"/>
        </w:rPr>
        <w:t>run with seeds {42, 123, 456}, and results are reported as mean ± standard deviation.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Deterministic Data Pipeline: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train–test split uses a fixed permutation, and the Dirichlet </w:t>
      </w:r>
      <w:r>
        <w:rPr>
          <w:rFonts w:ascii="Arial" w:hAnsi="Arial" w:eastAsia="Times"/>
          <w:b w:val="0"/>
          <w:i w:val="0"/>
          <w:color w:val="000000"/>
          <w:sz w:val="21"/>
        </w:rPr>
        <w:t>partitioning is seeded, so identical client data partitions are produced across runs with the same seed.</w:t>
      </w:r>
    </w:p>
    <w:p>
      <w:pPr>
        <w:autoSpaceDN w:val="0"/>
        <w:autoSpaceDE w:val="0"/>
        <w:widowControl/>
        <w:spacing w:line="240" w:lineRule="auto" w:before="0" w:after="12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Single-Script Execution: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complete experiment pipeline—data loading, partitioning, training,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evaluation, and analysis—is encapsulated in </w:t>
      </w:r>
      <w:r>
        <w:rPr>
          <w:rFonts w:ascii="Arial" w:hAnsi="Arial" w:eastAsia="Courier"/>
          <w:b w:val="0"/>
          <w:i w:val="0"/>
          <w:color w:val="000000"/>
          <w:sz w:val="18"/>
        </w:rPr>
        <w:t>run_complete_experiment.py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, which can be executed </w:t>
      </w:r>
      <w:r>
        <w:rPr>
          <w:rFonts w:ascii="Arial" w:hAnsi="Arial" w:eastAsia="Times"/>
          <w:b w:val="0"/>
          <w:i w:val="0"/>
          <w:color w:val="000000"/>
          <w:sz w:val="21"/>
        </w:rPr>
        <w:t>end-to-end without manual intervention.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Result Persistence: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Every experiment writes a self-contained JSON file with the full configuration </w:t>
      </w:r>
      <w:r>
        <w:rPr>
          <w:rFonts w:ascii="Arial" w:hAnsi="Arial" w:eastAsia="Times"/>
          <w:b w:val="0"/>
          <w:i w:val="0"/>
          <w:color w:val="000000"/>
          <w:sz w:val="21"/>
        </w:rPr>
        <w:t>and all per-round metrics, enabling independent verification and re-analysis.</w:t>
      </w:r>
    </w:p>
    <w:p>
      <w:pPr>
        <w:autoSpaceDN w:val="0"/>
        <w:autoSpaceDE w:val="0"/>
        <w:widowControl/>
        <w:spacing w:line="240" w:lineRule="auto" w:before="0" w:after="12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Version Control: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All code, configuration, data processing scripts, and result files are maintained in a </w:t>
      </w:r>
      <w:r>
        <w:rPr>
          <w:rFonts w:ascii="Arial" w:hAnsi="Arial" w:eastAsia="Times"/>
          <w:b w:val="0"/>
          <w:i w:val="0"/>
          <w:color w:val="000000"/>
          <w:sz w:val="21"/>
        </w:rPr>
        <w:t>Git repository.</w:t>
      </w:r>
    </w:p>
    <w:p>
      <w:pPr>
        <w:autoSpaceDN w:val="0"/>
        <w:autoSpaceDE w:val="0"/>
        <w:widowControl/>
        <w:spacing w:line="240" w:lineRule="auto" w:before="0" w:after="12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4.13 Summary</w:t>
      </w:r>
    </w:p>
    <w:p>
      <w:pPr>
        <w:autoSpaceDN w:val="0"/>
        <w:autoSpaceDE w:val="0"/>
        <w:widowControl/>
        <w:spacing w:line="240" w:lineRule="auto" w:before="0" w:after="120"/>
        <w:ind w:left="0" w:right="28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experimental setup provides a controlled, reproducible, and comprehensive framework for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investigating accuracy–privacy trade-offs in federated learning for mobile recommendation. The design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systematically varies the privacy budget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(RQ1), evaluates privacy attacks across all DP configurations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(RQ2), and examines data heterogeneity via the Dirichlet parameter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(RQ3). A total of 30 experiment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runs—spanning 1 centralized baseline, 15 DP sweep configurations, 5 attack evaluations, and 9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heterogeneity sweep configurations—are executed with triple-seed averaging to ensure statistical reliability.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in-memory simulation architecture enables rapid iteration while remaining functionally equivalent to a </w:t>
      </w:r>
      <w:r>
        <w:rPr>
          <w:rFonts w:ascii="Arial" w:hAnsi="Arial" w:eastAsia="Times"/>
          <w:b w:val="0"/>
          <w:i w:val="0"/>
          <w:color w:val="000000"/>
          <w:sz w:val="21"/>
        </w:rPr>
        <w:t>real distributed deployment, which is demonstrated by the companion Flutter mobile client.</w:t>
      </w:r>
    </w:p>
    <w:sectPr w:rsidR="00FC693F" w:rsidRPr="0006063C" w:rsidSect="00034616">
      <w:pgSz w:w="11906" w:h="16838"/>
      <w:pgMar w:top="702" w:right="1388" w:bottom="118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