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498" w:lineRule="exact" w:before="0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36"/>
        </w:rPr>
        <w:t>Results</w:t>
      </w:r>
    </w:p>
    <w:p>
      <w:pPr>
        <w:autoSpaceDN w:val="0"/>
        <w:autoSpaceDE w:val="0"/>
        <w:widowControl/>
        <w:spacing w:line="360" w:lineRule="exact" w:before="706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5.1 Overview</w:t>
      </w:r>
    </w:p>
    <w:p>
      <w:pPr>
        <w:autoSpaceDN w:val="0"/>
        <w:autoSpaceDE w:val="0"/>
        <w:widowControl/>
        <w:spacing w:line="280" w:lineRule="exact" w:before="102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This chapter presents the results of the 30 experiments conducted to evaluate the accuracy–privacy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trade-offs in federated learning for mobile movie recommendation. The results are organized around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three research questions: Section 5.2 establishes the centralized baseline; Section 5.3 examines how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differential privacy budget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affects recommendation quality (RQ1); Section 5.4 evaluates the effectiveness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of privacy attacks under varying DP configurations (RQ2); and Section 5.5 analyzes the impact of data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heterogeneity on federated learning performance (RQ3). Section 5.6 provides a cross-cutting discussion of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key findings. All federated results report the mean ± standard deviation across three random seeds (42, </w:t>
      </w:r>
      <w:r>
        <w:rPr>
          <w:rFonts w:ascii="Arial" w:hAnsi="Arial" w:eastAsia="Times"/>
          <w:b w:val="0"/>
          <w:i w:val="0"/>
          <w:color w:val="000000"/>
          <w:sz w:val="21"/>
        </w:rPr>
        <w:t>123, 456) unless otherwise noted.</w:t>
      </w:r>
    </w:p>
    <w:p>
      <w:pPr>
        <w:autoSpaceDN w:val="0"/>
        <w:autoSpaceDE w:val="0"/>
        <w:widowControl/>
        <w:spacing w:line="360" w:lineRule="exact" w:before="278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5.2 Centralized Baseline</w:t>
      </w:r>
    </w:p>
    <w:p>
      <w:pPr>
        <w:autoSpaceDN w:val="0"/>
        <w:autoSpaceDE w:val="0"/>
        <w:widowControl/>
        <w:spacing w:line="280" w:lineRule="exact" w:before="102" w:after="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centralized model, trained on the full 80,000-interaction training set for 50 epochs, serves as the upper </w:t>
      </w:r>
      <w:r>
        <w:rPr>
          <w:rFonts w:ascii="Arial" w:hAnsi="Arial" w:eastAsia="Times"/>
          <w:b w:val="0"/>
          <w:i w:val="0"/>
          <w:color w:val="000000"/>
          <w:sz w:val="21"/>
        </w:rPr>
        <w:t>bound for recommendation accuracy. Table 8 presents the final metrics at epoch 50.</w:t>
      </w:r>
    </w:p>
    <w:p>
      <w:pPr>
        <w:autoSpaceDN w:val="0"/>
        <w:autoSpaceDE w:val="0"/>
        <w:widowControl/>
        <w:spacing w:line="276" w:lineRule="exact" w:before="122" w:after="108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8: Centralized Baseline Results (Epoch 50)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8.0000000000001" w:type="dxa"/>
      </w:tblPr>
      <w:tblGrid>
        <w:gridCol w:w="4547"/>
        <w:gridCol w:w="4547"/>
      </w:tblGrid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Metric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0.2250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Hit@10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0.3800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Precision@10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0.0560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Recall@10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0.0339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MSE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2.045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MAE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1.106</w:t>
            </w:r>
          </w:p>
        </w:tc>
      </w:tr>
      <w:tr>
        <w:trPr>
          <w:trHeight w:hRule="exact" w:val="400"/>
        </w:trPr>
        <w:tc>
          <w:tcPr>
            <w:tcW w:type="dxa" w:w="39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Training Loss (final)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1.865</w:t>
            </w:r>
          </w:p>
        </w:tc>
      </w:tr>
    </w:tbl>
    <w:p>
      <w:pPr>
        <w:autoSpaceDN w:val="0"/>
        <w:autoSpaceDE w:val="0"/>
        <w:widowControl/>
        <w:spacing w:line="280" w:lineRule="exact" w:before="144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centralized model achieves an NDCG@10 of 0.225 and a Hit@10 of 0.38, meaning that 38% of test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users receive at least one relevant recommendation (rating </w:t>
      </w:r>
      <w:r>
        <w:rPr>
          <w:rFonts w:ascii="Arial" w:hAnsi="Arial" w:eastAsia="Symbol"/>
          <w:b w:val="0"/>
          <w:i w:val="0"/>
          <w:color w:val="000000"/>
          <w:sz w:val="21"/>
        </w:rPr>
        <w:t>≥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4.0) in their top-10 list. The training loss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converges from 13.74 at epoch 1 to 1.87 at epoch 50, demonstrating that the matrix factorization model </w:t>
      </w:r>
      <w:r>
        <w:rPr>
          <w:rFonts w:ascii="Arial" w:hAnsi="Arial" w:eastAsia="Times"/>
          <w:b w:val="0"/>
          <w:i w:val="0"/>
          <w:color w:val="000000"/>
          <w:sz w:val="21"/>
        </w:rPr>
        <w:t>effectively learns the user–item interaction patterns in a centralized setting.</w:t>
      </w:r>
    </w:p>
    <w:p>
      <w:pPr>
        <w:autoSpaceDN w:val="0"/>
        <w:autoSpaceDE w:val="0"/>
        <w:widowControl/>
        <w:spacing w:line="280" w:lineRule="exact" w:before="120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Notably, the best recommendation metrics are observed at epoch 30 (NDCG@10 = 0.284, Hit@10 = 0.46)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rather than epoch 50, indicating mild overfitting in the later training stages. The MSE decreases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monotonically (from 13.62 at epoch 10 to 2.05 at epoch 50), suggesting that while the model continues to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improve its rating predictions, the ranking quality degrades slightly due to overfitting to the training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distribution. These centralized results establish the reference point against which all federated learning </w:t>
      </w:r>
      <w:r>
        <w:rPr>
          <w:rFonts w:ascii="Arial" w:hAnsi="Arial" w:eastAsia="Times"/>
          <w:b w:val="0"/>
          <w:i w:val="0"/>
          <w:color w:val="000000"/>
          <w:sz w:val="21"/>
        </w:rPr>
        <w:t>experiments are compared.</w:t>
      </w:r>
    </w:p>
    <w:p>
      <w:pPr>
        <w:autoSpaceDN w:val="0"/>
        <w:autoSpaceDE w:val="0"/>
        <w:widowControl/>
        <w:spacing w:line="360" w:lineRule="exact" w:before="558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5.3 RQ1: Impact of Differential Privacy on Recommendation Accuracy</w:t>
      </w:r>
    </w:p>
    <w:p>
      <w:pPr>
        <w:autoSpaceDN w:val="0"/>
        <w:autoSpaceDE w:val="0"/>
        <w:widowControl/>
        <w:spacing w:line="306" w:lineRule="exact" w:before="182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5.3.1 Accuracy–Privacy Trade-off</w:t>
      </w:r>
    </w:p>
    <w:p>
      <w:pPr>
        <w:autoSpaceDN w:val="0"/>
        <w:autoSpaceDE w:val="0"/>
        <w:widowControl/>
        <w:spacing w:line="282" w:lineRule="exact" w:before="52" w:after="0"/>
        <w:ind w:left="0" w:right="0" w:firstLine="0"/>
        <w:jc w:val="center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Table 9 presents the recommendation quality metrics across all five DP budget configurations. All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experiments use 100 clients, 10 communication rounds, and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0.5 (moderately non-IID data distribution).</w:t>
      </w:r>
    </w:p>
    <w:p>
      <w:pPr>
        <w:sectPr>
          <w:pgSz w:w="11906" w:h="16838"/>
          <w:pgMar w:top="700" w:right="1396" w:bottom="71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Results are averaged over three seeds.</w:t>
      </w:r>
    </w:p>
    <w:p>
      <w:pPr>
        <w:autoSpaceDN w:val="0"/>
        <w:autoSpaceDE w:val="0"/>
        <w:widowControl/>
        <w:spacing w:line="276" w:lineRule="exact" w:before="122" w:after="106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9: Recommendation Quality vs. Differential Privacy Budget (mean ± std, 3 seeds)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8.0000000000001" w:type="dxa"/>
      </w:tblPr>
      <w:tblGrid>
        <w:gridCol w:w="1556"/>
        <w:gridCol w:w="1556"/>
        <w:gridCol w:w="1556"/>
        <w:gridCol w:w="1556"/>
        <w:gridCol w:w="1556"/>
        <w:gridCol w:w="1556"/>
      </w:tblGrid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σ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Hit@10</w:t>
            </w:r>
          </w:p>
        </w:tc>
        <w:tc>
          <w:tcPr>
            <w:tcW w:type="dxa" w:w="15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Precision@10</w:t>
            </w:r>
          </w:p>
        </w:tc>
        <w:tc>
          <w:tcPr>
            <w:tcW w:type="dxa" w:w="15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Recall@10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112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(No DP)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0.0539 ± 0.011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0.0633 ± 0.021</w:t>
            </w:r>
          </w:p>
        </w:tc>
        <w:tc>
          <w:tcPr>
            <w:tcW w:type="dxa" w:w="15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 ± 0.001</w:t>
            </w:r>
          </w:p>
        </w:tc>
        <w:tc>
          <w:tcPr>
            <w:tcW w:type="dxa" w:w="15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0.004 ± 0.001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11.03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0.0534 ± 0.013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0.0600 ± 0.008</w:t>
            </w:r>
          </w:p>
        </w:tc>
        <w:tc>
          <w:tcPr>
            <w:tcW w:type="dxa" w:w="15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 ± 0.001</w:t>
            </w:r>
          </w:p>
        </w:tc>
        <w:tc>
          <w:tcPr>
            <w:tcW w:type="dxa" w:w="15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0.003 ± 0.001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20.40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0.0479 ± 0.009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0.0600 ± 0.008</w:t>
            </w:r>
          </w:p>
        </w:tc>
        <w:tc>
          <w:tcPr>
            <w:tcW w:type="dxa" w:w="15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0.007 ± 0.001</w:t>
            </w:r>
          </w:p>
        </w:tc>
        <w:tc>
          <w:tcPr>
            <w:tcW w:type="dxa" w:w="15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0.003 ± 0.001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40.70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0.0456 ± 0.010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0.0567 ± 0.009</w:t>
            </w:r>
          </w:p>
        </w:tc>
        <w:tc>
          <w:tcPr>
            <w:tcW w:type="dxa" w:w="15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0.007 ± 0.001</w:t>
            </w:r>
          </w:p>
        </w:tc>
        <w:tc>
          <w:tcPr>
            <w:tcW w:type="dxa" w:w="15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0.003 ± 0.001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9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75.06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0.0467 ± 0.012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0.0533 ± 0.005</w:t>
            </w:r>
          </w:p>
        </w:tc>
        <w:tc>
          <w:tcPr>
            <w:tcW w:type="dxa" w:w="15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0.007 ± 0.001</w:t>
            </w:r>
          </w:p>
        </w:tc>
        <w:tc>
          <w:tcPr>
            <w:tcW w:type="dxa" w:w="15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0.003 ± 0.001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results reveal a clear, monotonic accuracy–privacy trade-off. As the privacy budget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decreases from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(no privacy) to 1 (very strong privacy), NDCG@10 declines from 0.0539 to 0.0467, representing a 13.4%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relative degradation. Hit@10 follows a similar pattern, dropping from 6.33% to 5.33% (a 15.8% relative </w:t>
      </w:r>
      <w:r>
        <w:rPr>
          <w:rFonts w:ascii="Arial" w:hAnsi="Arial" w:eastAsia="Times"/>
          <w:b w:val="0"/>
          <w:i w:val="0"/>
          <w:color w:val="000000"/>
          <w:sz w:val="21"/>
        </w:rPr>
        <w:t>decrease). These trends are visualized in Figure 1.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90" w:after="0"/>
        <w:ind w:left="288" w:right="288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>Figure 1: NDCG@10 and Hit@10 as a function of DP budget (</w:t>
      </w:r>
      <w:r>
        <w:rPr>
          <w:rFonts w:ascii="Arial" w:hAnsi="Arial" w:eastAsia="Symbol"/>
          <w:b w:val="0"/>
          <w:i w:val="0"/>
          <w:color w:val="000000"/>
          <w:sz w:val="19"/>
        </w:rPr>
        <w:t>ε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). The red dashed line indicates the centralized </w:t>
      </w:r>
      <w:r>
        <w:rPr>
          <w:rFonts w:ascii="Arial" w:hAnsi="Arial" w:eastAsia="Times"/>
          <w:b w:val="0"/>
          <w:i/>
          <w:color w:val="000000"/>
          <w:sz w:val="19"/>
        </w:rPr>
        <w:t>baseline. Error bars show ±1 standard deviation across 3 seeds.</w:t>
      </w:r>
    </w:p>
    <w:p>
      <w:pPr>
        <w:autoSpaceDN w:val="0"/>
        <w:autoSpaceDE w:val="0"/>
        <w:widowControl/>
        <w:spacing w:line="280" w:lineRule="exact" w:before="188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Figure 1 illustrates the substantial gap between the centralized baseline (NDCG@10 = 0.225, Hit@10 = </w:t>
      </w:r>
      <w:r>
        <w:rPr>
          <w:rFonts w:ascii="Arial" w:hAnsi="Arial" w:eastAsia="Times"/>
          <w:b w:val="0"/>
          <w:i w:val="0"/>
          <w:color w:val="000000"/>
          <w:sz w:val="21"/>
        </w:rPr>
        <w:t>0.38) and all federated configurations. Even without differential privacy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), the federated model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achieves only NDCG@10 = 0.054, representing a 76% degradation from the centralized baseline. This large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federated-to-centralized gap is the dominant factor in the overall performance loss, with DP adding a </w:t>
      </w:r>
      <w:r>
        <w:rPr>
          <w:rFonts w:ascii="Arial" w:hAnsi="Arial" w:eastAsia="Times"/>
          <w:b w:val="0"/>
          <w:i w:val="0"/>
          <w:color w:val="000000"/>
          <w:sz w:val="21"/>
        </w:rPr>
        <w:t>comparatively modest additional penalty of approximately 13–16% relative to the no-DP federated baseline.</w:t>
      </w:r>
    </w:p>
    <w:p>
      <w:pPr>
        <w:autoSpaceDN w:val="0"/>
        <w:autoSpaceDE w:val="0"/>
        <w:widowControl/>
        <w:spacing w:line="306" w:lineRule="exact" w:before="200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5.3.2 Relative Accuracy Loss</w:t>
      </w:r>
    </w:p>
    <w:p>
      <w:pPr>
        <w:autoSpaceDN w:val="0"/>
        <w:autoSpaceDE w:val="0"/>
        <w:widowControl/>
        <w:spacing w:line="280" w:lineRule="exact" w:before="54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To quantify the accuracy degradation more precisely, Figure 2 presents the relative accuracy loss as a </w:t>
      </w:r>
      <w:r>
        <w:rPr>
          <w:rFonts w:ascii="Arial" w:hAnsi="Arial" w:eastAsia="Times"/>
          <w:b w:val="0"/>
          <w:i w:val="0"/>
          <w:color w:val="000000"/>
          <w:sz w:val="21"/>
        </w:rPr>
        <w:t>percentage compared to the centralized baseline.</w:t>
      </w:r>
    </w:p>
    <w:p>
      <w:pPr>
        <w:sectPr>
          <w:pgSz w:w="11906" w:h="16838"/>
          <w:pgMar w:top="702" w:right="1276" w:bottom="1224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90" w:after="0"/>
        <w:ind w:left="0" w:right="0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>Figure 2: Relative accuracy loss (%) vs. DP budget (</w:t>
      </w:r>
      <w:r>
        <w:rPr>
          <w:rFonts w:ascii="Arial" w:hAnsi="Arial" w:eastAsia="Symbol"/>
          <w:b w:val="0"/>
          <w:i w:val="0"/>
          <w:color w:val="000000"/>
          <w:sz w:val="19"/>
        </w:rPr>
        <w:t>ε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), measured against the centralized baseline. The red dashed line </w:t>
      </w:r>
      <w:r>
        <w:rPr>
          <w:rFonts w:ascii="Arial" w:hAnsi="Arial" w:eastAsia="Times"/>
          <w:b w:val="0"/>
          <w:i/>
          <w:color w:val="000000"/>
          <w:sz w:val="19"/>
        </w:rPr>
        <w:t>marks the 5% target threshold. Error bars show ±1 standard deviation.</w:t>
      </w:r>
    </w:p>
    <w:p>
      <w:pPr>
        <w:autoSpaceDN w:val="0"/>
        <w:autoSpaceDE w:val="0"/>
        <w:widowControl/>
        <w:spacing w:line="276" w:lineRule="exact" w:before="190" w:after="108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10: Relative Accuracy Loss vs. Centralized Baseline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8.0000000000001" w:type="dxa"/>
      </w:tblPr>
      <w:tblGrid>
        <w:gridCol w:w="3111"/>
        <w:gridCol w:w="3111"/>
        <w:gridCol w:w="3111"/>
      </w:tblGrid>
      <w:tr>
        <w:trPr>
          <w:trHeight w:hRule="exact" w:val="400"/>
        </w:trPr>
        <w:tc>
          <w:tcPr>
            <w:tcW w:type="dxa" w:w="23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NDCG@10 Loss (%)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Hit@10 Loss (%)</w:t>
            </w:r>
          </w:p>
        </w:tc>
      </w:tr>
      <w:tr>
        <w:trPr>
          <w:trHeight w:hRule="exact" w:val="400"/>
        </w:trPr>
        <w:tc>
          <w:tcPr>
            <w:tcW w:type="dxa" w:w="23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112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(No DP)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76.0%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83.3%</w:t>
            </w:r>
          </w:p>
        </w:tc>
      </w:tr>
      <w:tr>
        <w:trPr>
          <w:trHeight w:hRule="exact" w:val="400"/>
        </w:trPr>
        <w:tc>
          <w:tcPr>
            <w:tcW w:type="dxa" w:w="23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76.3%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84.2%</w:t>
            </w:r>
          </w:p>
        </w:tc>
      </w:tr>
      <w:tr>
        <w:trPr>
          <w:trHeight w:hRule="exact" w:val="400"/>
        </w:trPr>
        <w:tc>
          <w:tcPr>
            <w:tcW w:type="dxa" w:w="23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78.7%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84.2%</w:t>
            </w:r>
          </w:p>
        </w:tc>
      </w:tr>
      <w:tr>
        <w:trPr>
          <w:trHeight w:hRule="exact" w:val="400"/>
        </w:trPr>
        <w:tc>
          <w:tcPr>
            <w:tcW w:type="dxa" w:w="23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79.7%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85.1%</w:t>
            </w:r>
          </w:p>
        </w:tc>
      </w:tr>
      <w:tr>
        <w:trPr>
          <w:trHeight w:hRule="exact" w:val="400"/>
        </w:trPr>
        <w:tc>
          <w:tcPr>
            <w:tcW w:type="dxa" w:w="23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79.2%</w:t>
            </w:r>
          </w:p>
        </w:tc>
        <w:tc>
          <w:tcPr>
            <w:tcW w:type="dxa" w:w="2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86.0%</w:t>
            </w:r>
          </w:p>
        </w:tc>
      </w:tr>
    </w:tbl>
    <w:p>
      <w:pPr>
        <w:autoSpaceDN w:val="0"/>
        <w:autoSpaceDE w:val="0"/>
        <w:widowControl/>
        <w:spacing w:line="280" w:lineRule="exact" w:before="142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All configurations exhibit a relative accuracy loss exceeding 76%, far above the 5% target threshold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typically desired in production systems. This result highlights that the primary challenge is not differential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privacy per se, but rather the fundamental difficulty of training a collaborative filtering model in a federated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setting with only 10 communication rounds and highly fragmented data across 100 clients. Within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federated regime, the incremental loss attributable to DP ranges from approximately 0.3 percentage points </w:t>
      </w:r>
      <w:r>
        <w:rPr>
          <w:rFonts w:ascii="Arial" w:hAnsi="Arial" w:eastAsia="Times"/>
          <w:b w:val="0"/>
          <w:i w:val="0"/>
          <w:color w:val="000000"/>
          <w:sz w:val="21"/>
        </w:rPr>
        <w:t>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8) to 3.2 percentage points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1) in NDCG@10.</w:t>
      </w:r>
    </w:p>
    <w:p>
      <w:pPr>
        <w:autoSpaceDN w:val="0"/>
        <w:autoSpaceDE w:val="0"/>
        <w:widowControl/>
        <w:spacing w:line="306" w:lineRule="exact" w:before="198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5.3.3 Regression Metrics under Differential Privacy</w:t>
      </w:r>
    </w:p>
    <w:p>
      <w:pPr>
        <w:autoSpaceDN w:val="0"/>
        <w:autoSpaceDE w:val="0"/>
        <w:widowControl/>
        <w:spacing w:line="280" w:lineRule="exact" w:before="54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Table 11 presents the MSE and MAE metrics, which capture the model’s ability to predict exact rating </w:t>
      </w:r>
      <w:r>
        <w:rPr>
          <w:rFonts w:ascii="Arial" w:hAnsi="Arial" w:eastAsia="Times"/>
          <w:b w:val="0"/>
          <w:i w:val="0"/>
          <w:color w:val="000000"/>
          <w:sz w:val="21"/>
        </w:rPr>
        <w:t>values.</w:t>
      </w:r>
    </w:p>
    <w:p>
      <w:pPr>
        <w:autoSpaceDN w:val="0"/>
        <w:autoSpaceDE w:val="0"/>
        <w:widowControl/>
        <w:spacing w:line="276" w:lineRule="exact" w:before="122" w:after="11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11: Regression Metrics vs. DP Budget (seed 42)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8.0000000000001" w:type="dxa"/>
      </w:tblPr>
      <w:tblGrid>
        <w:gridCol w:w="2333"/>
        <w:gridCol w:w="2333"/>
        <w:gridCol w:w="2333"/>
        <w:gridCol w:w="2333"/>
      </w:tblGrid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MSE (Round 10)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MAE (Round 10)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Train Loss (Round 10)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Centralized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2.045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1.106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1.865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112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(No DP)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13.686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3.522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13.716</w:t>
            </w:r>
          </w:p>
        </w:tc>
      </w:tr>
      <w:tr>
        <w:trPr>
          <w:trHeight w:hRule="exact" w:val="38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14.309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3.520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38.064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8" w:right="1276" w:bottom="846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8.0000000000001" w:type="dxa"/>
      </w:tblPr>
      <w:tblGrid>
        <w:gridCol w:w="2333"/>
        <w:gridCol w:w="2333"/>
        <w:gridCol w:w="2333"/>
        <w:gridCol w:w="2333"/>
      </w:tblGrid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MSE (Round 10)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MAE (Round 10)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Train Loss (Round 10)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20.486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3.824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291.848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118.634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8.674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4,389.639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1,219.794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27.732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50,547.671</w:t>
            </w:r>
          </w:p>
        </w:tc>
      </w:tr>
    </w:tbl>
    <w:p>
      <w:pPr>
        <w:autoSpaceDN w:val="0"/>
        <w:autoSpaceDE w:val="0"/>
        <w:widowControl/>
        <w:spacing w:line="280" w:lineRule="exact" w:before="144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regression metrics reveal a much more dramatic impact of differential privacy than the ranking metrics.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test MSE increases by two orders of magnitude from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(MSE = 13.7) to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 (MSE = 1,219.8).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training loss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 reaches 50,548, compared to 13.7 without DP, indicating that the massive </w:t>
      </w:r>
      <w:r>
        <w:rPr>
          <w:rFonts w:ascii="Arial" w:hAnsi="Arial" w:eastAsia="Times"/>
          <w:b w:val="0"/>
          <w:i w:val="0"/>
          <w:color w:val="000000"/>
          <w:sz w:val="21"/>
        </w:rPr>
        <w:t>Gaussian noise (</w:t>
      </w:r>
      <w:r>
        <w:rPr>
          <w:rFonts w:ascii="Arial" w:hAnsi="Arial" w:eastAsia="Symbol"/>
          <w:b w:val="0"/>
          <w:i w:val="0"/>
          <w:color w:val="000000"/>
          <w:sz w:val="21"/>
        </w:rPr>
        <w:t>σ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75.06) injected for very strong privacy completely overwhelms the gradient signal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during local training. Despite this severe gradient corruption, the NDCG@10 ranking metric degrades by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only 13.4%, suggesting that the model retains some capacity to produce a useful relative ordering of items </w:t>
      </w:r>
      <w:r>
        <w:rPr>
          <w:rFonts w:ascii="Arial" w:hAnsi="Arial" w:eastAsia="Times"/>
          <w:b w:val="0"/>
          <w:i w:val="0"/>
          <w:color w:val="000000"/>
          <w:sz w:val="21"/>
        </w:rPr>
        <w:t>even when absolute prediction values are highly inaccurate.</w:t>
      </w:r>
    </w:p>
    <w:p>
      <w:pPr>
        <w:autoSpaceDN w:val="0"/>
        <w:autoSpaceDE w:val="0"/>
        <w:widowControl/>
        <w:spacing w:line="306" w:lineRule="exact" w:before="200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5.3.4 Training Convergence</w:t>
      </w:r>
    </w:p>
    <w:p>
      <w:pPr>
        <w:autoSpaceDN w:val="0"/>
        <w:autoSpaceDE w:val="0"/>
        <w:widowControl/>
        <w:spacing w:line="280" w:lineRule="exact" w:before="54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Figure 3 depicts the training loss and NDCG@10 convergence across communication rounds for each DP </w:t>
      </w:r>
      <w:r>
        <w:rPr>
          <w:rFonts w:ascii="Arial" w:hAnsi="Arial" w:eastAsia="Times"/>
          <w:b w:val="0"/>
          <w:i w:val="0"/>
          <w:color w:val="000000"/>
          <w:sz w:val="21"/>
        </w:rPr>
        <w:t>configuration.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78" w:after="0"/>
        <w:ind w:left="288" w:right="288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 xml:space="preserve">Figure 3: Training loss convergence (left) and NDCG@10 convergence (right) over 10 communication rounds for 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each </w:t>
      </w:r>
      <w:r>
        <w:rPr>
          <w:rFonts w:ascii="Arial" w:hAnsi="Arial" w:eastAsia="Symbol"/>
          <w:b w:val="0"/>
          <w:i w:val="0"/>
          <w:color w:val="000000"/>
          <w:sz w:val="19"/>
        </w:rPr>
        <w:t>ε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 configuration. Note the dramatically different loss scales for high-noise configurations.</w:t>
      </w:r>
    </w:p>
    <w:p>
      <w:pPr>
        <w:autoSpaceDN w:val="0"/>
        <w:autoSpaceDE w:val="0"/>
        <w:widowControl/>
        <w:spacing w:line="280" w:lineRule="exact" w:before="184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convergence plots reveal striking differences in training dynamics across privacy budgets. The no-DP </w:t>
      </w:r>
      <w:r>
        <w:rPr>
          <w:rFonts w:ascii="Arial" w:hAnsi="Arial" w:eastAsia="Times"/>
          <w:b w:val="0"/>
          <w:i w:val="0"/>
          <w:color w:val="000000"/>
          <w:sz w:val="21"/>
        </w:rPr>
        <w:t>configuration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>) and relaxed-privacy configuration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8) maintain relatively stable training losses </w:t>
      </w:r>
      <w:r>
        <w:rPr>
          <w:rFonts w:ascii="Arial" w:hAnsi="Arial" w:eastAsia="Times"/>
          <w:b w:val="0"/>
          <w:i w:val="0"/>
          <w:color w:val="000000"/>
          <w:sz w:val="21"/>
        </w:rPr>
        <w:t>around 13.7 and 32–38 respectively. In contrast, the strong-privacy configurations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2 and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1) exhibit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steadily increasing training losses across rounds, reaching 4,390 and 50,548 by round 10. This divergence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indicates that the noise magnitude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Symbol"/>
          <w:b w:val="0"/>
          <w:i w:val="0"/>
          <w:color w:val="000000"/>
          <w:sz w:val="21"/>
        </w:rPr>
        <w:t>≤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2 exceeds the gradient signal, causing the model parameters to drift </w:t>
      </w:r>
      <w:r>
        <w:rPr>
          <w:rFonts w:ascii="Arial" w:hAnsi="Arial" w:eastAsia="Times"/>
          <w:b w:val="0"/>
          <w:i w:val="0"/>
          <w:color w:val="000000"/>
          <w:sz w:val="21"/>
        </w:rPr>
        <w:t>rather than converge.</w:t>
      </w:r>
    </w:p>
    <w:p>
      <w:pPr>
        <w:autoSpaceDN w:val="0"/>
        <w:autoSpaceDE w:val="0"/>
        <w:widowControl/>
        <w:spacing w:line="280" w:lineRule="exact" w:before="120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NDCG@10 convergence panel shows that recommendation quality is measured at rounds 1, 5, and 10.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All configurations exhibit similar NDCG@10 values at the measured checkpoints (ranging from 0.04 to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0.065), despite the vastly different loss magnitudes. This finding confirms that the ranking metric is more </w:t>
      </w:r>
      <w:r>
        <w:rPr>
          <w:rFonts w:ascii="Arial" w:hAnsi="Arial" w:eastAsia="Times"/>
          <w:b w:val="0"/>
          <w:i w:val="0"/>
          <w:color w:val="000000"/>
          <w:sz w:val="21"/>
        </w:rPr>
        <w:t>robust to DP noise than the regression metrics, as the relative ordering of item predictions is partially</w:t>
      </w:r>
    </w:p>
    <w:p>
      <w:pPr>
        <w:sectPr>
          <w:pgSz w:w="11906" w:h="16838"/>
          <w:pgMar w:top="704" w:right="1276" w:bottom="834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preserved even when absolute values are perturbed.</w:t>
      </w:r>
    </w:p>
    <w:p>
      <w:pPr>
        <w:autoSpaceDN w:val="0"/>
        <w:autoSpaceDE w:val="0"/>
        <w:widowControl/>
        <w:spacing w:line="360" w:lineRule="exact" w:before="558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5.4 RQ2: Effectiveness of Privacy Attacks</w:t>
      </w:r>
    </w:p>
    <w:p>
      <w:pPr>
        <w:autoSpaceDN w:val="0"/>
        <w:autoSpaceDE w:val="0"/>
        <w:widowControl/>
        <w:spacing w:line="306" w:lineRule="exact" w:before="182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5.4.1 Membership Inference Attack Results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Table 12 presents the results of the shadow-model-based membership inference attack (MIA) across all five </w:t>
      </w:r>
      <w:r>
        <w:rPr>
          <w:rFonts w:ascii="Arial" w:hAnsi="Arial" w:eastAsia="Times"/>
          <w:b w:val="0"/>
          <w:i w:val="0"/>
          <w:color w:val="000000"/>
          <w:sz w:val="21"/>
        </w:rPr>
        <w:t>DP configurations. The attack is evaluated on the final global model from seed 42.</w:t>
      </w:r>
    </w:p>
    <w:p>
      <w:pPr>
        <w:autoSpaceDN w:val="0"/>
        <w:autoSpaceDE w:val="0"/>
        <w:widowControl/>
        <w:spacing w:line="276" w:lineRule="exact" w:before="122" w:after="108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12: Membership Inference Attack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8.0000000000001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64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92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10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288" w:right="288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MIA 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AUC</w:t>
            </w:r>
          </w:p>
        </w:tc>
        <w:tc>
          <w:tcPr>
            <w:tcW w:type="dxa" w:w="128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144" w:right="144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MIA 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Accuracy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TPR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FPR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Leakage Assessment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112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(No DP)</w:t>
            </w:r>
          </w:p>
        </w:tc>
        <w:tc>
          <w:tcPr>
            <w:tcW w:type="dxa" w:w="10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0.548</w:t>
            </w:r>
          </w:p>
        </w:tc>
        <w:tc>
          <w:tcPr>
            <w:tcW w:type="dxa" w:w="128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0.545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0.48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0.39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Marginal leakage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0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0.534</w:t>
            </w:r>
          </w:p>
        </w:tc>
        <w:tc>
          <w:tcPr>
            <w:tcW w:type="dxa" w:w="128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0.515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0.60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0.57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Near-random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0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0.502</w:t>
            </w:r>
          </w:p>
        </w:tc>
        <w:tc>
          <w:tcPr>
            <w:tcW w:type="dxa" w:w="128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0.505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0.61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0.60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Random (no leakage)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0.500</w:t>
            </w:r>
          </w:p>
        </w:tc>
        <w:tc>
          <w:tcPr>
            <w:tcW w:type="dxa" w:w="128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0.500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0.64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0.64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Random (no leakage)</w:t>
            </w:r>
          </w:p>
        </w:tc>
      </w:tr>
      <w:tr>
        <w:trPr>
          <w:trHeight w:hRule="exact" w:val="400"/>
        </w:trPr>
        <w:tc>
          <w:tcPr>
            <w:tcW w:type="dxa" w:w="12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0.486</w:t>
            </w:r>
          </w:p>
        </w:tc>
        <w:tc>
          <w:tcPr>
            <w:tcW w:type="dxa" w:w="128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0.510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0.62</w:t>
            </w:r>
          </w:p>
        </w:tc>
        <w:tc>
          <w:tcPr>
            <w:tcW w:type="dxa" w:w="76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0.60</w:t>
            </w:r>
          </w:p>
        </w:tc>
        <w:tc>
          <w:tcPr>
            <w:tcW w:type="dxa" w:w="22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Random (no leakage)</w:t>
            </w:r>
          </w:p>
        </w:tc>
      </w:tr>
    </w:tbl>
    <w:p>
      <w:pPr>
        <w:autoSpaceDN w:val="0"/>
        <w:autoSpaceDE w:val="0"/>
        <w:widowControl/>
        <w:spacing w:line="280" w:lineRule="exact" w:before="144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membership inference attack is remarkably ineffective across all configurations, even without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differential privacy.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(no DP), the MIA achieves an AUC of only 0.548 and accuracy of 54.5%,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barely exceeding the random baseline of 0.5. This indicates that the federated learning process itself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provides a degree of inherent privacy protection: because each client’s data only influences the global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model indirectly through aggregation, the model does not memorize individual training samples as strongly </w:t>
      </w:r>
      <w:r>
        <w:rPr>
          <w:rFonts w:ascii="Arial" w:hAnsi="Arial" w:eastAsia="Times"/>
          <w:b w:val="0"/>
          <w:i w:val="0"/>
          <w:color w:val="000000"/>
          <w:sz w:val="21"/>
        </w:rPr>
        <w:t>as a centralized model would.</w:t>
      </w:r>
    </w:p>
    <w:p>
      <w:pPr>
        <w:autoSpaceDN w:val="0"/>
        <w:autoSpaceDE w:val="0"/>
        <w:widowControl/>
        <w:spacing w:line="280" w:lineRule="exact" w:before="122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>With even moderate DP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4), the MIA AUC drops to 0.502, which is statistically indistinguishable from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random guessing.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1, the AUC falls to 0.486, slightly below 0.5, meaning the attack classifier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performs worse than random. The true positive rate (TPR) and false positive rate (FPR) converge to similar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values (e.g., TPR = 0.64, FPR = 0.64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2), confirming that the classifier cannot distinguish members </w:t>
      </w:r>
      <w:r>
        <w:rPr>
          <w:rFonts w:ascii="Arial" w:hAnsi="Arial" w:eastAsia="Times"/>
          <w:b w:val="0"/>
          <w:i w:val="0"/>
          <w:color w:val="000000"/>
          <w:sz w:val="21"/>
        </w:rPr>
        <w:t>from non-members.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5.4.2 Model Inversion Attack Results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Table 13 presents the model inversion attack results, which attempt to reconstruct each user’s top-10 </w:t>
      </w:r>
      <w:r>
        <w:rPr>
          <w:rFonts w:ascii="Arial" w:hAnsi="Arial" w:eastAsia="Times"/>
          <w:b w:val="0"/>
          <w:i w:val="0"/>
          <w:color w:val="000000"/>
          <w:sz w:val="21"/>
        </w:rPr>
        <w:t>preferred items from the trained model.</w:t>
      </w:r>
    </w:p>
    <w:p>
      <w:pPr>
        <w:autoSpaceDN w:val="0"/>
        <w:autoSpaceDE w:val="0"/>
        <w:widowControl/>
        <w:spacing w:line="276" w:lineRule="exact" w:before="122" w:after="106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13: Model Inversion Attack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8.0000000000001" w:type="dxa"/>
      </w:tblPr>
      <w:tblGrid>
        <w:gridCol w:w="2273"/>
        <w:gridCol w:w="2273"/>
        <w:gridCol w:w="2273"/>
        <w:gridCol w:w="2273"/>
      </w:tblGrid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Top-K Accuracy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Users Evaluated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Success Threshold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112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(No DP)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 (0%)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 (0%)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 (0%)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 (0%)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</w:tr>
      <w:tr>
        <w:trPr>
          <w:trHeight w:hRule="exact" w:val="400"/>
        </w:trPr>
        <w:tc>
          <w:tcPr>
            <w:tcW w:type="dxa" w:w="15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 (0%)</w:t>
            </w:r>
          </w:p>
        </w:tc>
        <w:tc>
          <w:tcPr>
            <w:tcW w:type="dxa" w:w="18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2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≥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20% overlap</w:t>
            </w:r>
          </w:p>
        </w:tc>
      </w:tr>
    </w:tbl>
    <w:p>
      <w:pPr>
        <w:autoSpaceDN w:val="0"/>
        <w:autoSpaceDE w:val="0"/>
        <w:widowControl/>
        <w:spacing w:line="282" w:lineRule="exact" w:before="144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model inversion attack fails completely across all configurations, achieving a 0% success rate for all 50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target users at every privacy level. Not a single user’s top-10 preferences could be reconstructed with even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20% overlap (i.e., 2 out of 10 items). This result holds even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(no DP), indicating that the federated</w:t>
      </w:r>
    </w:p>
    <w:p>
      <w:pPr>
        <w:sectPr>
          <w:pgSz w:w="11906" w:h="16838"/>
          <w:pgMar w:top="702" w:right="1396" w:bottom="80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0" w:lineRule="exact" w:before="2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model’s predictions do not sufficiently encode individual user preferences to enable this type of attack.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combination of data fragmentation across 100 clients, limited communication rounds (10), and the relatively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low model capacity (64-dimensional embeddings) collectively prevent the model from memorizing </w:t>
      </w:r>
      <w:r>
        <w:rPr>
          <w:rFonts w:ascii="Arial" w:hAnsi="Arial" w:eastAsia="Times"/>
          <w:b w:val="0"/>
          <w:i w:val="0"/>
          <w:color w:val="000000"/>
          <w:sz w:val="21"/>
        </w:rPr>
        <w:t>individual user preference patterns.</w:t>
      </w:r>
    </w:p>
    <w:p>
      <w:pPr>
        <w:autoSpaceDN w:val="0"/>
        <w:autoSpaceDE w:val="0"/>
        <w:widowControl/>
        <w:spacing w:line="306" w:lineRule="exact" w:before="200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5.4.3 Combined Privacy Attack Assessment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82" w:after="0"/>
        <w:ind w:left="144" w:right="144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 xml:space="preserve">Figure 4: Privacy attack effectiveness as a function of DP budget. Left: Membership Inference Attack AUC and </w:t>
      </w:r>
      <w:r>
        <w:rPr>
          <w:rFonts w:ascii="Arial" w:hAnsi="Arial" w:eastAsia="Times"/>
          <w:b w:val="0"/>
          <w:i/>
          <w:color w:val="000000"/>
          <w:sz w:val="19"/>
        </w:rPr>
        <w:t>accuracy (dashed line = random baseline at 0.5). Right: Model Inversion Attack top-K accuracy (all values are 0.0).</w:t>
      </w:r>
    </w:p>
    <w:p>
      <w:pPr>
        <w:autoSpaceDN w:val="0"/>
        <w:autoSpaceDE w:val="0"/>
        <w:widowControl/>
        <w:spacing w:line="280" w:lineRule="exact" w:before="188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Figure 4 provides a comprehensive visualization of both attack types. The MIA panel shows a clear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monotonic relationship between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and attack success: as privacy protection increases (lower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), the AUC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converges toward 0.5. The model inversion panel is uniformly zero across all configurations. These results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lead to an important practical conclusion: for this recommendation task and model architecture,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federated learning protocol itself provides strong baseline privacy protection. Differential privacy provides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formal guarantees and additional marginal protection, reducing MIA AUC from 0.548 to 0.500, but the </w:t>
      </w:r>
      <w:r>
        <w:rPr>
          <w:rFonts w:ascii="Arial" w:hAnsi="Arial" w:eastAsia="Times"/>
          <w:b w:val="0"/>
          <w:i w:val="0"/>
          <w:color w:val="000000"/>
          <w:sz w:val="21"/>
        </w:rPr>
        <w:t>practical privacy risk is already minimal without DP.</w:t>
      </w:r>
    </w:p>
    <w:p>
      <w:pPr>
        <w:autoSpaceDN w:val="0"/>
        <w:autoSpaceDE w:val="0"/>
        <w:widowControl/>
        <w:spacing w:line="362" w:lineRule="exact" w:before="558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5.5 RQ3: Impact of Data Heterogeneity on Federated Learning</w:t>
      </w:r>
    </w:p>
    <w:p>
      <w:pPr>
        <w:autoSpaceDN w:val="0"/>
        <w:autoSpaceDE w:val="0"/>
        <w:widowControl/>
        <w:spacing w:line="306" w:lineRule="exact" w:before="180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5.5.1 Heterogeneity Sweep Results</w:t>
      </w:r>
    </w:p>
    <w:p>
      <w:pPr>
        <w:autoSpaceDN w:val="0"/>
        <w:autoSpaceDE w:val="0"/>
        <w:widowControl/>
        <w:spacing w:line="280" w:lineRule="exact" w:before="56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Table 14 presents the recommendation quality metrics across three Dirichlet concentration parameters (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Symbol"/>
          <w:b w:val="0"/>
          <w:i w:val="0"/>
          <w:color w:val="000000"/>
          <w:sz w:val="21"/>
        </w:rPr>
        <w:t>∈</w:t>
      </w:r>
      <w:r>
        <w:rPr>
          <w:rFonts w:ascii="Arial" w:hAnsi="Arial" w:eastAsia="Times"/>
          <w:b w:val="0"/>
          <w:i w:val="0"/>
          <w:color w:val="000000"/>
          <w:sz w:val="21"/>
        </w:rPr>
        <w:t>{0.1, 0.5, 1.0}), with no differential privacy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1"/>
        </w:rPr>
        <w:t>∞</w:t>
      </w:r>
      <w:r>
        <w:rPr>
          <w:rFonts w:ascii="Arial" w:hAnsi="Arial" w:eastAsia="Times"/>
          <w:b w:val="0"/>
          <w:i w:val="0"/>
          <w:color w:val="000000"/>
          <w:sz w:val="21"/>
        </w:rPr>
        <w:t>) to isolate the effect of data distribution alone.</w:t>
      </w:r>
    </w:p>
    <w:p>
      <w:pPr>
        <w:autoSpaceDN w:val="0"/>
        <w:autoSpaceDE w:val="0"/>
        <w:widowControl/>
        <w:spacing w:line="276" w:lineRule="exact" w:before="120" w:after="11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 xml:space="preserve">Table 14: Recommendation Quality vs. Data Heterogeneity (mean ± std, 3 seeds, </w:t>
      </w:r>
      <w:r>
        <w:rPr>
          <w:rFonts w:ascii="Arial" w:hAnsi="Arial" w:eastAsia="Symbol"/>
          <w:b w:val="0"/>
          <w:i w:val="0"/>
          <w:color w:val="000000"/>
          <w:sz w:val="20"/>
        </w:rPr>
        <w:t>ε</w:t>
      </w:r>
      <w:r>
        <w:rPr>
          <w:rFonts w:ascii="Arial" w:hAnsi="Arial" w:eastAsia="Times"/>
          <w:b/>
          <w:i w:val="0"/>
          <w:color w:val="000000"/>
          <w:sz w:val="20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0"/>
        </w:rPr>
        <w:t>∞</w:t>
      </w:r>
      <w:r>
        <w:rPr>
          <w:rFonts w:ascii="Arial" w:hAnsi="Arial" w:eastAsia="Times"/>
          <w:b/>
          <w:i w:val="0"/>
          <w:color w:val="000000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8.0000000000001" w:type="dxa"/>
      </w:tblPr>
      <w:tblGrid>
        <w:gridCol w:w="1556"/>
        <w:gridCol w:w="1556"/>
        <w:gridCol w:w="1556"/>
        <w:gridCol w:w="1556"/>
        <w:gridCol w:w="1556"/>
        <w:gridCol w:w="1556"/>
      </w:tblGrid>
      <w:tr>
        <w:trPr>
          <w:trHeight w:hRule="exact" w:val="400"/>
        </w:trPr>
        <w:tc>
          <w:tcPr>
            <w:tcW w:type="dxa" w:w="7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α</w:t>
            </w:r>
          </w:p>
        </w:tc>
        <w:tc>
          <w:tcPr>
            <w:tcW w:type="dxa" w:w="1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Heterogeneity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Hit@10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Precision@10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Recall@10</w:t>
            </w:r>
          </w:p>
        </w:tc>
      </w:tr>
      <w:tr>
        <w:trPr>
          <w:trHeight w:hRule="exact" w:val="400"/>
        </w:trPr>
        <w:tc>
          <w:tcPr>
            <w:tcW w:type="dxa" w:w="7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1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Highly Non-IID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0.0538 ± 0.011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0.0633 ± 0.021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 ± 0.001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0.004 ± 0.001</w:t>
            </w:r>
          </w:p>
        </w:tc>
      </w:tr>
      <w:tr>
        <w:trPr>
          <w:trHeight w:hRule="exact" w:val="640"/>
        </w:trPr>
        <w:tc>
          <w:tcPr>
            <w:tcW w:type="dxa" w:w="7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</w:t>
            </w:r>
          </w:p>
        </w:tc>
        <w:tc>
          <w:tcPr>
            <w:tcW w:type="dxa" w:w="1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Moderately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Non-IID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0.0539 ± 0.011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0.0633 ± 0.021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 ± 0.001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0.004 ± 0.001</w:t>
            </w:r>
          </w:p>
        </w:tc>
      </w:tr>
      <w:tr>
        <w:trPr>
          <w:trHeight w:hRule="exact" w:val="380"/>
        </w:trPr>
        <w:tc>
          <w:tcPr>
            <w:tcW w:type="dxa" w:w="7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6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Mildly Non-IID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0.0539 ± 0.011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0.0633 ± 0.021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 ± 0.001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0.004 ± 0.001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276" w:bottom="766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86" w:after="0"/>
        <w:ind w:left="288" w:right="288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>Figure 5: NDCG@10 and Hit@10 as a function of data heterogeneity (</w:t>
      </w:r>
      <w:r>
        <w:rPr>
          <w:rFonts w:ascii="Arial" w:hAnsi="Arial" w:eastAsia="Symbol"/>
          <w:b w:val="0"/>
          <w:i w:val="0"/>
          <w:color w:val="000000"/>
          <w:sz w:val="19"/>
        </w:rPr>
        <w:t>α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). Error bars show ±1 standard deviation </w:t>
      </w:r>
      <w:r>
        <w:rPr>
          <w:rFonts w:ascii="Arial" w:hAnsi="Arial" w:eastAsia="Times"/>
          <w:b w:val="0"/>
          <w:i/>
          <w:color w:val="000000"/>
          <w:sz w:val="19"/>
        </w:rPr>
        <w:t>across 3 seeds. No differential privacy is applied (</w:t>
      </w:r>
      <w:r>
        <w:rPr>
          <w:rFonts w:ascii="Arial" w:hAnsi="Arial" w:eastAsia="Symbol"/>
          <w:b w:val="0"/>
          <w:i w:val="0"/>
          <w:color w:val="000000"/>
          <w:sz w:val="19"/>
        </w:rPr>
        <w:t>ε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19"/>
        </w:rPr>
        <w:t>∞</w:t>
      </w:r>
      <w:r>
        <w:rPr>
          <w:rFonts w:ascii="Arial" w:hAnsi="Arial" w:eastAsia="Times"/>
          <w:b w:val="0"/>
          <w:i/>
          <w:color w:val="000000"/>
          <w:sz w:val="19"/>
        </w:rPr>
        <w:t>).</w:t>
      </w:r>
    </w:p>
    <w:p>
      <w:pPr>
        <w:autoSpaceDN w:val="0"/>
        <w:autoSpaceDE w:val="0"/>
        <w:widowControl/>
        <w:spacing w:line="276" w:lineRule="exact" w:before="200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heterogeneity sweep yields a striking result: </w:t>
      </w:r>
      <w:r>
        <w:rPr>
          <w:rFonts w:ascii="Arial" w:hAnsi="Arial" w:eastAsia="Times"/>
          <w:b/>
          <w:i w:val="0"/>
          <w:color w:val="000000"/>
          <w:sz w:val="21"/>
        </w:rPr>
        <w:t xml:space="preserve">data heterogeneity has virtually no measurable impact </w:t>
      </w:r>
      <w:r>
        <w:rPr>
          <w:rFonts w:ascii="Arial" w:hAnsi="Arial" w:eastAsia="Times"/>
          <w:b/>
          <w:i w:val="0"/>
          <w:color w:val="000000"/>
          <w:sz w:val="21"/>
        </w:rPr>
        <w:t>on federated learning performance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in this experimental configuration. NDCG@10 remains constant at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0.054 and Hit@10 at 0.063 across all three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values. The standard deviations across seeds are identical, and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differences between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0.1 and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1.0 are within the fourth decimal place (e.g., NDCG@10 differs by </w:t>
      </w:r>
      <w:r>
        <w:rPr>
          <w:rFonts w:ascii="Arial" w:hAnsi="Arial" w:eastAsia="Times"/>
          <w:b w:val="0"/>
          <w:i w:val="0"/>
          <w:color w:val="000000"/>
          <w:sz w:val="21"/>
        </w:rPr>
        <w:t>0.0001). As shown in Figure 5, the error bars overlap almost entirely.</w:t>
      </w:r>
    </w:p>
    <w:p>
      <w:pPr>
        <w:autoSpaceDN w:val="0"/>
        <w:autoSpaceDE w:val="0"/>
        <w:widowControl/>
        <w:spacing w:line="306" w:lineRule="exact" w:before="200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5.5.2 Interpretation of Heterogeneity Robustness</w:t>
      </w:r>
    </w:p>
    <w:p>
      <w:pPr>
        <w:autoSpaceDN w:val="0"/>
        <w:autoSpaceDE w:val="0"/>
        <w:widowControl/>
        <w:spacing w:line="280" w:lineRule="exact" w:before="54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Several factors explain the observed robustness to data heterogeneity:</w:t>
      </w:r>
    </w:p>
    <w:p>
      <w:pPr>
        <w:autoSpaceDN w:val="0"/>
        <w:autoSpaceDE w:val="0"/>
        <w:widowControl/>
        <w:spacing w:line="276" w:lineRule="exact" w:before="136" w:after="0"/>
        <w:ind w:left="600" w:right="14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Full client participation: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All 100 clients participate in every round. The FedAvg aggregation with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sample-count weighting effectively averages out local biases when all clients contribute, regardless of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how skewed individual client distributions are. In contrast, heterogeneity effects are typically more </w:t>
      </w:r>
      <w:r>
        <w:rPr>
          <w:rFonts w:ascii="Arial" w:hAnsi="Arial" w:eastAsia="Times"/>
          <w:b w:val="0"/>
          <w:i w:val="0"/>
          <w:color w:val="000000"/>
          <w:sz w:val="21"/>
        </w:rPr>
        <w:t>pronounced with partial client participation.</w:t>
      </w:r>
    </w:p>
    <w:p>
      <w:pPr>
        <w:autoSpaceDN w:val="0"/>
        <w:autoSpaceDE w:val="0"/>
        <w:widowControl/>
        <w:spacing w:line="276" w:lineRule="exact" w:before="76" w:after="0"/>
        <w:ind w:left="600" w:right="14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Limited convergence regime: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With only 10 communication rounds, the model has not converged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sufficiently for heterogeneity-induced client drift to manifest. Client drift (divergence between local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optima) accumulates over many rounds of training; in the early stages of training, all clients are </w:t>
      </w:r>
      <w:r>
        <w:rPr>
          <w:rFonts w:ascii="Arial" w:hAnsi="Arial" w:eastAsia="Times"/>
          <w:b w:val="0"/>
          <w:i w:val="0"/>
          <w:color w:val="000000"/>
          <w:sz w:val="21"/>
        </w:rPr>
        <w:t>learning similar broad patterns regardless of their data distribution.</w:t>
      </w:r>
    </w:p>
    <w:p>
      <w:pPr>
        <w:autoSpaceDN w:val="0"/>
        <w:autoSpaceDE w:val="0"/>
        <w:widowControl/>
        <w:spacing w:line="274" w:lineRule="exact" w:before="78" w:after="0"/>
        <w:ind w:left="600" w:right="14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Low model capacity: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matrix factorization model with 64-dimensional embeddings has limited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capacity to overfit to individual client distributions. A more complex model (e.g., a deep neural </w:t>
      </w:r>
      <w:r>
        <w:rPr>
          <w:rFonts w:ascii="Arial" w:hAnsi="Arial" w:eastAsia="Times"/>
          <w:b w:val="0"/>
          <w:i w:val="0"/>
          <w:color w:val="000000"/>
          <w:sz w:val="21"/>
        </w:rPr>
        <w:t>network) would be more susceptible to client drift caused by non-IID data.</w:t>
      </w:r>
    </w:p>
    <w:p>
      <w:pPr>
        <w:autoSpaceDN w:val="0"/>
        <w:autoSpaceDE w:val="0"/>
        <w:widowControl/>
        <w:spacing w:line="274" w:lineRule="exact" w:before="78" w:after="0"/>
        <w:ind w:left="600" w:right="14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Sparse interaction data: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With 80,000 interactions distributed across 100 clients (average 800 per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client), the per-client data is too sparse for local models to develop strongly divergent update </w:t>
      </w:r>
      <w:r>
        <w:rPr>
          <w:rFonts w:ascii="Arial" w:hAnsi="Arial" w:eastAsia="Times"/>
          <w:b w:val="0"/>
          <w:i w:val="0"/>
          <w:color w:val="000000"/>
          <w:sz w:val="21"/>
        </w:rPr>
        <w:t>directions, especially within 3 local epochs.</w:t>
      </w:r>
    </w:p>
    <w:p>
      <w:pPr>
        <w:autoSpaceDN w:val="0"/>
        <w:autoSpaceDE w:val="0"/>
        <w:widowControl/>
        <w:spacing w:line="362" w:lineRule="exact" w:before="498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5.6 Client Data Distribution Analysis</w:t>
      </w:r>
    </w:p>
    <w:p>
      <w:pPr>
        <w:sectPr>
          <w:pgSz w:w="11906" w:h="16838"/>
          <w:pgMar w:top="788" w:right="1276" w:bottom="1034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0" w:lineRule="exact" w:before="2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To provide context for the federated learning results, Figure 6 visualizes the distribution of training samples </w:t>
      </w:r>
      <w:r>
        <w:rPr>
          <w:rFonts w:ascii="Arial" w:hAnsi="Arial" w:eastAsia="Times"/>
          <w:b w:val="0"/>
          <w:i w:val="0"/>
          <w:color w:val="000000"/>
          <w:sz w:val="21"/>
        </w:rPr>
        <w:t>across clients and Figure 7 shows the aggregation statistics across rounds.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6" w:lineRule="exact" w:before="90" w:after="0"/>
        <w:ind w:left="144" w:right="144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>Figure 6: Distribution of training samples per client under Dirichlet partitioning (</w:t>
      </w:r>
      <w:r>
        <w:rPr>
          <w:rFonts w:ascii="Arial" w:hAnsi="Arial" w:eastAsia="Symbol"/>
          <w:b w:val="0"/>
          <w:i w:val="0"/>
          <w:color w:val="000000"/>
          <w:sz w:val="19"/>
        </w:rPr>
        <w:t>α</w:t>
      </w:r>
      <w:r>
        <w:rPr>
          <w:rFonts w:ascii="Arial" w:hAnsi="Arial" w:eastAsia="Times"/>
          <w:b w:val="0"/>
          <w:i/>
          <w:color w:val="000000"/>
          <w:sz w:val="19"/>
        </w:rPr>
        <w:t xml:space="preserve"> = 0.5). Left: histogram showing </w:t>
      </w:r>
      <w:r>
        <w:rPr>
          <w:rFonts w:ascii="Arial" w:hAnsi="Arial" w:eastAsia="Times"/>
          <w:b w:val="0"/>
          <w:i/>
          <w:color w:val="000000"/>
          <w:sz w:val="19"/>
        </w:rPr>
        <w:t>the frequency of client dataset sizes. Right: box plot showing the median, quartiles, and outliers.</w:t>
      </w:r>
    </w:p>
    <w:p>
      <w:pPr>
        <w:autoSpaceDN w:val="0"/>
        <w:autoSpaceDE w:val="0"/>
        <w:widowControl/>
        <w:spacing w:line="280" w:lineRule="exact" w:before="190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Figure 6 reveals that the Dirichlet partitioning with </w:t>
      </w:r>
      <w:r>
        <w:rPr>
          <w:rFonts w:ascii="Arial" w:hAnsi="Arial" w:eastAsia="Symbol"/>
          <w:b w:val="0"/>
          <w:i w:val="0"/>
          <w:color w:val="000000"/>
          <w:sz w:val="21"/>
        </w:rPr>
        <w:t>α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0.5 produces a skewed distribution of client dataset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sizes, with a mean of approximately 140 samples per client. The distribution ranges from roughly 60 to 280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samples, with the interquartile range spanning approximately 110 to 155. One outlier client holds roughly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280 samples. This distribution is representative of real-world mobile deployments where user engagement </w:t>
      </w:r>
      <w:r>
        <w:rPr>
          <w:rFonts w:ascii="Arial" w:hAnsi="Arial" w:eastAsia="Times"/>
          <w:b w:val="0"/>
          <w:i w:val="0"/>
          <w:color w:val="000000"/>
          <w:sz w:val="21"/>
        </w:rPr>
        <w:t>levels vary substantially.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82" w:after="0"/>
        <w:ind w:left="288" w:right="288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 xml:space="preserve">Figure 7: Aggregation statistics over 10 communication rounds. Left: number of participating clients per round </w:t>
      </w:r>
      <w:r>
        <w:rPr>
          <w:rFonts w:ascii="Arial" w:hAnsi="Arial" w:eastAsia="Times"/>
          <w:b w:val="0"/>
          <w:i/>
          <w:color w:val="000000"/>
          <w:sz w:val="19"/>
        </w:rPr>
        <w:t>(constant at 48). Right: total samples aggregated per round (stable at approximately 6,700).</w:t>
      </w:r>
    </w:p>
    <w:p>
      <w:pPr>
        <w:sectPr>
          <w:pgSz w:w="11906" w:h="16838"/>
          <w:pgMar w:top="702" w:right="1276" w:bottom="828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0" w:lineRule="exact" w:before="2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Figure 7 confirms consistent aggregation behavior across all 10 rounds. The number of participating clients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remains constant at 48 per round, and the total sample count is stable at approximately 6,700 per round.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This consistency ensures that performance variations observed across rounds are attributable to model </w:t>
      </w:r>
      <w:r>
        <w:rPr>
          <w:rFonts w:ascii="Arial" w:hAnsi="Arial" w:eastAsia="Times"/>
          <w:b w:val="0"/>
          <w:i w:val="0"/>
          <w:color w:val="000000"/>
          <w:sz w:val="21"/>
        </w:rPr>
        <w:t>learning dynamics rather than fluctuations in client participation or data availability.</w:t>
      </w:r>
    </w:p>
    <w:p>
      <w:pPr>
        <w:autoSpaceDN w:val="0"/>
        <w:autoSpaceDE w:val="0"/>
        <w:widowControl/>
        <w:spacing w:line="360" w:lineRule="exact" w:before="558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5.7 Recommendation Metrics Over Training Rounds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914390" cy="3252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2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82" w:after="0"/>
        <w:ind w:left="288" w:right="288" w:firstLine="0"/>
        <w:jc w:val="center"/>
      </w:pPr>
      <w:r>
        <w:rPr>
          <w:rFonts w:ascii="Arial" w:hAnsi="Arial" w:eastAsia="Times"/>
          <w:b w:val="0"/>
          <w:i/>
          <w:color w:val="000000"/>
          <w:sz w:val="19"/>
        </w:rPr>
        <w:t xml:space="preserve">Figure 8: Recommendation metrics (Hit@10, Precision@10, Recall@10) tracked over 10 training rounds for the </w:t>
      </w:r>
      <w:r>
        <w:rPr>
          <w:rFonts w:ascii="Arial" w:hAnsi="Arial" w:eastAsia="Times"/>
          <w:b w:val="0"/>
          <w:i/>
          <w:color w:val="000000"/>
          <w:sz w:val="19"/>
        </w:rPr>
        <w:t>no-DP federated configuration.</w:t>
      </w:r>
    </w:p>
    <w:p>
      <w:pPr>
        <w:autoSpaceDN w:val="0"/>
        <w:autoSpaceDE w:val="0"/>
        <w:widowControl/>
        <w:spacing w:line="280" w:lineRule="exact" w:before="188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Figure 8 tracks the evolution of recommendation metrics over the training rounds for the baseline federated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configuration (no DP). Hit@10 remains stable at approximately 8% for the first 8 rounds before dropping to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6% in the final two rounds. Precision@10 and Recall@10 remain consistently low throughout training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(approximately 0.8% and 0.3% respectively), reflecting the difficulty of the recommendation task with such </w:t>
      </w:r>
      <w:r>
        <w:rPr>
          <w:rFonts w:ascii="Arial" w:hAnsi="Arial" w:eastAsia="Times"/>
          <w:b w:val="0"/>
          <w:i w:val="0"/>
          <w:color w:val="000000"/>
          <w:sz w:val="21"/>
        </w:rPr>
        <w:t>sparse data and limited training rounds.</w:t>
      </w:r>
    </w:p>
    <w:p>
      <w:pPr>
        <w:autoSpaceDN w:val="0"/>
        <w:autoSpaceDE w:val="0"/>
        <w:widowControl/>
        <w:spacing w:line="280" w:lineRule="exact" w:before="120" w:after="0"/>
        <w:ind w:left="120" w:right="14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slight decline in Hit@10 during the last two rounds may indicate the onset of overfitting at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federated level, where continued aggregation of locally-overfit models degrades the global model’s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generalization ability. This observation parallels the overfitting pattern noted in the centralized baseline, </w:t>
      </w:r>
      <w:r>
        <w:rPr>
          <w:rFonts w:ascii="Arial" w:hAnsi="Arial" w:eastAsia="Times"/>
          <w:b w:val="0"/>
          <w:i w:val="0"/>
          <w:color w:val="000000"/>
          <w:sz w:val="21"/>
        </w:rPr>
        <w:t>although it manifests at a much earlier stage in the federated setting due to the limited data per client.</w:t>
      </w:r>
    </w:p>
    <w:p>
      <w:pPr>
        <w:autoSpaceDN w:val="0"/>
        <w:autoSpaceDE w:val="0"/>
        <w:widowControl/>
        <w:spacing w:line="362" w:lineRule="exact" w:before="558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5.8 Cross-Cutting Discussion</w:t>
      </w:r>
    </w:p>
    <w:p>
      <w:pPr>
        <w:autoSpaceDN w:val="0"/>
        <w:autoSpaceDE w:val="0"/>
        <w:widowControl/>
        <w:spacing w:line="306" w:lineRule="exact" w:before="180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5.8.1 The Federated Learning Gap</w:t>
      </w:r>
    </w:p>
    <w:p>
      <w:pPr>
        <w:autoSpaceDN w:val="0"/>
        <w:autoSpaceDE w:val="0"/>
        <w:widowControl/>
        <w:spacing w:line="280" w:lineRule="exact" w:before="54" w:after="0"/>
        <w:ind w:left="12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most significant finding across all experiments is the substantial performance gap between centralized </w:t>
      </w:r>
      <w:r>
        <w:rPr>
          <w:rFonts w:ascii="Arial" w:hAnsi="Arial" w:eastAsia="Times"/>
          <w:b w:val="0"/>
          <w:i w:val="0"/>
          <w:color w:val="000000"/>
          <w:sz w:val="21"/>
        </w:rPr>
        <w:t>and federated learning. Table 15 summarizes this gap.</w:t>
      </w:r>
    </w:p>
    <w:p>
      <w:pPr>
        <w:autoSpaceDN w:val="0"/>
        <w:autoSpaceDE w:val="0"/>
        <w:widowControl/>
        <w:spacing w:line="276" w:lineRule="exact" w:before="122" w:after="0"/>
        <w:ind w:left="12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15: Centralized vs. Federated Performance Comparison</w:t>
      </w:r>
    </w:p>
    <w:p>
      <w:pPr>
        <w:sectPr>
          <w:pgSz w:w="11906" w:h="16838"/>
          <w:pgMar w:top="702" w:right="1276" w:bottom="1176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8.0000000000001" w:type="dxa"/>
      </w:tblPr>
      <w:tblGrid>
        <w:gridCol w:w="1819"/>
        <w:gridCol w:w="1819"/>
        <w:gridCol w:w="1819"/>
        <w:gridCol w:w="1819"/>
        <w:gridCol w:w="1819"/>
      </w:tblGrid>
      <w:tr>
        <w:trPr>
          <w:trHeight w:hRule="exact" w:val="64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Metric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Centralized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44" w:right="144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Federated (No </w:t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DP)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Absolute Gap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8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Relative Loss</w:t>
            </w:r>
          </w:p>
        </w:tc>
      </w:tr>
      <w:tr>
        <w:trPr>
          <w:trHeight w:hRule="exact" w:val="40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0.2250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0.0539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0.171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76.0%</w:t>
            </w:r>
          </w:p>
        </w:tc>
      </w:tr>
      <w:tr>
        <w:trPr>
          <w:trHeight w:hRule="exact" w:val="40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Hit@10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0.3800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0.0633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0.317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83.3%</w:t>
            </w:r>
          </w:p>
        </w:tc>
      </w:tr>
      <w:tr>
        <w:trPr>
          <w:trHeight w:hRule="exact" w:val="40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Precision@10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0.0560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89.3%</w:t>
            </w:r>
          </w:p>
        </w:tc>
      </w:tr>
      <w:tr>
        <w:trPr>
          <w:trHeight w:hRule="exact" w:val="40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Recall@10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0.0339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0.0041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0.030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87.9%</w:t>
            </w:r>
          </w:p>
        </w:tc>
      </w:tr>
      <w:tr>
        <w:trPr>
          <w:trHeight w:hRule="exact" w:val="40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MSE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2.045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13.686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+11.641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569% increase</w:t>
            </w:r>
          </w:p>
        </w:tc>
      </w:tr>
      <w:tr>
        <w:trPr>
          <w:trHeight w:hRule="exact" w:val="400"/>
        </w:trPr>
        <w:tc>
          <w:tcPr>
            <w:tcW w:type="dxa" w:w="143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MAE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1.106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3.522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+2.416</w:t>
            </w:r>
          </w:p>
        </w:tc>
        <w:tc>
          <w:tcPr>
            <w:tcW w:type="dxa" w:w="16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218% increase</w:t>
            </w:r>
          </w:p>
        </w:tc>
      </w:tr>
    </w:tbl>
    <w:p>
      <w:pPr>
        <w:autoSpaceDN w:val="0"/>
        <w:autoSpaceDE w:val="0"/>
        <w:widowControl/>
        <w:spacing w:line="280" w:lineRule="exact" w:before="144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federated model retains only 24% of the centralized model’s NDCG@10 and 17% of its Hit@10. This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degradation stems from several compounding factors: (1) data fragmentation across 100 clients reduces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effective training set size per client to approximately 800 interactions; (2) only 10 communication rounds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limits the total amount of model refinement possible; (3) the matrix factorization model requires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coordinated updates to both user and item embeddings, which is inherently challenging when user data 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distributed; and (4) the sparse nature of the MovieLens 100K dataset (93.7% sparsity) exacerbates the data </w:t>
      </w:r>
      <w:r>
        <w:rPr>
          <w:rFonts w:ascii="Arial" w:hAnsi="Arial" w:eastAsia="Times"/>
          <w:b w:val="0"/>
          <w:i w:val="0"/>
          <w:color w:val="000000"/>
          <w:sz w:val="21"/>
        </w:rPr>
        <w:t>scarcity problem at the client level.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5.8.2 Privacy–Accuracy Trade-off Analysis</w:t>
      </w:r>
    </w:p>
    <w:p>
      <w:pPr>
        <w:autoSpaceDN w:val="0"/>
        <w:autoSpaceDE w:val="0"/>
        <w:widowControl/>
        <w:spacing w:line="280" w:lineRule="exact" w:before="54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When the analysis is restricted to the federated regime, the DP-induced accuracy loss is moderate and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follows a predictable pattern. Table 16 isolates the incremental impact of DP by comparing each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>configuration against the no-DP federated baseline.</w:t>
      </w:r>
    </w:p>
    <w:p>
      <w:pPr>
        <w:autoSpaceDN w:val="0"/>
        <w:autoSpaceDE w:val="0"/>
        <w:widowControl/>
        <w:spacing w:line="276" w:lineRule="exact" w:before="122" w:after="108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 xml:space="preserve">Table 16: Incremental DP Impact (Relative to </w:t>
      </w:r>
      <w:r>
        <w:rPr>
          <w:rFonts w:ascii="Arial" w:hAnsi="Arial" w:eastAsia="Symbol"/>
          <w:b w:val="0"/>
          <w:i w:val="0"/>
          <w:color w:val="000000"/>
          <w:sz w:val="20"/>
        </w:rPr>
        <w:t>ε</w:t>
      </w:r>
      <w:r>
        <w:rPr>
          <w:rFonts w:ascii="Arial" w:hAnsi="Arial" w:eastAsia="Times"/>
          <w:b/>
          <w:i w:val="0"/>
          <w:color w:val="000000"/>
          <w:sz w:val="20"/>
        </w:rPr>
        <w:t xml:space="preserve"> = </w:t>
      </w:r>
      <w:r>
        <w:rPr>
          <w:rFonts w:ascii="Arial" w:hAnsi="Arial" w:eastAsia="Symbol"/>
          <w:b w:val="0"/>
          <w:i w:val="0"/>
          <w:color w:val="000000"/>
          <w:sz w:val="20"/>
        </w:rPr>
        <w:t>∞</w:t>
      </w:r>
      <w:r>
        <w:rPr>
          <w:rFonts w:ascii="Arial" w:hAnsi="Arial" w:eastAsia="Times"/>
          <w:b/>
          <w:i w:val="0"/>
          <w:color w:val="000000"/>
          <w:sz w:val="20"/>
        </w:rPr>
        <w:t xml:space="preserve"> Federated Baseline)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6.0" w:type="dxa"/>
      </w:tblPr>
      <w:tblGrid>
        <w:gridCol w:w="1819"/>
        <w:gridCol w:w="1819"/>
        <w:gridCol w:w="1819"/>
        <w:gridCol w:w="1819"/>
        <w:gridCol w:w="1819"/>
      </w:tblGrid>
      <w:tr>
        <w:trPr>
          <w:trHeight w:hRule="exact" w:val="400"/>
        </w:trPr>
        <w:tc>
          <w:tcPr>
            <w:tcW w:type="dxa" w:w="1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∆</w:t>
            </w: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 NDCG@10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 xml:space="preserve">Relative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∆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MIA AUC</w:t>
            </w:r>
          </w:p>
        </w:tc>
      </w:tr>
      <w:tr>
        <w:trPr>
          <w:trHeight w:hRule="exact" w:val="400"/>
        </w:trPr>
        <w:tc>
          <w:tcPr>
            <w:tcW w:type="dxa" w:w="1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116" w:right="0" w:firstLine="0"/>
              <w:jc w:val="left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0.0539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0.548</w:t>
            </w:r>
          </w:p>
        </w:tc>
      </w:tr>
      <w:tr>
        <w:trPr>
          <w:trHeight w:hRule="exact" w:val="400"/>
        </w:trPr>
        <w:tc>
          <w:tcPr>
            <w:tcW w:type="dxa" w:w="1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6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0.0534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0.0005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0.9%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0.534</w:t>
            </w:r>
          </w:p>
        </w:tc>
      </w:tr>
      <w:tr>
        <w:trPr>
          <w:trHeight w:hRule="exact" w:val="400"/>
        </w:trPr>
        <w:tc>
          <w:tcPr>
            <w:tcW w:type="dxa" w:w="1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6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0.0479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0.0060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11.1%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0.502</w:t>
            </w:r>
          </w:p>
        </w:tc>
      </w:tr>
      <w:tr>
        <w:trPr>
          <w:trHeight w:hRule="exact" w:val="400"/>
        </w:trPr>
        <w:tc>
          <w:tcPr>
            <w:tcW w:type="dxa" w:w="1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116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0.0456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0.0083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15.4%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0.500</w:t>
            </w:r>
          </w:p>
        </w:tc>
      </w:tr>
      <w:tr>
        <w:trPr>
          <w:trHeight w:hRule="exact" w:val="400"/>
        </w:trPr>
        <w:tc>
          <w:tcPr>
            <w:tcW w:type="dxa" w:w="1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116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0.0467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0.0072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6" w:after="0"/>
              <w:ind w:left="0" w:right="0" w:firstLine="0"/>
              <w:jc w:val="center"/>
            </w:pP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13.4%</w:t>
            </w:r>
          </w:p>
        </w:tc>
        <w:tc>
          <w:tcPr>
            <w:tcW w:type="dxa" w:w="144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0.486</w:t>
            </w:r>
          </w:p>
        </w:tc>
      </w:tr>
    </w:tbl>
    <w:p>
      <w:pPr>
        <w:autoSpaceDN w:val="0"/>
        <w:autoSpaceDE w:val="0"/>
        <w:widowControl/>
        <w:spacing w:line="280" w:lineRule="exact" w:before="148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results suggest that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8 offers the best privacy–accuracy trade-off for this task: it reduces MIA AUC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from 0.548 to 0.534 (a 2.6% improvement in privacy protection) while incurring only a 0.9% accuracy loss.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4, the MIA AUC reaches 0.502 (effectively random), providing near-complete privacy protection at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the cost of 11.1% NDCG@10 degradation. Configurations with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Symbol"/>
          <w:b w:val="0"/>
          <w:i w:val="0"/>
          <w:color w:val="000000"/>
          <w:sz w:val="21"/>
        </w:rPr>
        <w:t>≤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2 offer diminishing returns: the MIA is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already at random performance at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4, so further tightening the privacy budget yields no additional </w:t>
      </w:r>
      <w:r>
        <w:rPr>
          <w:rFonts w:ascii="Arial" w:hAnsi="Arial" w:eastAsia="Times"/>
          <w:b w:val="0"/>
          <w:i w:val="0"/>
          <w:color w:val="000000"/>
          <w:sz w:val="21"/>
        </w:rPr>
        <w:t>practical privacy benefit while continuing to erode accuracy.</w:t>
      </w:r>
    </w:p>
    <w:p>
      <w:pPr>
        <w:autoSpaceDN w:val="0"/>
        <w:autoSpaceDE w:val="0"/>
        <w:widowControl/>
        <w:spacing w:line="306" w:lineRule="exact" w:before="200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2"/>
        </w:rPr>
        <w:t>5.8.3 Practical Implications for Mobile Deployment</w:t>
      </w:r>
    </w:p>
    <w:p>
      <w:pPr>
        <w:autoSpaceDN w:val="0"/>
        <w:autoSpaceDE w:val="0"/>
        <w:widowControl/>
        <w:spacing w:line="280" w:lineRule="exact" w:before="54" w:after="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The experimental results yield several practical implications for deploying federated recommendation </w:t>
      </w:r>
      <w:r>
        <w:rPr>
          <w:rFonts w:ascii="Arial" w:hAnsi="Arial" w:eastAsia="Times"/>
          <w:b w:val="0"/>
          <w:i w:val="0"/>
          <w:color w:val="000000"/>
          <w:sz w:val="21"/>
        </w:rPr>
        <w:t>systems on mobile devices:</w:t>
      </w:r>
    </w:p>
    <w:p>
      <w:pPr>
        <w:autoSpaceDN w:val="0"/>
        <w:autoSpaceDE w:val="0"/>
        <w:widowControl/>
        <w:spacing w:line="276" w:lineRule="exact" w:before="138" w:after="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Moderate DP is sufficient: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A privacy budget of 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4–8 renders membership inference attacks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completely ineffective while preserving most of the federated model’s accuracy. Very strong privacy </w:t>
      </w:r>
      <w:r>
        <w:rPr>
          <w:rFonts w:ascii="Arial" w:hAnsi="Arial" w:eastAsia="Times"/>
          <w:b w:val="0"/>
          <w:i w:val="0"/>
          <w:color w:val="000000"/>
          <w:sz w:val="21"/>
        </w:rPr>
        <w:t>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1) offers no additional practical protection and is therefore unnecessary for this use case.</w:t>
      </w:r>
    </w:p>
    <w:p>
      <w:pPr>
        <w:autoSpaceDN w:val="0"/>
        <w:autoSpaceDE w:val="0"/>
        <w:widowControl/>
        <w:spacing w:line="268" w:lineRule="exact" w:before="82" w:after="0"/>
        <w:ind w:left="48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1"/>
        </w:rPr>
        <w:t>Federated learning provides inherent privacy: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Even without DP, the federated aggregation process </w:t>
      </w:r>
      <w:r>
        <w:rPr>
          <w:rFonts w:ascii="Arial" w:hAnsi="Arial" w:eastAsia="Times"/>
          <w:b w:val="0"/>
          <w:i w:val="0"/>
          <w:color w:val="000000"/>
          <w:sz w:val="21"/>
        </w:rPr>
        <w:t>limits privacy leakage to marginal levels (MIA AUC = 0.548). Model inversion attacks are completely</w:t>
      </w:r>
    </w:p>
    <w:p>
      <w:pPr>
        <w:sectPr>
          <w:pgSz w:w="11906" w:h="16838"/>
          <w:pgMar w:top="704" w:right="1396" w:bottom="71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80" w:lineRule="exact" w:before="2" w:after="0"/>
        <w:ind w:left="48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ineffective at all privacy levels, indicating that individual user preferences cannot be reconstructed </w:t>
      </w:r>
      <w:r>
        <w:rPr>
          <w:rFonts w:ascii="Arial" w:hAnsi="Arial" w:eastAsia="Times"/>
          <w:b w:val="0"/>
          <w:i w:val="0"/>
          <w:color w:val="000000"/>
          <w:sz w:val="21"/>
        </w:rPr>
        <w:t>from the federated model.</w:t>
      </w:r>
    </w:p>
    <w:p>
      <w:pPr>
        <w:autoSpaceDN w:val="0"/>
        <w:autoSpaceDE w:val="0"/>
        <w:widowControl/>
        <w:spacing w:line="276" w:lineRule="exact" w:before="76" w:after="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More communication rounds needed: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76% accuracy gap between centralized and federated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training indicates that 10 communication rounds are insufficient for convergence. Increasing the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number of rounds, combined with techniques like learning rate scheduling and momentum-based </w:t>
      </w:r>
      <w:r>
        <w:rPr>
          <w:rFonts w:ascii="Arial" w:hAnsi="Arial" w:eastAsia="Times"/>
          <w:b w:val="0"/>
          <w:i w:val="0"/>
          <w:color w:val="000000"/>
          <w:sz w:val="21"/>
        </w:rPr>
        <w:t>optimizers, could substantially narrow this gap.</w:t>
      </w:r>
    </w:p>
    <w:p>
      <w:pPr>
        <w:autoSpaceDN w:val="0"/>
        <w:autoSpaceDE w:val="0"/>
        <w:widowControl/>
        <w:spacing w:line="274" w:lineRule="exact" w:before="78" w:after="0"/>
        <w:ind w:left="480" w:right="20" w:firstLine="0"/>
        <w:jc w:val="both"/>
      </w:pPr>
      <w:r>
        <w:rPr>
          <w:rFonts w:ascii="Arial" w:hAnsi="Arial" w:eastAsia="Times"/>
          <w:b/>
          <w:i w:val="0"/>
          <w:color w:val="000000"/>
          <w:sz w:val="21"/>
        </w:rPr>
        <w:t>Heterogeneity is not a bottleneck: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The FedAvg algorithm with full client participation is robust to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data heterogeneity in this configuration, suggesting that non-IID data distributions are not a primary </w:t>
      </w:r>
      <w:r>
        <w:rPr>
          <w:rFonts w:ascii="Arial" w:hAnsi="Arial" w:eastAsia="Times"/>
          <w:b w:val="0"/>
          <w:i w:val="0"/>
          <w:color w:val="000000"/>
          <w:sz w:val="21"/>
        </w:rPr>
        <w:t>concern for mobile recommendation deployment.</w:t>
      </w:r>
    </w:p>
    <w:p>
      <w:pPr>
        <w:autoSpaceDN w:val="0"/>
        <w:autoSpaceDE w:val="0"/>
        <w:widowControl/>
        <w:spacing w:line="360" w:lineRule="exact" w:before="498" w:after="0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6"/>
        </w:rPr>
        <w:t>5.9 Summary of Key Findings</w:t>
      </w:r>
    </w:p>
    <w:p>
      <w:pPr>
        <w:autoSpaceDN w:val="0"/>
        <w:autoSpaceDE w:val="0"/>
        <w:widowControl/>
        <w:spacing w:line="282" w:lineRule="exact" w:before="100" w:after="0"/>
        <w:ind w:left="0" w:right="0" w:firstLine="0"/>
        <w:jc w:val="left"/>
      </w:pPr>
      <w:r>
        <w:rPr>
          <w:rFonts w:ascii="Arial" w:hAnsi="Arial" w:eastAsia="Times"/>
          <w:b w:val="0"/>
          <w:i w:val="0"/>
          <w:color w:val="000000"/>
          <w:sz w:val="21"/>
        </w:rPr>
        <w:t>Table 17 consolidates the key quantitative findings across all three research questions.</w:t>
      </w:r>
    </w:p>
    <w:p>
      <w:pPr>
        <w:autoSpaceDN w:val="0"/>
        <w:autoSpaceDE w:val="0"/>
        <w:widowControl/>
        <w:spacing w:line="276" w:lineRule="exact" w:before="122" w:after="108"/>
        <w:ind w:left="0" w:right="0" w:firstLine="0"/>
        <w:jc w:val="left"/>
      </w:pPr>
      <w:r>
        <w:rPr>
          <w:rFonts w:ascii="Arial" w:hAnsi="Arial" w:eastAsia="Times"/>
          <w:b/>
          <w:i w:val="0"/>
          <w:color w:val="000000"/>
          <w:sz w:val="20"/>
        </w:rPr>
        <w:t>Table 17: Summary of Key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.0000000000001" w:type="dxa"/>
      </w:tblPr>
      <w:tblGrid>
        <w:gridCol w:w="3031"/>
        <w:gridCol w:w="3031"/>
        <w:gridCol w:w="3031"/>
      </w:tblGrid>
      <w:tr>
        <w:trPr>
          <w:trHeight w:hRule="exact" w:val="40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Research Question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Key Finding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6" w:after="0"/>
              <w:ind w:left="0" w:right="0" w:firstLine="0"/>
              <w:jc w:val="center"/>
            </w:pPr>
            <w:r>
              <w:rPr>
                <w:rFonts w:ascii="Arial" w:hAnsi="Arial" w:eastAsia="Times"/>
                <w:b/>
                <w:i w:val="0"/>
                <w:color w:val="000000"/>
                <w:sz w:val="19"/>
              </w:rPr>
              <w:t>Key Metric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12" w:right="72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RQ1: DP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Accuracy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44" w:right="144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Moderate trade-off: 13% NDCG loss from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∞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to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=1 within the federated regime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NDCG@10: 0.054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0.047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12" w:right="432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RQ1: Federated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Gap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Dominant factor: 76% NDCG loss from 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centralized to federated, dwarfing DP effects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NDCG@10: 0.225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0.054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RQ2: MIA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144" w:right="144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Low risk: MIA AUC drops from 0.548 to 0.500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at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ε≤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4; FL itself limits leakage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AUC: 0.548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0.500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112" w:right="0" w:firstLine="0"/>
              <w:jc w:val="left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RQ2: Inversion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288" w:right="288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No risk: 0% success rate at all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ε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values; user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preferences cannot be reconstructed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Top-K Acc: 0.00</w:t>
            </w:r>
          </w:p>
        </w:tc>
      </w:tr>
      <w:tr>
        <w:trPr>
          <w:trHeight w:hRule="exact" w:val="640"/>
        </w:trPr>
        <w:tc>
          <w:tcPr>
            <w:tcW w:type="dxa" w:w="179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RQ3: Heterogeneity</w:t>
            </w:r>
          </w:p>
        </w:tc>
        <w:tc>
          <w:tcPr>
            <w:tcW w:type="dxa" w:w="40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44" w:right="144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No impact: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α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 from 0.1 to 1.0 has negligible 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>effect; FedAvg is robust with full participation</w:t>
            </w:r>
          </w:p>
        </w:tc>
        <w:tc>
          <w:tcPr>
            <w:tcW w:type="dxa" w:w="260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NDCG@10: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≈</w:t>
            </w:r>
            <w:r>
              <w:rPr>
                <w:rFonts w:ascii="Arial" w:hAnsi="Arial" w:eastAsia="Times"/>
                <w:b w:val="0"/>
                <w:i w:val="0"/>
                <w:color w:val="000000"/>
                <w:sz w:val="19"/>
              </w:rPr>
              <w:t xml:space="preserve">0.054 for all </w:t>
            </w:r>
            <w:r>
              <w:rPr>
                <w:rFonts w:ascii="Arial" w:hAnsi="Arial" w:eastAsia="Symbol"/>
                <w:b w:val="0"/>
                <w:i w:val="0"/>
                <w:color w:val="000000"/>
                <w:sz w:val="19"/>
              </w:rPr>
              <w:t>α</w:t>
            </w:r>
          </w:p>
        </w:tc>
      </w:tr>
    </w:tbl>
    <w:p>
      <w:pPr>
        <w:autoSpaceDN w:val="0"/>
        <w:autoSpaceDE w:val="0"/>
        <w:widowControl/>
        <w:spacing w:line="280" w:lineRule="exact" w:before="146" w:after="0"/>
        <w:ind w:left="0" w:right="20" w:firstLine="0"/>
        <w:jc w:val="both"/>
      </w:pPr>
      <w:r>
        <w:rPr>
          <w:rFonts w:ascii="Arial" w:hAnsi="Arial" w:eastAsia="Times"/>
          <w:b w:val="0"/>
          <w:i w:val="0"/>
          <w:color w:val="000000"/>
          <w:sz w:val="21"/>
        </w:rPr>
        <w:t xml:space="preserve">In summary, the results demonstrate that federated learning for mobile recommendation faces a significant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accuracy challenge compared to centralized training, but this gap is primarily attributable to the limited </w:t>
      </w:r>
      <w:r>
        <w:rPr>
          <w:rFonts w:ascii="Arial" w:hAnsi="Arial" w:eastAsia="Times"/>
          <w:b w:val="0"/>
          <w:i w:val="0"/>
          <w:color w:val="000000"/>
          <w:sz w:val="21"/>
        </w:rPr>
        <w:t>communication budget and data fragmentation—not to differential privacy. DP at moderate levels (</w:t>
      </w:r>
      <w:r>
        <w:rPr>
          <w:rFonts w:ascii="Arial" w:hAnsi="Arial" w:eastAsia="Symbol"/>
          <w:b w:val="0"/>
          <w:i w:val="0"/>
          <w:color w:val="000000"/>
          <w:sz w:val="21"/>
        </w:rPr>
        <w:t>ε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 = 4–8)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provides robust formal privacy guarantees while imposing only a small additional accuracy penalty. Privacy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attacks are largely ineffective even without DP, and data heterogeneity does not materially affect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performance in this configuration. These findings suggest that the primary avenue for improving federated </w:t>
      </w:r>
      <w:r>
        <w:rPr>
          <w:rFonts w:ascii="Arial" w:hAnsi="Arial" w:eastAsia="Times"/>
          <w:b w:val="0"/>
          <w:i w:val="0"/>
          <w:color w:val="000000"/>
          <w:sz w:val="21"/>
        </w:rPr>
        <w:t xml:space="preserve">recommendation systems lies in addressing the convergence challenge through more communication </w:t>
      </w:r>
      <w:r>
        <w:rPr>
          <w:rFonts w:ascii="Arial" w:hAnsi="Arial" w:eastAsia="Times"/>
          <w:b w:val="0"/>
          <w:i w:val="0"/>
          <w:color w:val="000000"/>
          <w:sz w:val="21"/>
        </w:rPr>
        <w:t>rounds, better optimization strategies, and potentially more expressive model architectures.</w:t>
      </w:r>
    </w:p>
    <w:sectPr w:rsidR="00FC693F" w:rsidRPr="0006063C" w:rsidSect="00034616">
      <w:pgSz w:w="11906" w:h="16838"/>
      <w:pgMar w:top="702" w:right="1396" w:bottom="144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