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Methodology</w:t>
      </w:r>
    </w:p>
    <w:p>
      <w:pPr>
        <w:pStyle w:val="Heading2"/>
        <w:jc w:val="both"/>
      </w:pPr>
      <w:r>
        <w:rPr>
          <w:b w:val="0"/>
          <w:i w:val="0"/>
        </w:rPr>
        <w:t>3.1 Research Design</w:t>
      </w:r>
    </w:p>
    <w:p>
      <w:pPr>
        <w:jc w:val="both"/>
      </w:pPr>
      <w:r>
        <w:rPr>
          <w:rFonts w:ascii="Times New Roman" w:hAnsi="Times New Roman"/>
          <w:b w:val="0"/>
          <w:i w:val="0"/>
          <w:sz w:val="22"/>
          <w:rFonts w:ascii="Times New Roman" w:hAnsi="Times New Roman"/>
        </w:rPr>
        <w:t>This study employs an empirical, quantitative research design to investigate the accuracy-privacy trade-offs in federated learning for mobile movie recommendation systems. The research is structured around three research questions that examine (RQ1) the impact of differential privacy budgets on recommendation accuracy, (RQ2) the effectiveness of privacy attacks under varying DP configurations, and (RQ3) the influence of data heterogeneity on federated learning performance.</w:t>
      </w:r>
    </w:p>
    <w:p>
      <w:pPr>
        <w:jc w:val="both"/>
      </w:pPr>
      <w:r>
        <w:rPr>
          <w:rFonts w:ascii="Times New Roman" w:hAnsi="Times New Roman"/>
          <w:b w:val="0"/>
          <w:i w:val="0"/>
          <w:sz w:val="22"/>
          <w:rFonts w:ascii="Times New Roman" w:hAnsi="Times New Roman"/>
        </w:rPr>
        <w:t>The experimental framework follows a controlled variable approach: for RQ1, the privacy budget (ε) is varied while holding data distribution constant; for RQ2, privacy attacks are evaluated across all DP configurations; and for RQ3, the Dirichlet concentration parameter (α) is varied while disabling differential privacy. Each configuration is repeated with three random seeds (42, 123, 456) to ensure statistical reliability and to report mean ± standard deviation of results.</w:t>
      </w:r>
    </w:p>
    <w:p>
      <w:pPr>
        <w:pStyle w:val="Heading2"/>
        <w:jc w:val="both"/>
      </w:pPr>
      <w:r>
        <w:rPr>
          <w:b w:val="0"/>
          <w:i w:val="0"/>
        </w:rPr>
        <w:t>3.2 Dataset</w:t>
      </w:r>
    </w:p>
    <w:p>
      <w:pPr>
        <w:jc w:val="both"/>
      </w:pPr>
      <w:r>
        <w:rPr>
          <w:rFonts w:ascii="Times New Roman" w:hAnsi="Times New Roman"/>
          <w:b w:val="0"/>
          <w:i w:val="0"/>
          <w:sz w:val="22"/>
          <w:rFonts w:ascii="Times New Roman" w:hAnsi="Times New Roman"/>
        </w:rPr>
        <w:t>We use the MovieLens 100K dataset (Harper &amp; Konstan, 2015), a widely adopted benchmark for recommendation system research. The dataset contains 100,000 ratings from 943 users across 1,682 movies, with ratings on a 1–5 integer scale. The dataset exhibits 93.7% sparsity, which is representative of real-world recommendation scenarios. Ratings are used in their original continuous form (1–5 scale) rather than binarized, enabling regression-based evaluation that better captures the nuances of user preference prediction.</w:t>
      </w:r>
    </w:p>
    <w:p>
      <w:pPr>
        <w:jc w:val="both"/>
      </w:pPr>
      <w:r>
        <w:rPr>
          <w:rFonts w:ascii="Times New Roman" w:hAnsi="Times New Roman"/>
          <w:b w:val="0"/>
          <w:i w:val="0"/>
          <w:sz w:val="22"/>
          <w:rFonts w:ascii="Times New Roman" w:hAnsi="Times New Roman"/>
        </w:rPr>
        <w:t>The dataset is split into 80% training (80,000 interactions) and 20% test (20,000 interactions) sets using a random permutation with a fixed seed for reproducibility. For the federated learning experiments, the training data is further partitioned among 100 simulated clients using a Dirichlet distribution to create non-IID (non-independent and identically distributed) data splits, which models the natural heterogeneity of user preferences across mobile devices.</w:t>
      </w:r>
    </w:p>
    <w:p>
      <w:pPr>
        <w:pStyle w:val="Heading2"/>
        <w:jc w:val="both"/>
      </w:pPr>
      <w:r>
        <w:rPr>
          <w:b w:val="0"/>
          <w:i w:val="0"/>
        </w:rPr>
        <w:t>3.3 Model Architecture</w:t>
      </w:r>
    </w:p>
    <w:p>
      <w:pPr>
        <w:jc w:val="both"/>
      </w:pPr>
      <w:r>
        <w:rPr>
          <w:rFonts w:ascii="Times New Roman" w:hAnsi="Times New Roman"/>
          <w:b w:val="0"/>
          <w:i w:val="0"/>
          <w:sz w:val="22"/>
          <w:rFonts w:ascii="Times New Roman" w:hAnsi="Times New Roman"/>
        </w:rPr>
        <w:t>The recommendation model is based on Matrix Factorization (MF), a proven approach for collaborative filtering that decomposes the user-item interaction matrix into low-dimensional latent factor representations. The model consists of two embedding layers:</w:t>
      </w:r>
    </w:p>
    <w:p>
      <w:pPr>
        <w:jc w:val="left"/>
      </w:pPr>
      <w:r>
        <w:rPr>
          <w:rFonts w:ascii="Times New Roman" w:hAnsi="Times New Roman"/>
          <w:b w:val="0"/>
          <w:i w:val="0"/>
          <w:sz w:val="22"/>
          <w:rFonts w:ascii="Times New Roman" w:hAnsi="Times New Roman"/>
        </w:rPr>
        <w:t xml:space="preserve">• </w:t>
      </w:r>
      <w:r>
        <w:rPr>
          <w:rFonts w:ascii="Times New Roman" w:hAnsi="Times New Roman"/>
          <w:b/>
          <w:i w:val="0"/>
          <w:sz w:val="22"/>
          <w:rFonts w:ascii="Times New Roman" w:hAnsi="Times New Roman"/>
        </w:rPr>
        <w:t>User Embedding</w:t>
      </w:r>
      <w:r>
        <w:rPr>
          <w:rFonts w:ascii="Times New Roman" w:hAnsi="Times New Roman"/>
          <w:b w:val="0"/>
          <w:i w:val="0"/>
          <w:sz w:val="22"/>
          <w:rFonts w:ascii="Times New Roman" w:hAnsi="Times New Roman"/>
        </w:rPr>
        <w:t>: Maps each of the 943 users to a 64-dimensional latent vector.</w:t>
      </w:r>
    </w:p>
    <w:p>
      <w:pPr>
        <w:jc w:val="left"/>
      </w:pPr>
      <w:r>
        <w:rPr>
          <w:rFonts w:ascii="Times New Roman" w:hAnsi="Times New Roman"/>
          <w:b w:val="0"/>
          <w:i w:val="0"/>
          <w:sz w:val="22"/>
          <w:rFonts w:ascii="Times New Roman" w:hAnsi="Times New Roman"/>
        </w:rPr>
        <w:t xml:space="preserve">• </w:t>
      </w:r>
      <w:r>
        <w:rPr>
          <w:rFonts w:ascii="Times New Roman" w:hAnsi="Times New Roman"/>
          <w:b/>
          <w:i w:val="0"/>
          <w:sz w:val="22"/>
          <w:rFonts w:ascii="Times New Roman" w:hAnsi="Times New Roman"/>
        </w:rPr>
        <w:t>Item Embedding</w:t>
      </w:r>
      <w:r>
        <w:rPr>
          <w:rFonts w:ascii="Times New Roman" w:hAnsi="Times New Roman"/>
          <w:b w:val="0"/>
          <w:i w:val="0"/>
          <w:sz w:val="22"/>
          <w:rFonts w:ascii="Times New Roman" w:hAnsi="Times New Roman"/>
        </w:rPr>
        <w:t>: Maps each of the 1,682 items to a 64-dimensional latent vector.</w:t>
      </w:r>
    </w:p>
    <w:p>
      <w:pPr>
        <w:jc w:val="both"/>
      </w:pPr>
      <w:r>
        <w:rPr>
          <w:rFonts w:ascii="Times New Roman" w:hAnsi="Times New Roman"/>
          <w:b w:val="0"/>
          <w:i w:val="0"/>
          <w:sz w:val="22"/>
          <w:rFonts w:ascii="Times New Roman" w:hAnsi="Times New Roman"/>
        </w:rPr>
        <w:t>The predicted rating for a user-item pair (u, i) is computed as the dot product of the corresponding user and item embedding vectors:</w:t>
      </w:r>
    </w:p>
    <w:p>
      <w:pPr>
        <w:jc w:val="center"/>
      </w:pPr>
      <w:r>
        <w:rPr>
          <w:rFonts w:ascii="Cambria Math" w:hAnsi="Cambria Math"/>
          <w:b w:val="0"/>
          <w:i w:val="0"/>
          <w:sz w:val="22"/>
          <w:rFonts w:ascii="Cambria Math" w:hAnsi="Cambria Math"/>
        </w:rPr>
        <w:t>ŷ(u, i) = e</w:t>
      </w:r>
      <w:r>
        <w:rPr>
          <w:rFonts w:ascii="Cambria Math" w:hAnsi="Cambria Math"/>
          <w:b w:val="0"/>
          <w:i w:val="0"/>
          <w:sz w:val="22"/>
          <w:vertAlign w:val="subscript"/>
          <w:rFonts w:ascii="Cambria Math" w:hAnsi="Cambria Math"/>
        </w:rPr>
        <w:t>u</w:t>
      </w:r>
      <w:r>
        <w:rPr>
          <w:rFonts w:ascii="Cambria Math" w:hAnsi="Cambria Math"/>
          <w:b w:val="0"/>
          <w:i w:val="0"/>
          <w:sz w:val="22"/>
          <w:vertAlign w:val="superscript"/>
          <w:rFonts w:ascii="Cambria Math" w:hAnsi="Cambria Math"/>
        </w:rPr>
        <w:t>T</w:t>
      </w:r>
      <w:r>
        <w:rPr>
          <w:rFonts w:ascii="Cambria Math" w:hAnsi="Cambria Math"/>
          <w:b w:val="0"/>
          <w:i w:val="0"/>
          <w:sz w:val="22"/>
          <w:rFonts w:ascii="Cambria Math" w:hAnsi="Cambria Math"/>
        </w:rPr>
        <w:t xml:space="preserve"> · e</w:t>
      </w:r>
      <w:r>
        <w:rPr>
          <w:rFonts w:ascii="Cambria Math" w:hAnsi="Cambria Math"/>
          <w:b w:val="0"/>
          <w:i w:val="0"/>
          <w:sz w:val="22"/>
          <w:vertAlign w:val="subscript"/>
          <w:rFonts w:ascii="Cambria Math" w:hAnsi="Cambria Math"/>
        </w:rPr>
        <w:t>i</w:t>
      </w:r>
    </w:p>
    <w:p>
      <w:pPr>
        <w:jc w:val="both"/>
      </w:pPr>
      <w:r>
        <w:rPr>
          <w:rFonts w:ascii="Times New Roman" w:hAnsi="Times New Roman"/>
          <w:b w:val="0"/>
          <w:i w:val="0"/>
          <w:sz w:val="22"/>
          <w:rFonts w:ascii="Times New Roman" w:hAnsi="Times New Roman"/>
        </w:rPr>
        <w:t>Embeddings are initialized with Gaussian noise (std = 0.1) to ensure adequate gradient flow during early training. The embedding dimension of 64 was selected to provide sufficient representational capacity while remaining deployable on mobile devices. The total model size is (943 + 1,682) × 64 = 167,936 parameters, which is suitable for on-device training on resource-constrained mobile platforms.</w:t>
      </w:r>
    </w:p>
    <w:p>
      <w:pPr>
        <w:pStyle w:val="Heading2"/>
        <w:jc w:val="both"/>
      </w:pPr>
      <w:r>
        <w:rPr>
          <w:b w:val="0"/>
          <w:i w:val="0"/>
        </w:rPr>
        <w:t>3.4 Federated Learning Protocol</w:t>
      </w:r>
    </w:p>
    <w:p>
      <w:pPr>
        <w:jc w:val="both"/>
      </w:pPr>
      <w:r>
        <w:rPr>
          <w:rFonts w:ascii="Times New Roman" w:hAnsi="Times New Roman"/>
          <w:b w:val="0"/>
          <w:i w:val="0"/>
          <w:sz w:val="22"/>
          <w:rFonts w:ascii="Times New Roman" w:hAnsi="Times New Roman"/>
        </w:rPr>
        <w:t>The federated learning protocol follows the Federated Averaging (FedAvg) algorithm (McMahan et al., 2017). The protocol operates over T = 10 communication rounds between a central server and K = 100 simulated clients. Each round proceeds as follows:</w:t>
      </w:r>
    </w:p>
    <w:p>
      <w:pPr>
        <w:jc w:val="left"/>
      </w:pPr>
      <w:r>
        <w:rPr>
          <w:rFonts w:ascii="Times New Roman" w:hAnsi="Times New Roman"/>
          <w:b/>
          <w:i w:val="0"/>
          <w:sz w:val="22"/>
          <w:rFonts w:ascii="Times New Roman" w:hAnsi="Times New Roman"/>
        </w:rPr>
        <w:t>Step 1 – Global Distribution:</w:t>
      </w:r>
      <w:r>
        <w:rPr>
          <w:rFonts w:ascii="Times New Roman" w:hAnsi="Times New Roman"/>
          <w:b w:val="0"/>
          <w:i w:val="0"/>
          <w:sz w:val="22"/>
          <w:rFonts w:ascii="Times New Roman" w:hAnsi="Times New Roman"/>
        </w:rPr>
        <w:t xml:space="preserve"> The server broadcasts the current global model parameters to all participating clients.</w:t>
      </w:r>
    </w:p>
    <w:p>
      <w:pPr>
        <w:jc w:val="left"/>
      </w:pPr>
      <w:r>
        <w:rPr>
          <w:rFonts w:ascii="Times New Roman" w:hAnsi="Times New Roman"/>
          <w:b/>
          <w:i w:val="0"/>
          <w:sz w:val="22"/>
          <w:rFonts w:ascii="Times New Roman" w:hAnsi="Times New Roman"/>
        </w:rPr>
        <w:t>Step 2 – Local Training:</w:t>
      </w:r>
      <w:r>
        <w:rPr>
          <w:rFonts w:ascii="Times New Roman" w:hAnsi="Times New Roman"/>
          <w:b w:val="0"/>
          <w:i w:val="0"/>
          <w:sz w:val="22"/>
          <w:rFonts w:ascii="Times New Roman" w:hAnsi="Times New Roman"/>
        </w:rPr>
        <w:t xml:space="preserve"> Each client trains the received model on their local data for E = 3 local epochs using Stochastic Gradient Descent (SGD) with a learning rate of 0.01, batch size of 32, and L2 regularization (weight decay = 10</w:t>
      </w:r>
      <w:r>
        <w:rPr>
          <w:rFonts w:ascii="Times New Roman" w:hAnsi="Times New Roman"/>
          <w:b w:val="0"/>
          <w:i w:val="0"/>
          <w:sz w:val="22"/>
          <w:vertAlign w:val="superscript"/>
          <w:rFonts w:ascii="Times New Roman" w:hAnsi="Times New Roman"/>
        </w:rPr>
        <w:t>–5</w:t>
      </w:r>
      <w:r>
        <w:rPr>
          <w:rFonts w:ascii="Times New Roman" w:hAnsi="Times New Roman"/>
          <w:b w:val="0"/>
          <w:i w:val="0"/>
          <w:sz w:val="22"/>
          <w:rFonts w:ascii="Times New Roman" w:hAnsi="Times New Roman"/>
        </w:rPr>
        <w:t>). The loss function is Mean Squared Error (MSE) for regression-based rating prediction.</w:t>
      </w:r>
    </w:p>
    <w:p>
      <w:pPr>
        <w:jc w:val="left"/>
      </w:pPr>
      <w:r>
        <w:rPr>
          <w:rFonts w:ascii="Times New Roman" w:hAnsi="Times New Roman"/>
          <w:b/>
          <w:i w:val="0"/>
          <w:sz w:val="22"/>
          <w:rFonts w:ascii="Times New Roman" w:hAnsi="Times New Roman"/>
        </w:rPr>
        <w:t>Step 3 – Parameter Upload:</w:t>
      </w:r>
      <w:r>
        <w:rPr>
          <w:rFonts w:ascii="Times New Roman" w:hAnsi="Times New Roman"/>
          <w:b w:val="0"/>
          <w:i w:val="0"/>
          <w:sz w:val="22"/>
          <w:rFonts w:ascii="Times New Roman" w:hAnsi="Times New Roman"/>
        </w:rPr>
        <w:t xml:space="preserve"> Each client sends its updated model parameters back to the server.</w:t>
      </w:r>
    </w:p>
    <w:p>
      <w:pPr>
        <w:jc w:val="left"/>
      </w:pPr>
      <w:r>
        <w:rPr>
          <w:rFonts w:ascii="Times New Roman" w:hAnsi="Times New Roman"/>
          <w:b/>
          <w:i w:val="0"/>
          <w:sz w:val="22"/>
          <w:rFonts w:ascii="Times New Roman" w:hAnsi="Times New Roman"/>
        </w:rPr>
        <w:t>Step 4 – Aggregation:</w:t>
      </w:r>
      <w:r>
        <w:rPr>
          <w:rFonts w:ascii="Times New Roman" w:hAnsi="Times New Roman"/>
          <w:b w:val="0"/>
          <w:i w:val="0"/>
          <w:sz w:val="22"/>
          <w:rFonts w:ascii="Times New Roman" w:hAnsi="Times New Roman"/>
        </w:rPr>
        <w:t xml:space="preserve"> The server performs weighted averaging of client parameters, where weights are proportional to each client’s local dataset size:</w:t>
      </w:r>
    </w:p>
    <w:p>
      <w:pPr>
        <w:jc w:val="center"/>
      </w:pPr>
      <w:r>
        <w:rPr>
          <w:rFonts w:ascii="Cambria Math" w:hAnsi="Cambria Math"/>
          <w:b w:val="0"/>
          <w:i w:val="0"/>
          <w:sz w:val="22"/>
          <w:rFonts w:ascii="Cambria Math" w:hAnsi="Cambria Math"/>
        </w:rPr>
        <w:t>w</w:t>
      </w:r>
      <w:r>
        <w:rPr>
          <w:rFonts w:ascii="Cambria Math" w:hAnsi="Cambria Math"/>
          <w:b w:val="0"/>
          <w:i w:val="0"/>
          <w:sz w:val="22"/>
          <w:vertAlign w:val="subscript"/>
          <w:rFonts w:ascii="Cambria Math" w:hAnsi="Cambria Math"/>
        </w:rPr>
        <w:t>global</w:t>
      </w:r>
      <w:r>
        <w:rPr>
          <w:rFonts w:ascii="Cambria Math" w:hAnsi="Cambria Math"/>
          <w:b w:val="0"/>
          <w:i w:val="0"/>
          <w:sz w:val="22"/>
          <w:rFonts w:ascii="Cambria Math" w:hAnsi="Cambria Math"/>
        </w:rPr>
        <w:t xml:space="preserve"> = Σ</w:t>
      </w:r>
      <w:r>
        <w:rPr>
          <w:rFonts w:ascii="Cambria Math" w:hAnsi="Cambria Math"/>
          <w:b w:val="0"/>
          <w:i w:val="0"/>
          <w:sz w:val="22"/>
          <w:vertAlign w:val="subscript"/>
          <w:rFonts w:ascii="Cambria Math" w:hAnsi="Cambria Math"/>
        </w:rPr>
        <w:t>k=1</w:t>
      </w:r>
      <w:r>
        <w:rPr>
          <w:rFonts w:ascii="Cambria Math" w:hAnsi="Cambria Math"/>
          <w:b w:val="0"/>
          <w:i w:val="0"/>
          <w:sz w:val="22"/>
          <w:vertAlign w:val="superscript"/>
          <w:rFonts w:ascii="Cambria Math" w:hAnsi="Cambria Math"/>
        </w:rPr>
        <w:t>K</w:t>
      </w:r>
      <w:r>
        <w:rPr>
          <w:rFonts w:ascii="Cambria Math" w:hAnsi="Cambria Math"/>
          <w:b w:val="0"/>
          <w:i w:val="0"/>
          <w:sz w:val="22"/>
          <w:rFonts w:ascii="Cambria Math" w:hAnsi="Cambria Math"/>
        </w:rPr>
        <w:t xml:space="preserve"> (n</w:t>
      </w:r>
      <w:r>
        <w:rPr>
          <w:rFonts w:ascii="Cambria Math" w:hAnsi="Cambria Math"/>
          <w:b w:val="0"/>
          <w:i w:val="0"/>
          <w:sz w:val="22"/>
          <w:vertAlign w:val="subscript"/>
          <w:rFonts w:ascii="Cambria Math" w:hAnsi="Cambria Math"/>
        </w:rPr>
        <w:t>k</w:t>
      </w:r>
      <w:r>
        <w:rPr>
          <w:rFonts w:ascii="Cambria Math" w:hAnsi="Cambria Math"/>
          <w:b w:val="0"/>
          <w:i w:val="0"/>
          <w:sz w:val="22"/>
          <w:rFonts w:ascii="Cambria Math" w:hAnsi="Cambria Math"/>
        </w:rPr>
        <w:t xml:space="preserve"> / n</w:t>
      </w:r>
      <w:r>
        <w:rPr>
          <w:rFonts w:ascii="Cambria Math" w:hAnsi="Cambria Math"/>
          <w:b w:val="0"/>
          <w:i w:val="0"/>
          <w:sz w:val="22"/>
          <w:vertAlign w:val="subscript"/>
          <w:rFonts w:ascii="Cambria Math" w:hAnsi="Cambria Math"/>
        </w:rPr>
        <w:t>total</w:t>
      </w:r>
      <w:r>
        <w:rPr>
          <w:rFonts w:ascii="Cambria Math" w:hAnsi="Cambria Math"/>
          <w:b w:val="0"/>
          <w:i w:val="0"/>
          <w:sz w:val="22"/>
          <w:rFonts w:ascii="Cambria Math" w:hAnsi="Cambria Math"/>
        </w:rPr>
        <w:t>) · w</w:t>
      </w:r>
      <w:r>
        <w:rPr>
          <w:rFonts w:ascii="Cambria Math" w:hAnsi="Cambria Math"/>
          <w:b w:val="0"/>
          <w:i w:val="0"/>
          <w:sz w:val="22"/>
          <w:vertAlign w:val="subscript"/>
          <w:rFonts w:ascii="Cambria Math" w:hAnsi="Cambria Math"/>
        </w:rPr>
        <w:t>k</w:t>
      </w:r>
    </w:p>
    <w:p>
      <w:pPr>
        <w:jc w:val="both"/>
      </w:pPr>
      <w:r>
        <w:rPr>
          <w:rFonts w:ascii="Times New Roman" w:hAnsi="Times New Roman"/>
          <w:b w:val="0"/>
          <w:i w:val="0"/>
          <w:sz w:val="22"/>
          <w:rFonts w:ascii="Times New Roman" w:hAnsi="Times New Roman"/>
        </w:rPr>
        <w:t>where n</w:t>
      </w:r>
      <w:r>
        <w:rPr>
          <w:rFonts w:ascii="Times New Roman" w:hAnsi="Times New Roman"/>
          <w:b w:val="0"/>
          <w:i w:val="0"/>
          <w:sz w:val="22"/>
          <w:vertAlign w:val="subscript"/>
          <w:rFonts w:ascii="Times New Roman" w:hAnsi="Times New Roman"/>
        </w:rPr>
        <w:t>k</w:t>
      </w:r>
      <w:r>
        <w:rPr>
          <w:rFonts w:ascii="Times New Roman" w:hAnsi="Times New Roman"/>
          <w:b w:val="0"/>
          <w:i w:val="0"/>
          <w:sz w:val="22"/>
          <w:rFonts w:ascii="Times New Roman" w:hAnsi="Times New Roman"/>
        </w:rPr>
        <w:t xml:space="preserve"> is the number of training samples on client k and n</w:t>
      </w:r>
      <w:r>
        <w:rPr>
          <w:rFonts w:ascii="Times New Roman" w:hAnsi="Times New Roman"/>
          <w:b w:val="0"/>
          <w:i w:val="0"/>
          <w:sz w:val="22"/>
          <w:vertAlign w:val="subscript"/>
          <w:rFonts w:ascii="Times New Roman" w:hAnsi="Times New Roman"/>
        </w:rPr>
        <w:t>total</w:t>
      </w:r>
      <w:r>
        <w:rPr>
          <w:rFonts w:ascii="Times New Roman" w:hAnsi="Times New Roman"/>
          <w:b w:val="0"/>
          <w:i w:val="0"/>
          <w:sz w:val="22"/>
          <w:rFonts w:ascii="Times New Roman" w:hAnsi="Times New Roman"/>
        </w:rPr>
        <w:t xml:space="preserve"> is the total number of samples across all clients.</w:t>
      </w:r>
    </w:p>
    <w:p>
      <w:pPr>
        <w:pStyle w:val="Heading2"/>
        <w:jc w:val="both"/>
      </w:pPr>
      <w:r>
        <w:rPr>
          <w:b w:val="0"/>
          <w:i w:val="0"/>
        </w:rPr>
        <w:t>3.5 Non-IID Data Partitioning</w:t>
      </w:r>
    </w:p>
    <w:p>
      <w:pPr>
        <w:jc w:val="both"/>
      </w:pPr>
      <w:r>
        <w:rPr>
          <w:rFonts w:ascii="Times New Roman" w:hAnsi="Times New Roman"/>
          <w:b w:val="0"/>
          <w:i w:val="0"/>
          <w:sz w:val="22"/>
          <w:rFonts w:ascii="Times New Roman" w:hAnsi="Times New Roman"/>
        </w:rPr>
        <w:t>To simulate realistic mobile data distributions, we partition the training data among clients using a Dirichlet distribution with concentration parameter α. For each user in the dataset, a probability vector is sampled from Dir(α, …, α) with K = 100 components, determining the proportion of that user’s interactions assigned to each client. The parameter α controls the degree of heterogeneity:</w:t>
      </w:r>
    </w:p>
    <w:p>
      <w:pPr>
        <w:jc w:val="left"/>
      </w:pPr>
      <w:r>
        <w:rPr>
          <w:rFonts w:ascii="Times New Roman" w:hAnsi="Times New Roman"/>
          <w:b w:val="0"/>
          <w:i w:val="0"/>
          <w:sz w:val="22"/>
          <w:rFonts w:ascii="Times New Roman" w:hAnsi="Times New Roman"/>
        </w:rPr>
        <w:t xml:space="preserve">• </w:t>
      </w:r>
      <w:r>
        <w:rPr>
          <w:rFonts w:ascii="Times New Roman" w:hAnsi="Times New Roman"/>
          <w:b/>
          <w:i w:val="0"/>
          <w:sz w:val="22"/>
          <w:rFonts w:ascii="Times New Roman" w:hAnsi="Times New Roman"/>
        </w:rPr>
        <w:t>α = 0.1 (Highly Non-IID)</w:t>
      </w:r>
      <w:r>
        <w:rPr>
          <w:rFonts w:ascii="Times New Roman" w:hAnsi="Times New Roman"/>
          <w:b w:val="0"/>
          <w:i w:val="0"/>
          <w:sz w:val="22"/>
          <w:rFonts w:ascii="Times New Roman" w:hAnsi="Times New Roman"/>
        </w:rPr>
        <w:t>: Most of a user’s data is concentrated on a single client, creating highly skewed distributions.</w:t>
      </w:r>
    </w:p>
    <w:p>
      <w:pPr>
        <w:jc w:val="left"/>
      </w:pPr>
      <w:r>
        <w:rPr>
          <w:rFonts w:ascii="Times New Roman" w:hAnsi="Times New Roman"/>
          <w:b w:val="0"/>
          <w:i w:val="0"/>
          <w:sz w:val="22"/>
          <w:rFonts w:ascii="Times New Roman" w:hAnsi="Times New Roman"/>
        </w:rPr>
        <w:t xml:space="preserve">• </w:t>
      </w:r>
      <w:r>
        <w:rPr>
          <w:rFonts w:ascii="Times New Roman" w:hAnsi="Times New Roman"/>
          <w:b/>
          <w:i w:val="0"/>
          <w:sz w:val="22"/>
          <w:rFonts w:ascii="Times New Roman" w:hAnsi="Times New Roman"/>
        </w:rPr>
        <w:t>α = 0.5 (Moderately Non-IID)</w:t>
      </w:r>
      <w:r>
        <w:rPr>
          <w:rFonts w:ascii="Times New Roman" w:hAnsi="Times New Roman"/>
          <w:b w:val="0"/>
          <w:i w:val="0"/>
          <w:sz w:val="22"/>
          <w:rFonts w:ascii="Times New Roman" w:hAnsi="Times New Roman"/>
        </w:rPr>
        <w:t>: An intermediate distribution representing realistic mobile scenarios where users have some overlap but distinct preferences.</w:t>
      </w:r>
    </w:p>
    <w:p>
      <w:pPr>
        <w:jc w:val="left"/>
      </w:pPr>
      <w:r>
        <w:rPr>
          <w:rFonts w:ascii="Times New Roman" w:hAnsi="Times New Roman"/>
          <w:b w:val="0"/>
          <w:i w:val="0"/>
          <w:sz w:val="22"/>
          <w:rFonts w:ascii="Times New Roman" w:hAnsi="Times New Roman"/>
        </w:rPr>
        <w:t xml:space="preserve">• </w:t>
      </w:r>
      <w:r>
        <w:rPr>
          <w:rFonts w:ascii="Times New Roman" w:hAnsi="Times New Roman"/>
          <w:b/>
          <w:i w:val="0"/>
          <w:sz w:val="22"/>
          <w:rFonts w:ascii="Times New Roman" w:hAnsi="Times New Roman"/>
        </w:rPr>
        <w:t>α = 1.0 (Mildly Non-IID)</w:t>
      </w:r>
      <w:r>
        <w:rPr>
          <w:rFonts w:ascii="Times New Roman" w:hAnsi="Times New Roman"/>
          <w:b w:val="0"/>
          <w:i w:val="0"/>
          <w:sz w:val="22"/>
          <w:rFonts w:ascii="Times New Roman" w:hAnsi="Times New Roman"/>
        </w:rPr>
        <w:t>: Data is more evenly distributed across clients, approaching but not reaching the IID case.</w:t>
      </w:r>
    </w:p>
    <w:p>
      <w:pPr>
        <w:pStyle w:val="Heading2"/>
        <w:jc w:val="both"/>
      </w:pPr>
      <w:r>
        <w:rPr>
          <w:b w:val="0"/>
          <w:i w:val="0"/>
        </w:rPr>
        <w:t>3.6 Differential Privacy Mechanism</w:t>
      </w:r>
    </w:p>
    <w:p>
      <w:pPr>
        <w:jc w:val="both"/>
      </w:pPr>
      <w:r>
        <w:rPr>
          <w:rFonts w:ascii="Times New Roman" w:hAnsi="Times New Roman"/>
          <w:b w:val="0"/>
          <w:i w:val="0"/>
          <w:sz w:val="22"/>
          <w:rFonts w:ascii="Times New Roman" w:hAnsi="Times New Roman"/>
        </w:rPr>
        <w:t>We implement Differentially Private Stochastic Gradient Descent (DP-SGD) (Abadi et al., 2016) to provide formal privacy guarantees during local training. The mechanism consists of two steps applied to each gradient computation during training:</w:t>
      </w:r>
    </w:p>
    <w:p>
      <w:pPr>
        <w:jc w:val="left"/>
      </w:pPr>
      <w:r>
        <w:rPr>
          <w:rFonts w:ascii="Times New Roman" w:hAnsi="Times New Roman"/>
          <w:b/>
          <w:i w:val="0"/>
          <w:sz w:val="22"/>
          <w:rFonts w:ascii="Times New Roman" w:hAnsi="Times New Roman"/>
        </w:rPr>
        <w:t>Gradient Clipping:</w:t>
      </w:r>
      <w:r>
        <w:rPr>
          <w:rFonts w:ascii="Times New Roman" w:hAnsi="Times New Roman"/>
          <w:b w:val="0"/>
          <w:i w:val="0"/>
          <w:sz w:val="22"/>
          <w:rFonts w:ascii="Times New Roman" w:hAnsi="Times New Roman"/>
        </w:rPr>
        <w:t xml:space="preserve"> Per-sample gradients are clipped to a maximum L2 norm of C = 1.0. This bounds the sensitivity of each individual training sample:</w:t>
      </w:r>
    </w:p>
    <w:p>
      <w:pPr>
        <w:jc w:val="center"/>
      </w:pPr>
      <w:r>
        <w:rPr>
          <w:rFonts w:ascii="Cambria Math" w:hAnsi="Cambria Math"/>
          <w:b w:val="0"/>
          <w:i w:val="0"/>
          <w:sz w:val="22"/>
          <w:rFonts w:ascii="Cambria Math" w:hAnsi="Cambria Math"/>
        </w:rPr>
        <w:t>ĝ = g · min(1, C / ‖g‖</w:t>
      </w:r>
      <w:r>
        <w:rPr>
          <w:rFonts w:ascii="Cambria Math" w:hAnsi="Cambria Math"/>
          <w:b w:val="0"/>
          <w:i w:val="0"/>
          <w:sz w:val="22"/>
          <w:vertAlign w:val="subscript"/>
          <w:rFonts w:ascii="Cambria Math" w:hAnsi="Cambria Math"/>
        </w:rPr>
        <w:t>2</w:t>
      </w:r>
      <w:r>
        <w:rPr>
          <w:rFonts w:ascii="Cambria Math" w:hAnsi="Cambria Math"/>
          <w:b w:val="0"/>
          <w:i w:val="0"/>
          <w:sz w:val="22"/>
          <w:rFonts w:ascii="Cambria Math" w:hAnsi="Cambria Math"/>
        </w:rPr>
        <w:t>)</w:t>
      </w:r>
    </w:p>
    <w:p>
      <w:pPr>
        <w:jc w:val="left"/>
      </w:pPr>
      <w:r>
        <w:rPr>
          <w:rFonts w:ascii="Times New Roman" w:hAnsi="Times New Roman"/>
          <w:b/>
          <w:i w:val="0"/>
          <w:sz w:val="22"/>
          <w:rFonts w:ascii="Times New Roman" w:hAnsi="Times New Roman"/>
        </w:rPr>
        <w:t>Gaussian Noise Addition:</w:t>
      </w:r>
      <w:r>
        <w:rPr>
          <w:rFonts w:ascii="Times New Roman" w:hAnsi="Times New Roman"/>
          <w:b w:val="0"/>
          <w:i w:val="0"/>
          <w:sz w:val="22"/>
          <w:rFonts w:ascii="Times New Roman" w:hAnsi="Times New Roman"/>
        </w:rPr>
        <w:t xml:space="preserve"> After clipping, calibrated Gaussian noise is added to the gradients:</w:t>
      </w:r>
    </w:p>
    <w:p>
      <w:pPr>
        <w:jc w:val="center"/>
      </w:pPr>
      <w:r>
        <w:rPr>
          <w:rFonts w:ascii="Cambria Math" w:hAnsi="Cambria Math"/>
          <w:b w:val="0"/>
          <w:i w:val="0"/>
          <w:sz w:val="22"/>
          <w:rFonts w:ascii="Cambria Math" w:hAnsi="Cambria Math"/>
        </w:rPr>
        <w:t>g̃ = ĝ + 𝒩(0, σ² · C² · I)</w:t>
      </w:r>
    </w:p>
    <w:p>
      <w:pPr>
        <w:jc w:val="both"/>
      </w:pPr>
      <w:r>
        <w:rPr>
          <w:rFonts w:ascii="Times New Roman" w:hAnsi="Times New Roman"/>
          <w:b w:val="0"/>
          <w:i w:val="0"/>
          <w:sz w:val="22"/>
          <w:rFonts w:ascii="Times New Roman" w:hAnsi="Times New Roman"/>
        </w:rPr>
        <w:t>where σ is the noise multiplier that determines the privacy-utility trade-off. The noise multiplier is calibrated using the Rényi Differential Privacy (RDP) accountant (Mironov, 2017) to achieve a target (ε, δ)-DP guarantee with δ = 10</w:t>
      </w:r>
      <w:r>
        <w:rPr>
          <w:rFonts w:ascii="Times New Roman" w:hAnsi="Times New Roman"/>
          <w:b w:val="0"/>
          <w:i w:val="0"/>
          <w:sz w:val="22"/>
          <w:vertAlign w:val="superscript"/>
          <w:rFonts w:ascii="Times New Roman" w:hAnsi="Times New Roman"/>
        </w:rPr>
        <w:t>–5</w:t>
      </w:r>
      <w:r>
        <w:rPr>
          <w:rFonts w:ascii="Times New Roman" w:hAnsi="Times New Roman"/>
          <w:b w:val="0"/>
          <w:i w:val="0"/>
          <w:sz w:val="22"/>
          <w:rFonts w:ascii="Times New Roman" w:hAnsi="Times New Roman"/>
        </w:rPr>
        <w:t>. The RDP composition theorem tracks the cumulative privacy loss across multiple rounds of training. We evaluate five privacy budgets: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Fonts w:ascii="Times New Roman" w:hAnsi="Times New Roman"/>
              </w:rPr>
              <w:t>Target ε</w:t>
            </w:r>
          </w:p>
        </w:tc>
        <w:tc>
          <w:tcPr>
            <w:tcW w:type="dxa" w:w="2160"/>
          </w:tcPr>
          <w:p>
            <w:pPr>
              <w:jc w:val="center"/>
            </w:pPr>
            <w:r>
              <w:rPr>
                <w:rFonts w:ascii="Times New Roman" w:hAnsi="Times New Roman"/>
                <w:b/>
                <w:sz w:val="20"/>
                <w:rFonts w:ascii="Times New Roman" w:hAnsi="Times New Roman"/>
              </w:rPr>
              <w:t>σ (Noise Multiplier)</w:t>
            </w:r>
          </w:p>
        </w:tc>
        <w:tc>
          <w:tcPr>
            <w:tcW w:type="dxa" w:w="2160"/>
          </w:tcPr>
          <w:p>
            <w:pPr>
              <w:jc w:val="center"/>
            </w:pPr>
            <w:r>
              <w:rPr>
                <w:rFonts w:ascii="Times New Roman" w:hAnsi="Times New Roman"/>
                <w:b/>
                <w:sz w:val="20"/>
                <w:rFonts w:ascii="Times New Roman" w:hAnsi="Times New Roman"/>
              </w:rPr>
              <w:t>Achieved ε</w:t>
            </w:r>
          </w:p>
        </w:tc>
        <w:tc>
          <w:tcPr>
            <w:tcW w:type="dxa" w:w="2160"/>
          </w:tcPr>
          <w:p>
            <w:pPr>
              <w:jc w:val="center"/>
            </w:pPr>
            <w:r>
              <w:rPr>
                <w:rFonts w:ascii="Times New Roman" w:hAnsi="Times New Roman"/>
                <w:b/>
                <w:sz w:val="20"/>
                <w:rFonts w:ascii="Times New Roman" w:hAnsi="Times New Roman"/>
              </w:rPr>
              <w:t>Privacy Level</w:t>
            </w:r>
          </w:p>
        </w:tc>
      </w:tr>
      <w:tr>
        <w:tc>
          <w:tcPr>
            <w:tcW w:type="dxa" w:w="2160"/>
          </w:tcPr>
          <w:p>
            <w:pPr>
              <w:jc w:val="left"/>
            </w:pPr>
            <w:r>
              <w:rPr>
                <w:rFonts w:ascii="Times New Roman" w:hAnsi="Times New Roman"/>
                <w:b w:val="0"/>
                <w:i w:val="0"/>
                <w:sz w:val="20"/>
                <w:rFonts w:ascii="Times New Roman" w:hAnsi="Times New Roman"/>
              </w:rPr>
              <w:t>∞</w:t>
            </w:r>
          </w:p>
        </w:tc>
        <w:tc>
          <w:tcPr>
            <w:tcW w:type="dxa" w:w="2160"/>
          </w:tcPr>
          <w:p>
            <w:pPr>
              <w:jc w:val="center"/>
            </w:pPr>
            <w:r>
              <w:rPr>
                <w:rFonts w:ascii="Times New Roman" w:hAnsi="Times New Roman"/>
                <w:b w:val="0"/>
                <w:i w:val="0"/>
                <w:sz w:val="20"/>
                <w:rFonts w:ascii="Times New Roman" w:hAnsi="Times New Roman"/>
              </w:rPr>
              <w:t>0.00</w:t>
            </w:r>
          </w:p>
        </w:tc>
        <w:tc>
          <w:tcPr>
            <w:tcW w:type="dxa" w:w="2160"/>
          </w:tcPr>
          <w:p>
            <w:pPr>
              <w:jc w:val="center"/>
            </w:pPr>
            <w:r>
              <w:rPr>
                <w:rFonts w:ascii="Times New Roman" w:hAnsi="Times New Roman"/>
                <w:b w:val="0"/>
                <w:i w:val="0"/>
                <w:sz w:val="20"/>
                <w:rFonts w:ascii="Times New Roman" w:hAnsi="Times New Roman"/>
              </w:rPr>
              <w:t>∞</w:t>
            </w:r>
          </w:p>
        </w:tc>
        <w:tc>
          <w:tcPr>
            <w:tcW w:type="dxa" w:w="2160"/>
          </w:tcPr>
          <w:p>
            <w:pPr>
              <w:jc w:val="center"/>
            </w:pPr>
            <w:r>
              <w:rPr>
                <w:rFonts w:ascii="Times New Roman" w:hAnsi="Times New Roman"/>
                <w:b w:val="0"/>
                <w:i w:val="0"/>
                <w:sz w:val="20"/>
                <w:rFonts w:ascii="Times New Roman" w:hAnsi="Times New Roman"/>
              </w:rPr>
              <w:t>No Privacy</w:t>
            </w:r>
          </w:p>
        </w:tc>
      </w:tr>
      <w:tr>
        <w:tc>
          <w:tcPr>
            <w:tcW w:type="dxa" w:w="2160"/>
          </w:tcPr>
          <w:p>
            <w:pPr>
              <w:jc w:val="left"/>
            </w:pPr>
            <w:r>
              <w:rPr>
                <w:rFonts w:ascii="Times New Roman" w:hAnsi="Times New Roman"/>
                <w:b w:val="0"/>
                <w:i w:val="0"/>
                <w:sz w:val="20"/>
                <w:rFonts w:ascii="Times New Roman" w:hAnsi="Times New Roman"/>
              </w:rPr>
              <w:t>8</w:t>
            </w:r>
          </w:p>
        </w:tc>
        <w:tc>
          <w:tcPr>
            <w:tcW w:type="dxa" w:w="2160"/>
          </w:tcPr>
          <w:p>
            <w:pPr>
              <w:jc w:val="center"/>
            </w:pPr>
            <w:r>
              <w:rPr>
                <w:rFonts w:ascii="Times New Roman" w:hAnsi="Times New Roman"/>
                <w:b w:val="0"/>
                <w:i w:val="0"/>
                <w:sz w:val="20"/>
                <w:rFonts w:ascii="Times New Roman" w:hAnsi="Times New Roman"/>
              </w:rPr>
              <w:t>11.03</w:t>
            </w:r>
          </w:p>
        </w:tc>
        <w:tc>
          <w:tcPr>
            <w:tcW w:type="dxa" w:w="2160"/>
          </w:tcPr>
          <w:p>
            <w:pPr>
              <w:jc w:val="center"/>
            </w:pPr>
            <w:r>
              <w:rPr>
                <w:rFonts w:ascii="Times New Roman" w:hAnsi="Times New Roman"/>
                <w:b w:val="0"/>
                <w:i w:val="0"/>
                <w:sz w:val="20"/>
                <w:rFonts w:ascii="Times New Roman" w:hAnsi="Times New Roman"/>
              </w:rPr>
              <w:t>7.91</w:t>
            </w:r>
          </w:p>
        </w:tc>
        <w:tc>
          <w:tcPr>
            <w:tcW w:type="dxa" w:w="2160"/>
          </w:tcPr>
          <w:p>
            <w:pPr>
              <w:jc w:val="center"/>
            </w:pPr>
            <w:r>
              <w:rPr>
                <w:rFonts w:ascii="Times New Roman" w:hAnsi="Times New Roman"/>
                <w:b w:val="0"/>
                <w:i w:val="0"/>
                <w:sz w:val="20"/>
                <w:rFonts w:ascii="Times New Roman" w:hAnsi="Times New Roman"/>
              </w:rPr>
              <w:t>Relaxed</w:t>
            </w:r>
          </w:p>
        </w:tc>
      </w:tr>
      <w:tr>
        <w:tc>
          <w:tcPr>
            <w:tcW w:type="dxa" w:w="2160"/>
          </w:tcPr>
          <w:p>
            <w:pPr>
              <w:jc w:val="left"/>
            </w:pPr>
            <w:r>
              <w:rPr>
                <w:rFonts w:ascii="Times New Roman" w:hAnsi="Times New Roman"/>
                <w:b w:val="0"/>
                <w:i w:val="0"/>
                <w:sz w:val="20"/>
                <w:rFonts w:ascii="Times New Roman" w:hAnsi="Times New Roman"/>
              </w:rPr>
              <w:t>4</w:t>
            </w:r>
          </w:p>
        </w:tc>
        <w:tc>
          <w:tcPr>
            <w:tcW w:type="dxa" w:w="2160"/>
          </w:tcPr>
          <w:p>
            <w:pPr>
              <w:jc w:val="center"/>
            </w:pPr>
            <w:r>
              <w:rPr>
                <w:rFonts w:ascii="Times New Roman" w:hAnsi="Times New Roman"/>
                <w:b w:val="0"/>
                <w:i w:val="0"/>
                <w:sz w:val="20"/>
                <w:rFonts w:ascii="Times New Roman" w:hAnsi="Times New Roman"/>
              </w:rPr>
              <w:t>20.40</w:t>
            </w:r>
          </w:p>
        </w:tc>
        <w:tc>
          <w:tcPr>
            <w:tcW w:type="dxa" w:w="2160"/>
          </w:tcPr>
          <w:p>
            <w:pPr>
              <w:jc w:val="center"/>
            </w:pPr>
            <w:r>
              <w:rPr>
                <w:rFonts w:ascii="Times New Roman" w:hAnsi="Times New Roman"/>
                <w:b w:val="0"/>
                <w:i w:val="0"/>
                <w:sz w:val="20"/>
                <w:rFonts w:ascii="Times New Roman" w:hAnsi="Times New Roman"/>
              </w:rPr>
              <w:t>4.02</w:t>
            </w:r>
          </w:p>
        </w:tc>
        <w:tc>
          <w:tcPr>
            <w:tcW w:type="dxa" w:w="2160"/>
          </w:tcPr>
          <w:p>
            <w:pPr>
              <w:jc w:val="center"/>
            </w:pPr>
            <w:r>
              <w:rPr>
                <w:rFonts w:ascii="Times New Roman" w:hAnsi="Times New Roman"/>
                <w:b w:val="0"/>
                <w:i w:val="0"/>
                <w:sz w:val="20"/>
                <w:rFonts w:ascii="Times New Roman" w:hAnsi="Times New Roman"/>
              </w:rPr>
              <w:t>Moderate</w:t>
            </w:r>
          </w:p>
        </w:tc>
      </w:tr>
      <w:tr>
        <w:tc>
          <w:tcPr>
            <w:tcW w:type="dxa" w:w="2160"/>
          </w:tcPr>
          <w:p>
            <w:pPr>
              <w:jc w:val="left"/>
            </w:pPr>
            <w:r>
              <w:rPr>
                <w:rFonts w:ascii="Times New Roman" w:hAnsi="Times New Roman"/>
                <w:b w:val="0"/>
                <w:i w:val="0"/>
                <w:sz w:val="20"/>
                <w:rFonts w:ascii="Times New Roman" w:hAnsi="Times New Roman"/>
              </w:rPr>
              <w:t>2</w:t>
            </w:r>
          </w:p>
        </w:tc>
        <w:tc>
          <w:tcPr>
            <w:tcW w:type="dxa" w:w="2160"/>
          </w:tcPr>
          <w:p>
            <w:pPr>
              <w:jc w:val="center"/>
            </w:pPr>
            <w:r>
              <w:rPr>
                <w:rFonts w:ascii="Times New Roman" w:hAnsi="Times New Roman"/>
                <w:b w:val="0"/>
                <w:i w:val="0"/>
                <w:sz w:val="20"/>
                <w:rFonts w:ascii="Times New Roman" w:hAnsi="Times New Roman"/>
              </w:rPr>
              <w:t>40.70</w:t>
            </w:r>
          </w:p>
        </w:tc>
        <w:tc>
          <w:tcPr>
            <w:tcW w:type="dxa" w:w="2160"/>
          </w:tcPr>
          <w:p>
            <w:pPr>
              <w:jc w:val="center"/>
            </w:pPr>
            <w:r>
              <w:rPr>
                <w:rFonts w:ascii="Times New Roman" w:hAnsi="Times New Roman"/>
                <w:b w:val="0"/>
                <w:i w:val="0"/>
                <w:sz w:val="20"/>
                <w:rFonts w:ascii="Times New Roman" w:hAnsi="Times New Roman"/>
              </w:rPr>
              <w:t>1.94</w:t>
            </w:r>
          </w:p>
        </w:tc>
        <w:tc>
          <w:tcPr>
            <w:tcW w:type="dxa" w:w="2160"/>
          </w:tcPr>
          <w:p>
            <w:pPr>
              <w:jc w:val="center"/>
            </w:pPr>
            <w:r>
              <w:rPr>
                <w:rFonts w:ascii="Times New Roman" w:hAnsi="Times New Roman"/>
                <w:b w:val="0"/>
                <w:i w:val="0"/>
                <w:sz w:val="20"/>
                <w:rFonts w:ascii="Times New Roman" w:hAnsi="Times New Roman"/>
              </w:rPr>
              <w:t>Strong</w:t>
            </w:r>
          </w:p>
        </w:tc>
      </w:tr>
      <w:tr>
        <w:tc>
          <w:tcPr>
            <w:tcW w:type="dxa" w:w="2160"/>
          </w:tcPr>
          <w:p>
            <w:pPr>
              <w:jc w:val="left"/>
            </w:pPr>
            <w:r>
              <w:rPr>
                <w:rFonts w:ascii="Times New Roman" w:hAnsi="Times New Roman"/>
                <w:b w:val="0"/>
                <w:i w:val="0"/>
                <w:sz w:val="20"/>
                <w:rFonts w:ascii="Times New Roman" w:hAnsi="Times New Roman"/>
              </w:rPr>
              <w:t>1</w:t>
            </w:r>
          </w:p>
        </w:tc>
        <w:tc>
          <w:tcPr>
            <w:tcW w:type="dxa" w:w="2160"/>
          </w:tcPr>
          <w:p>
            <w:pPr>
              <w:jc w:val="center"/>
            </w:pPr>
            <w:r>
              <w:rPr>
                <w:rFonts w:ascii="Times New Roman" w:hAnsi="Times New Roman"/>
                <w:b w:val="0"/>
                <w:i w:val="0"/>
                <w:sz w:val="20"/>
                <w:rFonts w:ascii="Times New Roman" w:hAnsi="Times New Roman"/>
              </w:rPr>
              <w:t>75.06</w:t>
            </w:r>
          </w:p>
        </w:tc>
        <w:tc>
          <w:tcPr>
            <w:tcW w:type="dxa" w:w="2160"/>
          </w:tcPr>
          <w:p>
            <w:pPr>
              <w:jc w:val="center"/>
            </w:pPr>
            <w:r>
              <w:rPr>
                <w:rFonts w:ascii="Times New Roman" w:hAnsi="Times New Roman"/>
                <w:b w:val="0"/>
                <w:i w:val="0"/>
                <w:sz w:val="20"/>
                <w:rFonts w:ascii="Times New Roman" w:hAnsi="Times New Roman"/>
              </w:rPr>
              <w:t>1.03</w:t>
            </w:r>
          </w:p>
        </w:tc>
        <w:tc>
          <w:tcPr>
            <w:tcW w:type="dxa" w:w="2160"/>
          </w:tcPr>
          <w:p>
            <w:pPr>
              <w:jc w:val="center"/>
            </w:pPr>
            <w:r>
              <w:rPr>
                <w:rFonts w:ascii="Times New Roman" w:hAnsi="Times New Roman"/>
                <w:b w:val="0"/>
                <w:i w:val="0"/>
                <w:sz w:val="20"/>
                <w:rFonts w:ascii="Times New Roman" w:hAnsi="Times New Roman"/>
              </w:rPr>
              <w:t>Very Strong</w:t>
            </w:r>
          </w:p>
        </w:tc>
      </w:tr>
    </w:tbl>
    <w:p/>
    <w:p>
      <w:pPr>
        <w:pStyle w:val="Heading2"/>
        <w:jc w:val="both"/>
      </w:pPr>
      <w:r>
        <w:rPr>
          <w:b w:val="0"/>
          <w:i w:val="0"/>
        </w:rPr>
        <w:t>3.7 Privacy Attack Evaluation</w:t>
      </w:r>
    </w:p>
    <w:p>
      <w:pPr>
        <w:pStyle w:val="Heading3"/>
        <w:jc w:val="both"/>
      </w:pPr>
      <w:r>
        <w:rPr>
          <w:b w:val="0"/>
          <w:i w:val="0"/>
        </w:rPr>
        <w:t>3.7.1 Membership Inference Attack (MIA)</w:t>
      </w:r>
    </w:p>
    <w:p>
      <w:pPr>
        <w:jc w:val="both"/>
      </w:pPr>
      <w:r>
        <w:rPr>
          <w:rFonts w:ascii="Times New Roman" w:hAnsi="Times New Roman"/>
          <w:b w:val="0"/>
          <w:i w:val="0"/>
          <w:sz w:val="22"/>
          <w:rFonts w:ascii="Times New Roman" w:hAnsi="Times New Roman"/>
        </w:rPr>
        <w:t>We implement a shadow-model based Membership Inference Attack (Shokri et al., 2017) to evaluate whether an adversary can determine if a specific data sample was used in the training set.</w:t>
      </w:r>
    </w:p>
    <w:p>
      <w:pPr>
        <w:pStyle w:val="Heading3"/>
        <w:jc w:val="both"/>
      </w:pPr>
      <w:r>
        <w:rPr>
          <w:b w:val="0"/>
          <w:i w:val="0"/>
        </w:rPr>
        <w:t>3.7.2 Model Inversion Attack</w:t>
      </w:r>
    </w:p>
    <w:p>
      <w:pPr>
        <w:jc w:val="both"/>
      </w:pPr>
      <w:r>
        <w:rPr>
          <w:rFonts w:ascii="Times New Roman" w:hAnsi="Times New Roman"/>
          <w:b w:val="0"/>
          <w:i w:val="0"/>
          <w:sz w:val="22"/>
          <w:rFonts w:ascii="Times New Roman" w:hAnsi="Times New Roman"/>
        </w:rPr>
        <w:t>We implement a model inversion attack that attempts to reconstruct a user’s top-K preferred items from the trained model.</w:t>
      </w:r>
    </w:p>
    <w:p>
      <w:pPr>
        <w:pStyle w:val="Heading2"/>
        <w:jc w:val="both"/>
      </w:pPr>
      <w:r>
        <w:rPr>
          <w:b w:val="0"/>
          <w:i w:val="0"/>
        </w:rPr>
        <w:t>3.8 Evaluation Metrics</w:t>
      </w:r>
    </w:p>
    <w:p>
      <w:pPr>
        <w:jc w:val="both"/>
      </w:pPr>
      <w:r>
        <w:rPr>
          <w:rFonts w:ascii="Times New Roman" w:hAnsi="Times New Roman"/>
          <w:b w:val="0"/>
          <w:i w:val="0"/>
          <w:sz w:val="22"/>
          <w:rFonts w:ascii="Times New Roman" w:hAnsi="Times New Roman"/>
        </w:rPr>
        <w:t>We evaluate recommendation quality using NDCG@10, Hit@10, Precision@10, and Recall@10, alongside regression metrics MSE and MAE.</w:t>
      </w:r>
    </w:p>
    <w:p>
      <w:pPr>
        <w:jc w:val="center"/>
      </w:pPr>
      <w:r>
        <w:rPr>
          <w:rFonts w:ascii="Cambria Math" w:hAnsi="Cambria Math"/>
          <w:b w:val="0"/>
          <w:i w:val="0"/>
          <w:sz w:val="22"/>
          <w:rFonts w:ascii="Cambria Math" w:hAnsi="Cambria Math"/>
        </w:rPr>
        <w:t>NDCG@K = DCG@K / IDCG@K</w:t>
      </w:r>
    </w:p>
    <w:p>
      <w:r>
        <w:br w:type="page"/>
      </w:r>
    </w:p>
    <w:p>
      <w:pPr>
        <w:pStyle w:val="Title"/>
      </w:pPr>
      <w:r>
        <w:t>4. Experimental Setup</w:t>
      </w:r>
    </w:p>
    <w:p>
      <w:pPr>
        <w:pStyle w:val="Heading2"/>
        <w:jc w:val="both"/>
      </w:pPr>
      <w:r>
        <w:rPr>
          <w:b w:val="0"/>
          <w:i w:val="0"/>
        </w:rPr>
        <w:t>4.1 Overview</w:t>
      </w:r>
    </w:p>
    <w:p>
      <w:pPr>
        <w:jc w:val="both"/>
      </w:pPr>
      <w:r>
        <w:rPr>
          <w:rFonts w:ascii="Times New Roman" w:hAnsi="Times New Roman"/>
          <w:b w:val="0"/>
          <w:i w:val="0"/>
          <w:sz w:val="22"/>
          <w:rFonts w:ascii="Times New Roman" w:hAnsi="Times New Roman"/>
        </w:rPr>
        <w:t>This chapter details the complete experimental setup used to evaluate the accuracy–privacy trade-offs in federated learning for mobile movie recommendation systems. The experiments are designed to answer three research questions: (RQ1) the impact of differential privacy budgets on recommendation accuracy, (RQ2) the effectiveness of privacy attacks under varying DP configurations, and (RQ3) the influence of data heterogeneity on federated learning performance.</w:t>
      </w:r>
    </w:p>
    <w:p>
      <w:pPr>
        <w:pStyle w:val="Heading2"/>
        <w:jc w:val="both"/>
      </w:pPr>
      <w:r>
        <w:rPr>
          <w:b w:val="0"/>
          <w:i w:val="0"/>
        </w:rPr>
        <w:t>4.2 Hardware and Software Environment</w:t>
      </w:r>
    </w:p>
    <w:p>
      <w:pPr>
        <w:jc w:val="both"/>
      </w:pPr>
      <w:r>
        <w:rPr>
          <w:rFonts w:ascii="Times New Roman" w:hAnsi="Times New Roman"/>
          <w:b w:val="0"/>
          <w:i w:val="0"/>
          <w:sz w:val="22"/>
          <w:rFonts w:ascii="Times New Roman" w:hAnsi="Times New Roman"/>
        </w:rPr>
        <w:t>All experiments are executed on a single workstation equipped with a multi-core CPU. No GPU acceleration is employed; the relatively compact model size (approximately 168K parameters) makes CPU-only training practical.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Fonts w:ascii="Times New Roman" w:hAnsi="Times New Roman"/>
              </w:rPr>
              <w:t>Component</w:t>
            </w:r>
          </w:p>
        </w:tc>
        <w:tc>
          <w:tcPr>
            <w:tcW w:type="dxa" w:w="2160"/>
          </w:tcPr>
          <w:p>
            <w:pPr>
              <w:jc w:val="center"/>
            </w:pPr>
            <w:r>
              <w:rPr>
                <w:rFonts w:ascii="Times New Roman" w:hAnsi="Times New Roman"/>
                <w:b/>
                <w:sz w:val="20"/>
                <w:rFonts w:ascii="Times New Roman" w:hAnsi="Times New Roman"/>
              </w:rPr>
              <w:t>Library / Framework</w:t>
            </w:r>
          </w:p>
        </w:tc>
        <w:tc>
          <w:tcPr>
            <w:tcW w:type="dxa" w:w="2160"/>
          </w:tcPr>
          <w:p>
            <w:pPr>
              <w:jc w:val="center"/>
            </w:pPr>
            <w:r>
              <w:rPr>
                <w:rFonts w:ascii="Times New Roman" w:hAnsi="Times New Roman"/>
                <w:b/>
                <w:sz w:val="20"/>
                <w:rFonts w:ascii="Times New Roman" w:hAnsi="Times New Roman"/>
              </w:rPr>
              <w:t>Version</w:t>
            </w:r>
          </w:p>
        </w:tc>
        <w:tc>
          <w:tcPr>
            <w:tcW w:type="dxa" w:w="2160"/>
          </w:tcPr>
          <w:p>
            <w:pPr>
              <w:jc w:val="center"/>
            </w:pPr>
            <w:r>
              <w:rPr>
                <w:rFonts w:ascii="Times New Roman" w:hAnsi="Times New Roman"/>
                <w:b/>
                <w:sz w:val="20"/>
                <w:rFonts w:ascii="Times New Roman" w:hAnsi="Times New Roman"/>
              </w:rPr>
              <w:t>Purpose</w:t>
            </w:r>
          </w:p>
        </w:tc>
      </w:tr>
      <w:tr>
        <w:tc>
          <w:tcPr>
            <w:tcW w:type="dxa" w:w="2160"/>
          </w:tcPr>
          <w:p>
            <w:pPr>
              <w:jc w:val="left"/>
            </w:pPr>
            <w:r>
              <w:rPr>
                <w:rFonts w:ascii="Times New Roman" w:hAnsi="Times New Roman"/>
                <w:b w:val="0"/>
                <w:i w:val="0"/>
                <w:sz w:val="20"/>
                <w:rFonts w:ascii="Times New Roman" w:hAnsi="Times New Roman"/>
              </w:rPr>
              <w:t>Deep Learning</w:t>
            </w:r>
          </w:p>
        </w:tc>
        <w:tc>
          <w:tcPr>
            <w:tcW w:type="dxa" w:w="2160"/>
          </w:tcPr>
          <w:p>
            <w:pPr>
              <w:jc w:val="center"/>
            </w:pPr>
            <w:r>
              <w:rPr>
                <w:rFonts w:ascii="Times New Roman" w:hAnsi="Times New Roman"/>
                <w:b w:val="0"/>
                <w:i w:val="0"/>
                <w:sz w:val="20"/>
                <w:rFonts w:ascii="Times New Roman" w:hAnsi="Times New Roman"/>
              </w:rPr>
              <w:t>PyTorch</w:t>
            </w:r>
          </w:p>
        </w:tc>
        <w:tc>
          <w:tcPr>
            <w:tcW w:type="dxa" w:w="2160"/>
          </w:tcPr>
          <w:p>
            <w:pPr>
              <w:jc w:val="center"/>
            </w:pPr>
            <w:r>
              <w:rPr>
                <w:rFonts w:ascii="Times New Roman" w:hAnsi="Times New Roman"/>
                <w:b w:val="0"/>
                <w:i w:val="0"/>
                <w:sz w:val="20"/>
                <w:rFonts w:ascii="Times New Roman" w:hAnsi="Times New Roman"/>
              </w:rPr>
              <w:t>≥ 2.0.0</w:t>
            </w:r>
          </w:p>
        </w:tc>
        <w:tc>
          <w:tcPr>
            <w:tcW w:type="dxa" w:w="2160"/>
          </w:tcPr>
          <w:p>
            <w:pPr>
              <w:jc w:val="center"/>
            </w:pPr>
            <w:r>
              <w:rPr>
                <w:rFonts w:ascii="Times New Roman" w:hAnsi="Times New Roman"/>
                <w:b w:val="0"/>
                <w:i w:val="0"/>
                <w:sz w:val="20"/>
                <w:rFonts w:ascii="Times New Roman" w:hAnsi="Times New Roman"/>
              </w:rPr>
              <w:t>Model training</w:t>
            </w:r>
          </w:p>
        </w:tc>
      </w:tr>
      <w:tr>
        <w:tc>
          <w:tcPr>
            <w:tcW w:type="dxa" w:w="2160"/>
          </w:tcPr>
          <w:p>
            <w:pPr>
              <w:jc w:val="left"/>
            </w:pPr>
            <w:r>
              <w:rPr>
                <w:rFonts w:ascii="Times New Roman" w:hAnsi="Times New Roman"/>
                <w:b w:val="0"/>
                <w:i w:val="0"/>
                <w:sz w:val="20"/>
                <w:rFonts w:ascii="Times New Roman" w:hAnsi="Times New Roman"/>
              </w:rPr>
              <w:t>Numerical</w:t>
            </w:r>
          </w:p>
        </w:tc>
        <w:tc>
          <w:tcPr>
            <w:tcW w:type="dxa" w:w="2160"/>
          </w:tcPr>
          <w:p>
            <w:pPr>
              <w:jc w:val="center"/>
            </w:pPr>
            <w:r>
              <w:rPr>
                <w:rFonts w:ascii="Times New Roman" w:hAnsi="Times New Roman"/>
                <w:b w:val="0"/>
                <w:i w:val="0"/>
                <w:sz w:val="20"/>
                <w:rFonts w:ascii="Times New Roman" w:hAnsi="Times New Roman"/>
              </w:rPr>
              <w:t>NumPy</w:t>
            </w:r>
          </w:p>
        </w:tc>
        <w:tc>
          <w:tcPr>
            <w:tcW w:type="dxa" w:w="2160"/>
          </w:tcPr>
          <w:p>
            <w:pPr>
              <w:jc w:val="center"/>
            </w:pPr>
            <w:r>
              <w:rPr>
                <w:rFonts w:ascii="Times New Roman" w:hAnsi="Times New Roman"/>
                <w:b w:val="0"/>
                <w:i w:val="0"/>
                <w:sz w:val="20"/>
                <w:rFonts w:ascii="Times New Roman" w:hAnsi="Times New Roman"/>
              </w:rPr>
              <w:t>≥ 1.24.0</w:t>
            </w:r>
          </w:p>
        </w:tc>
        <w:tc>
          <w:tcPr>
            <w:tcW w:type="dxa" w:w="2160"/>
          </w:tcPr>
          <w:p>
            <w:pPr>
              <w:jc w:val="center"/>
            </w:pPr>
            <w:r>
              <w:rPr>
                <w:rFonts w:ascii="Times New Roman" w:hAnsi="Times New Roman"/>
                <w:b w:val="0"/>
                <w:i w:val="0"/>
                <w:sz w:val="20"/>
                <w:rFonts w:ascii="Times New Roman" w:hAnsi="Times New Roman"/>
              </w:rPr>
              <w:t>Data partitioning</w:t>
            </w:r>
          </w:p>
        </w:tc>
      </w:tr>
      <w:tr>
        <w:tc>
          <w:tcPr>
            <w:tcW w:type="dxa" w:w="2160"/>
          </w:tcPr>
          <w:p>
            <w:pPr>
              <w:jc w:val="left"/>
            </w:pPr>
            <w:r>
              <w:rPr>
                <w:rFonts w:ascii="Times New Roman" w:hAnsi="Times New Roman"/>
                <w:b w:val="0"/>
                <w:i w:val="0"/>
                <w:sz w:val="20"/>
                <w:rFonts w:ascii="Times New Roman" w:hAnsi="Times New Roman"/>
              </w:rPr>
              <w:t>Data Processing</w:t>
            </w:r>
          </w:p>
        </w:tc>
        <w:tc>
          <w:tcPr>
            <w:tcW w:type="dxa" w:w="2160"/>
          </w:tcPr>
          <w:p>
            <w:pPr>
              <w:jc w:val="center"/>
            </w:pPr>
            <w:r>
              <w:rPr>
                <w:rFonts w:ascii="Times New Roman" w:hAnsi="Times New Roman"/>
                <w:b w:val="0"/>
                <w:i w:val="0"/>
                <w:sz w:val="20"/>
                <w:rFonts w:ascii="Times New Roman" w:hAnsi="Times New Roman"/>
              </w:rPr>
              <w:t>Pandas</w:t>
            </w:r>
          </w:p>
        </w:tc>
        <w:tc>
          <w:tcPr>
            <w:tcW w:type="dxa" w:w="2160"/>
          </w:tcPr>
          <w:p>
            <w:pPr>
              <w:jc w:val="center"/>
            </w:pPr>
            <w:r>
              <w:rPr>
                <w:rFonts w:ascii="Times New Roman" w:hAnsi="Times New Roman"/>
                <w:b w:val="0"/>
                <w:i w:val="0"/>
                <w:sz w:val="20"/>
                <w:rFonts w:ascii="Times New Roman" w:hAnsi="Times New Roman"/>
              </w:rPr>
              <w:t>≥ 2.0.0</w:t>
            </w:r>
          </w:p>
        </w:tc>
        <w:tc>
          <w:tcPr>
            <w:tcW w:type="dxa" w:w="2160"/>
          </w:tcPr>
          <w:p>
            <w:pPr>
              <w:jc w:val="center"/>
            </w:pPr>
            <w:r>
              <w:rPr>
                <w:rFonts w:ascii="Times New Roman" w:hAnsi="Times New Roman"/>
                <w:b w:val="0"/>
                <w:i w:val="0"/>
                <w:sz w:val="20"/>
                <w:rFonts w:ascii="Times New Roman" w:hAnsi="Times New Roman"/>
              </w:rPr>
              <w:t>Result aggregation</w:t>
            </w:r>
          </w:p>
        </w:tc>
      </w:tr>
      <w:tr>
        <w:tc>
          <w:tcPr>
            <w:tcW w:type="dxa" w:w="2160"/>
          </w:tcPr>
          <w:p>
            <w:pPr>
              <w:jc w:val="left"/>
            </w:pPr>
            <w:r>
              <w:rPr>
                <w:rFonts w:ascii="Times New Roman" w:hAnsi="Times New Roman"/>
                <w:b w:val="0"/>
                <w:i w:val="0"/>
                <w:sz w:val="20"/>
                <w:rFonts w:ascii="Times New Roman" w:hAnsi="Times New Roman"/>
              </w:rPr>
              <w:t>ML Utilities</w:t>
            </w:r>
          </w:p>
        </w:tc>
        <w:tc>
          <w:tcPr>
            <w:tcW w:type="dxa" w:w="2160"/>
          </w:tcPr>
          <w:p>
            <w:pPr>
              <w:jc w:val="center"/>
            </w:pPr>
            <w:r>
              <w:rPr>
                <w:rFonts w:ascii="Times New Roman" w:hAnsi="Times New Roman"/>
                <w:b w:val="0"/>
                <w:i w:val="0"/>
                <w:sz w:val="20"/>
                <w:rFonts w:ascii="Times New Roman" w:hAnsi="Times New Roman"/>
              </w:rPr>
              <w:t>Scikit-learn</w:t>
            </w:r>
          </w:p>
        </w:tc>
        <w:tc>
          <w:tcPr>
            <w:tcW w:type="dxa" w:w="2160"/>
          </w:tcPr>
          <w:p>
            <w:pPr>
              <w:jc w:val="center"/>
            </w:pPr>
            <w:r>
              <w:rPr>
                <w:rFonts w:ascii="Times New Roman" w:hAnsi="Times New Roman"/>
                <w:b w:val="0"/>
                <w:i w:val="0"/>
                <w:sz w:val="20"/>
                <w:rFonts w:ascii="Times New Roman" w:hAnsi="Times New Roman"/>
              </w:rPr>
              <w:t>≥ 1.3.0</w:t>
            </w:r>
          </w:p>
        </w:tc>
        <w:tc>
          <w:tcPr>
            <w:tcW w:type="dxa" w:w="2160"/>
          </w:tcPr>
          <w:p>
            <w:pPr>
              <w:jc w:val="center"/>
            </w:pPr>
            <w:r>
              <w:rPr>
                <w:rFonts w:ascii="Times New Roman" w:hAnsi="Times New Roman"/>
                <w:b w:val="0"/>
                <w:i w:val="0"/>
                <w:sz w:val="20"/>
                <w:rFonts w:ascii="Times New Roman" w:hAnsi="Times New Roman"/>
              </w:rPr>
              <w:t>Attack classifier</w:t>
            </w:r>
          </w:p>
        </w:tc>
      </w:tr>
      <w:tr>
        <w:tc>
          <w:tcPr>
            <w:tcW w:type="dxa" w:w="2160"/>
          </w:tcPr>
          <w:p>
            <w:pPr>
              <w:jc w:val="left"/>
            </w:pPr>
            <w:r>
              <w:rPr>
                <w:rFonts w:ascii="Times New Roman" w:hAnsi="Times New Roman"/>
                <w:b w:val="0"/>
                <w:i w:val="0"/>
                <w:sz w:val="20"/>
                <w:rFonts w:ascii="Times New Roman" w:hAnsi="Times New Roman"/>
              </w:rPr>
              <w:t>Visualization</w:t>
            </w:r>
          </w:p>
        </w:tc>
        <w:tc>
          <w:tcPr>
            <w:tcW w:type="dxa" w:w="2160"/>
          </w:tcPr>
          <w:p>
            <w:pPr>
              <w:jc w:val="center"/>
            </w:pPr>
            <w:r>
              <w:rPr>
                <w:rFonts w:ascii="Times New Roman" w:hAnsi="Times New Roman"/>
                <w:b w:val="0"/>
                <w:i w:val="0"/>
                <w:sz w:val="20"/>
                <w:rFonts w:ascii="Times New Roman" w:hAnsi="Times New Roman"/>
              </w:rPr>
              <w:t>Matplotlib / Seaborn</w:t>
            </w:r>
          </w:p>
        </w:tc>
        <w:tc>
          <w:tcPr>
            <w:tcW w:type="dxa" w:w="2160"/>
          </w:tcPr>
          <w:p>
            <w:pPr>
              <w:jc w:val="center"/>
            </w:pPr>
            <w:r>
              <w:rPr>
                <w:rFonts w:ascii="Times New Roman" w:hAnsi="Times New Roman"/>
                <w:b w:val="0"/>
                <w:i w:val="0"/>
                <w:sz w:val="20"/>
                <w:rFonts w:ascii="Times New Roman" w:hAnsi="Times New Roman"/>
              </w:rPr>
              <w:t>≥ 3.7</w:t>
            </w:r>
          </w:p>
        </w:tc>
        <w:tc>
          <w:tcPr>
            <w:tcW w:type="dxa" w:w="2160"/>
          </w:tcPr>
          <w:p>
            <w:pPr>
              <w:jc w:val="center"/>
            </w:pPr>
            <w:r>
              <w:rPr>
                <w:rFonts w:ascii="Times New Roman" w:hAnsi="Times New Roman"/>
                <w:b w:val="0"/>
                <w:i w:val="0"/>
                <w:sz w:val="20"/>
                <w:rFonts w:ascii="Times New Roman" w:hAnsi="Times New Roman"/>
              </w:rPr>
              <w:t>Figures</w:t>
            </w:r>
          </w:p>
        </w:tc>
      </w:tr>
    </w:tbl>
    <w:p/>
    <w:p>
      <w:pPr>
        <w:pStyle w:val="Heading2"/>
        <w:jc w:val="both"/>
      </w:pPr>
      <w:r>
        <w:rPr>
          <w:b w:val="0"/>
          <w:i w:val="0"/>
        </w:rPr>
        <w:t>4.3 Dataset Preparation</w:t>
      </w:r>
    </w:p>
    <w:p>
      <w:pPr>
        <w:jc w:val="both"/>
      </w:pPr>
      <w:r>
        <w:rPr>
          <w:rFonts w:ascii="Times New Roman" w:hAnsi="Times New Roman"/>
          <w:b w:val="0"/>
          <w:i w:val="0"/>
          <w:sz w:val="22"/>
          <w:rFonts w:ascii="Times New Roman" w:hAnsi="Times New Roman"/>
        </w:rPr>
        <w:t>The MovieLens 100K dataset is used. It is split into 80% training (80,000 interactions) and 20% test (20,000 interactions) sets.</w:t>
      </w:r>
    </w:p>
    <w:p>
      <w:pPr>
        <w:jc w:val="both"/>
      </w:pPr>
      <w:r>
        <w:rPr>
          <w:rFonts w:ascii="Times New Roman" w:hAnsi="Times New Roman"/>
          <w:b w:val="0"/>
          <w:i w:val="0"/>
          <w:sz w:val="22"/>
          <w:rFonts w:ascii="Times New Roman" w:hAnsi="Times New Roman"/>
        </w:rPr>
        <w:t>To simulate realistic mobile data distributions, the training data is partitioned among K=100 clients using a Dirichlet distribution with concentration parameter α.</w:t>
      </w:r>
    </w:p>
    <w:p>
      <w:pPr>
        <w:jc w:val="both"/>
      </w:pPr>
      <w:r>
        <w:rPr>
          <w:rFonts w:ascii="Times New Roman" w:hAnsi="Times New Roman"/>
          <w:b/>
          <w:i w:val="0"/>
          <w:sz w:val="20"/>
          <w:rFonts w:ascii="Times New Roman" w:hAnsi="Times New Roman"/>
        </w:rPr>
        <w:t>Table 4: Dirichlet Concentration Parameter Configurations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Fonts w:ascii="Times New Roman" w:hAnsi="Times New Roman"/>
              </w:rPr>
              <w:t>α</w:t>
            </w:r>
          </w:p>
        </w:tc>
        <w:tc>
          <w:tcPr>
            <w:tcW w:type="dxa" w:w="2880"/>
          </w:tcPr>
          <w:p>
            <w:pPr>
              <w:jc w:val="center"/>
            </w:pPr>
            <w:r>
              <w:rPr>
                <w:rFonts w:ascii="Times New Roman" w:hAnsi="Times New Roman"/>
                <w:b/>
                <w:sz w:val="20"/>
                <w:rFonts w:ascii="Times New Roman" w:hAnsi="Times New Roman"/>
              </w:rPr>
              <w:t>Heterogeneity Level</w:t>
            </w:r>
          </w:p>
        </w:tc>
        <w:tc>
          <w:tcPr>
            <w:tcW w:type="dxa" w:w="2880"/>
          </w:tcPr>
          <w:p>
            <w:pPr>
              <w:jc w:val="center"/>
            </w:pPr>
            <w:r>
              <w:rPr>
                <w:rFonts w:ascii="Times New Roman" w:hAnsi="Times New Roman"/>
                <w:b/>
                <w:sz w:val="20"/>
                <w:rFonts w:ascii="Times New Roman" w:hAnsi="Times New Roman"/>
              </w:rPr>
              <w:t>Typical Client Profile</w:t>
            </w:r>
          </w:p>
        </w:tc>
      </w:tr>
      <w:tr>
        <w:tc>
          <w:tcPr>
            <w:tcW w:type="dxa" w:w="2880"/>
          </w:tcPr>
          <w:p>
            <w:pPr>
              <w:jc w:val="left"/>
            </w:pPr>
            <w:r>
              <w:rPr>
                <w:rFonts w:ascii="Times New Roman" w:hAnsi="Times New Roman"/>
                <w:b w:val="0"/>
                <w:i w:val="0"/>
                <w:sz w:val="20"/>
                <w:rFonts w:ascii="Times New Roman" w:hAnsi="Times New Roman"/>
              </w:rPr>
              <w:t>0.1</w:t>
            </w:r>
          </w:p>
        </w:tc>
        <w:tc>
          <w:tcPr>
            <w:tcW w:type="dxa" w:w="2880"/>
          </w:tcPr>
          <w:p>
            <w:pPr>
              <w:jc w:val="center"/>
            </w:pPr>
            <w:r>
              <w:rPr>
                <w:rFonts w:ascii="Times New Roman" w:hAnsi="Times New Roman"/>
                <w:b w:val="0"/>
                <w:i w:val="0"/>
                <w:sz w:val="20"/>
                <w:rFonts w:ascii="Times New Roman" w:hAnsi="Times New Roman"/>
              </w:rPr>
              <w:t>Highly Non-IID</w:t>
            </w:r>
          </w:p>
        </w:tc>
        <w:tc>
          <w:tcPr>
            <w:tcW w:type="dxa" w:w="2880"/>
          </w:tcPr>
          <w:p>
            <w:pPr>
              <w:jc w:val="center"/>
            </w:pPr>
            <w:r>
              <w:rPr>
                <w:rFonts w:ascii="Times New Roman" w:hAnsi="Times New Roman"/>
                <w:b w:val="0"/>
                <w:i w:val="0"/>
                <w:sz w:val="20"/>
                <w:rFonts w:ascii="Times New Roman" w:hAnsi="Times New Roman"/>
              </w:rPr>
              <w:t>Data from 1-2 users</w:t>
            </w:r>
          </w:p>
        </w:tc>
      </w:tr>
      <w:tr>
        <w:tc>
          <w:tcPr>
            <w:tcW w:type="dxa" w:w="2880"/>
          </w:tcPr>
          <w:p>
            <w:pPr>
              <w:jc w:val="left"/>
            </w:pPr>
            <w:r>
              <w:rPr>
                <w:rFonts w:ascii="Times New Roman" w:hAnsi="Times New Roman"/>
                <w:b w:val="0"/>
                <w:i w:val="0"/>
                <w:sz w:val="20"/>
                <w:rFonts w:ascii="Times New Roman" w:hAnsi="Times New Roman"/>
              </w:rPr>
              <w:t>0.5</w:t>
            </w:r>
          </w:p>
        </w:tc>
        <w:tc>
          <w:tcPr>
            <w:tcW w:type="dxa" w:w="2880"/>
          </w:tcPr>
          <w:p>
            <w:pPr>
              <w:jc w:val="center"/>
            </w:pPr>
            <w:r>
              <w:rPr>
                <w:rFonts w:ascii="Times New Roman" w:hAnsi="Times New Roman"/>
                <w:b w:val="0"/>
                <w:i w:val="0"/>
                <w:sz w:val="20"/>
                <w:rFonts w:ascii="Times New Roman" w:hAnsi="Times New Roman"/>
              </w:rPr>
              <w:t>Moderately Non-IID</w:t>
            </w:r>
          </w:p>
        </w:tc>
        <w:tc>
          <w:tcPr>
            <w:tcW w:type="dxa" w:w="2880"/>
          </w:tcPr>
          <w:p>
            <w:pPr>
              <w:jc w:val="center"/>
            </w:pPr>
            <w:r>
              <w:rPr>
                <w:rFonts w:ascii="Times New Roman" w:hAnsi="Times New Roman"/>
                <w:b w:val="0"/>
                <w:i w:val="0"/>
                <w:sz w:val="20"/>
                <w:rFonts w:ascii="Times New Roman" w:hAnsi="Times New Roman"/>
              </w:rPr>
              <w:t>Data from several users</w:t>
            </w:r>
          </w:p>
        </w:tc>
      </w:tr>
      <w:tr>
        <w:tc>
          <w:tcPr>
            <w:tcW w:type="dxa" w:w="2880"/>
          </w:tcPr>
          <w:p>
            <w:pPr>
              <w:jc w:val="left"/>
            </w:pPr>
            <w:r>
              <w:rPr>
                <w:rFonts w:ascii="Times New Roman" w:hAnsi="Times New Roman"/>
                <w:b w:val="0"/>
                <w:i w:val="0"/>
                <w:sz w:val="20"/>
                <w:rFonts w:ascii="Times New Roman" w:hAnsi="Times New Roman"/>
              </w:rPr>
              <w:t>1.0</w:t>
            </w:r>
          </w:p>
        </w:tc>
        <w:tc>
          <w:tcPr>
            <w:tcW w:type="dxa" w:w="2880"/>
          </w:tcPr>
          <w:p>
            <w:pPr>
              <w:jc w:val="center"/>
            </w:pPr>
            <w:r>
              <w:rPr>
                <w:rFonts w:ascii="Times New Roman" w:hAnsi="Times New Roman"/>
                <w:b w:val="0"/>
                <w:i w:val="0"/>
                <w:sz w:val="20"/>
                <w:rFonts w:ascii="Times New Roman" w:hAnsi="Times New Roman"/>
              </w:rPr>
              <w:t>Mildly Non-IID</w:t>
            </w:r>
          </w:p>
        </w:tc>
        <w:tc>
          <w:tcPr>
            <w:tcW w:type="dxa" w:w="2880"/>
          </w:tcPr>
          <w:p>
            <w:pPr>
              <w:jc w:val="center"/>
            </w:pPr>
            <w:r>
              <w:rPr>
                <w:rFonts w:ascii="Times New Roman" w:hAnsi="Times New Roman"/>
                <w:b w:val="0"/>
                <w:i w:val="0"/>
                <w:sz w:val="20"/>
                <w:rFonts w:ascii="Times New Roman" w:hAnsi="Times New Roman"/>
              </w:rPr>
              <w:t>Approaching IID</w:t>
            </w:r>
          </w:p>
        </w:tc>
      </w:tr>
    </w:tbl>
    <w:p/>
    <w:p>
      <w:pPr>
        <w:pStyle w:val="Heading2"/>
        <w:jc w:val="both"/>
      </w:pPr>
      <w:r>
        <w:rPr>
          <w:b w:val="0"/>
          <w:i w:val="0"/>
        </w:rPr>
        <w:t>4.4 Federated Learning Simulation</w:t>
      </w:r>
    </w:p>
    <w:p>
      <w:pPr>
        <w:jc w:val="both"/>
      </w:pPr>
      <w:r>
        <w:rPr>
          <w:rFonts w:ascii="Times New Roman" w:hAnsi="Times New Roman"/>
          <w:b w:val="0"/>
          <w:i w:val="0"/>
          <w:sz w:val="22"/>
          <w:rFonts w:ascii="Times New Roman" w:hAnsi="Times New Roman"/>
        </w:rPr>
        <w:t>The experiments are conducted using an in-memory simulation that replicates the Federated Averaging (FedAvg) protocol. In each round, every client receives the global model, performs local training, and returns updates.</w:t>
      </w:r>
    </w:p>
    <w:p>
      <w:pPr>
        <w:pStyle w:val="Heading2"/>
        <w:jc w:val="both"/>
      </w:pPr>
      <w:r>
        <w:rPr>
          <w:b w:val="0"/>
          <w:i w:val="0"/>
        </w:rPr>
        <w:t>4.7 Experiment Configurations</w:t>
      </w:r>
    </w:p>
    <w:p>
      <w:pPr>
        <w:jc w:val="both"/>
      </w:pPr>
      <w:r>
        <w:rPr>
          <w:rFonts w:ascii="Times New Roman" w:hAnsi="Times New Roman"/>
          <w:b w:val="0"/>
          <w:i w:val="0"/>
          <w:sz w:val="22"/>
          <w:rFonts w:ascii="Times New Roman" w:hAnsi="Times New Roman"/>
        </w:rPr>
        <w:t>The experimental design consists of four experiment groups, totaling 30 individual experiment runs. Each configuration is repeated with three random seeds (42, 123, 456).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Fonts w:ascii="Times New Roman" w:hAnsi="Times New Roman"/>
              </w:rPr>
              <w:t>Experiment</w:t>
            </w:r>
          </w:p>
        </w:tc>
        <w:tc>
          <w:tcPr>
            <w:tcW w:type="dxa" w:w="1440"/>
          </w:tcPr>
          <w:p>
            <w:pPr>
              <w:jc w:val="center"/>
            </w:pPr>
            <w:r>
              <w:rPr>
                <w:rFonts w:ascii="Times New Roman" w:hAnsi="Times New Roman"/>
                <w:b/>
                <w:sz w:val="20"/>
                <w:rFonts w:ascii="Times New Roman" w:hAnsi="Times New Roman"/>
              </w:rPr>
              <w:t>Clients</w:t>
            </w:r>
          </w:p>
        </w:tc>
        <w:tc>
          <w:tcPr>
            <w:tcW w:type="dxa" w:w="1440"/>
          </w:tcPr>
          <w:p>
            <w:pPr>
              <w:jc w:val="center"/>
            </w:pPr>
            <w:r>
              <w:rPr>
                <w:rFonts w:ascii="Times New Roman" w:hAnsi="Times New Roman"/>
                <w:b/>
                <w:sz w:val="20"/>
                <w:rFonts w:ascii="Times New Roman" w:hAnsi="Times New Roman"/>
              </w:rPr>
              <w:t>Rounds</w:t>
            </w:r>
          </w:p>
        </w:tc>
        <w:tc>
          <w:tcPr>
            <w:tcW w:type="dxa" w:w="1440"/>
          </w:tcPr>
          <w:p>
            <w:pPr>
              <w:jc w:val="center"/>
            </w:pPr>
            <w:r>
              <w:rPr>
                <w:rFonts w:ascii="Times New Roman" w:hAnsi="Times New Roman"/>
                <w:b/>
                <w:sz w:val="20"/>
                <w:rFonts w:ascii="Times New Roman" w:hAnsi="Times New Roman"/>
              </w:rPr>
              <w:t>ε</w:t>
            </w:r>
          </w:p>
        </w:tc>
        <w:tc>
          <w:tcPr>
            <w:tcW w:type="dxa" w:w="1440"/>
          </w:tcPr>
          <w:p>
            <w:pPr>
              <w:jc w:val="center"/>
            </w:pPr>
            <w:r>
              <w:rPr>
                <w:rFonts w:ascii="Times New Roman" w:hAnsi="Times New Roman"/>
                <w:b/>
                <w:sz w:val="20"/>
                <w:rFonts w:ascii="Times New Roman" w:hAnsi="Times New Roman"/>
              </w:rPr>
              <w:t>α</w:t>
            </w:r>
          </w:p>
        </w:tc>
        <w:tc>
          <w:tcPr>
            <w:tcW w:type="dxa" w:w="1440"/>
          </w:tcPr>
          <w:p>
            <w:pPr>
              <w:jc w:val="center"/>
            </w:pPr>
            <w:r>
              <w:rPr>
                <w:rFonts w:ascii="Times New Roman" w:hAnsi="Times New Roman"/>
                <w:b/>
                <w:sz w:val="20"/>
                <w:rFonts w:ascii="Times New Roman" w:hAnsi="Times New Roman"/>
              </w:rPr>
              <w:t>Seeds</w:t>
            </w:r>
          </w:p>
        </w:tc>
      </w:tr>
      <w:tr>
        <w:tc>
          <w:tcPr>
            <w:tcW w:type="dxa" w:w="1440"/>
          </w:tcPr>
          <w:p>
            <w:pPr>
              <w:jc w:val="left"/>
            </w:pPr>
            <w:r>
              <w:rPr>
                <w:rFonts w:ascii="Times New Roman" w:hAnsi="Times New Roman"/>
                <w:b w:val="0"/>
                <w:i w:val="0"/>
                <w:sz w:val="20"/>
                <w:rFonts w:ascii="Times New Roman" w:hAnsi="Times New Roman"/>
              </w:rPr>
              <w:t>Centralized</w:t>
            </w:r>
          </w:p>
        </w:tc>
        <w:tc>
          <w:tcPr>
            <w:tcW w:type="dxa" w:w="1440"/>
          </w:tcPr>
          <w:p>
            <w:pPr>
              <w:jc w:val="center"/>
            </w:pPr>
            <w:r>
              <w:rPr>
                <w:rFonts w:ascii="Times New Roman" w:hAnsi="Times New Roman"/>
                <w:b w:val="0"/>
                <w:i w:val="0"/>
                <w:sz w:val="20"/>
                <w:rFonts w:ascii="Times New Roman" w:hAnsi="Times New Roman"/>
              </w:rPr>
              <w:t>N/A</w:t>
            </w:r>
          </w:p>
        </w:tc>
        <w:tc>
          <w:tcPr>
            <w:tcW w:type="dxa" w:w="1440"/>
          </w:tcPr>
          <w:p>
            <w:pPr>
              <w:jc w:val="center"/>
            </w:pPr>
            <w:r>
              <w:rPr>
                <w:rFonts w:ascii="Times New Roman" w:hAnsi="Times New Roman"/>
                <w:b w:val="0"/>
                <w:i w:val="0"/>
                <w:sz w:val="20"/>
                <w:rFonts w:ascii="Times New Roman" w:hAnsi="Times New Roman"/>
              </w:rPr>
              <w:t>50</w:t>
            </w:r>
          </w:p>
        </w:tc>
        <w:tc>
          <w:tcPr>
            <w:tcW w:type="dxa" w:w="1440"/>
          </w:tcPr>
          <w:p>
            <w:pPr>
              <w:jc w:val="center"/>
            </w:pPr>
            <w:r>
              <w:rPr>
                <w:rFonts w:ascii="Times New Roman" w:hAnsi="Times New Roman"/>
                <w:b w:val="0"/>
                <w:i w:val="0"/>
                <w:sz w:val="20"/>
                <w:rFonts w:ascii="Times New Roman" w:hAnsi="Times New Roman"/>
              </w:rPr>
              <w:t>N/A</w:t>
            </w:r>
          </w:p>
        </w:tc>
        <w:tc>
          <w:tcPr>
            <w:tcW w:type="dxa" w:w="1440"/>
          </w:tcPr>
          <w:p>
            <w:pPr>
              <w:jc w:val="center"/>
            </w:pPr>
            <w:r>
              <w:rPr>
                <w:rFonts w:ascii="Times New Roman" w:hAnsi="Times New Roman"/>
                <w:b w:val="0"/>
                <w:i w:val="0"/>
                <w:sz w:val="20"/>
                <w:rFonts w:ascii="Times New Roman" w:hAnsi="Times New Roman"/>
              </w:rPr>
              <w:t>N/A</w:t>
            </w:r>
          </w:p>
        </w:tc>
        <w:tc>
          <w:tcPr>
            <w:tcW w:type="dxa" w:w="1440"/>
          </w:tcPr>
          <w:p>
            <w:pPr>
              <w:jc w:val="center"/>
            </w:pPr>
            <w:r>
              <w:rPr>
                <w:rFonts w:ascii="Times New Roman" w:hAnsi="Times New Roman"/>
                <w:b w:val="0"/>
                <w:i w:val="0"/>
                <w:sz w:val="20"/>
                <w:rFonts w:ascii="Times New Roman" w:hAnsi="Times New Roman"/>
              </w:rPr>
              <w:t>1</w:t>
            </w:r>
          </w:p>
        </w:tc>
      </w:tr>
      <w:tr>
        <w:tc>
          <w:tcPr>
            <w:tcW w:type="dxa" w:w="1440"/>
          </w:tcPr>
          <w:p>
            <w:pPr>
              <w:jc w:val="left"/>
            </w:pPr>
            <w:r>
              <w:rPr>
                <w:rFonts w:ascii="Times New Roman" w:hAnsi="Times New Roman"/>
                <w:b w:val="0"/>
                <w:i w:val="0"/>
                <w:sz w:val="20"/>
                <w:rFonts w:ascii="Times New Roman" w:hAnsi="Times New Roman"/>
              </w:rPr>
              <w:t>DP Sweep (RQ1)</w:t>
            </w:r>
          </w:p>
        </w:tc>
        <w:tc>
          <w:tcPr>
            <w:tcW w:type="dxa" w:w="1440"/>
          </w:tcPr>
          <w:p>
            <w:pPr>
              <w:jc w:val="center"/>
            </w:pPr>
            <w:r>
              <w:rPr>
                <w:rFonts w:ascii="Times New Roman" w:hAnsi="Times New Roman"/>
                <w:b w:val="0"/>
                <w:i w:val="0"/>
                <w:sz w:val="20"/>
                <w:rFonts w:ascii="Times New Roman" w:hAnsi="Times New Roman"/>
              </w:rPr>
              <w:t>100</w:t>
            </w:r>
          </w:p>
        </w:tc>
        <w:tc>
          <w:tcPr>
            <w:tcW w:type="dxa" w:w="1440"/>
          </w:tcPr>
          <w:p>
            <w:pPr>
              <w:jc w:val="center"/>
            </w:pPr>
            <w:r>
              <w:rPr>
                <w:rFonts w:ascii="Times New Roman" w:hAnsi="Times New Roman"/>
                <w:b w:val="0"/>
                <w:i w:val="0"/>
                <w:sz w:val="20"/>
                <w:rFonts w:ascii="Times New Roman" w:hAnsi="Times New Roman"/>
              </w:rPr>
              <w:t>10</w:t>
            </w:r>
          </w:p>
        </w:tc>
        <w:tc>
          <w:tcPr>
            <w:tcW w:type="dxa" w:w="1440"/>
          </w:tcPr>
          <w:p>
            <w:pPr>
              <w:jc w:val="center"/>
            </w:pPr>
            <w:r>
              <w:rPr>
                <w:rFonts w:ascii="Times New Roman" w:hAnsi="Times New Roman"/>
                <w:b w:val="0"/>
                <w:i w:val="0"/>
                <w:sz w:val="20"/>
                <w:rFonts w:ascii="Times New Roman" w:hAnsi="Times New Roman"/>
              </w:rPr>
              <w:t>{∞,8,4,2,1}</w:t>
            </w:r>
          </w:p>
        </w:tc>
        <w:tc>
          <w:tcPr>
            <w:tcW w:type="dxa" w:w="1440"/>
          </w:tcPr>
          <w:p>
            <w:pPr>
              <w:jc w:val="center"/>
            </w:pPr>
            <w:r>
              <w:rPr>
                <w:rFonts w:ascii="Times New Roman" w:hAnsi="Times New Roman"/>
                <w:b w:val="0"/>
                <w:i w:val="0"/>
                <w:sz w:val="20"/>
                <w:rFonts w:ascii="Times New Roman" w:hAnsi="Times New Roman"/>
              </w:rPr>
              <w:t>0.5</w:t>
            </w:r>
          </w:p>
        </w:tc>
        <w:tc>
          <w:tcPr>
            <w:tcW w:type="dxa" w:w="1440"/>
          </w:tcPr>
          <w:p>
            <w:pPr>
              <w:jc w:val="center"/>
            </w:pPr>
            <w:r>
              <w:rPr>
                <w:rFonts w:ascii="Times New Roman" w:hAnsi="Times New Roman"/>
                <w:b w:val="0"/>
                <w:i w:val="0"/>
                <w:sz w:val="20"/>
                <w:rFonts w:ascii="Times New Roman" w:hAnsi="Times New Roman"/>
              </w:rPr>
              <w:t>3</w:t>
            </w:r>
          </w:p>
        </w:tc>
      </w:tr>
      <w:tr>
        <w:tc>
          <w:tcPr>
            <w:tcW w:type="dxa" w:w="1440"/>
          </w:tcPr>
          <w:p>
            <w:pPr>
              <w:jc w:val="left"/>
            </w:pPr>
            <w:r>
              <w:rPr>
                <w:rFonts w:ascii="Times New Roman" w:hAnsi="Times New Roman"/>
                <w:b w:val="0"/>
                <w:i w:val="0"/>
                <w:sz w:val="20"/>
                <w:rFonts w:ascii="Times New Roman" w:hAnsi="Times New Roman"/>
              </w:rPr>
              <w:t>Attacks (RQ2)</w:t>
            </w:r>
          </w:p>
        </w:tc>
        <w:tc>
          <w:tcPr>
            <w:tcW w:type="dxa" w:w="1440"/>
          </w:tcPr>
          <w:p>
            <w:pPr>
              <w:jc w:val="center"/>
            </w:pPr>
            <w:r>
              <w:rPr>
                <w:rFonts w:ascii="Times New Roman" w:hAnsi="Times New Roman"/>
                <w:b w:val="0"/>
                <w:i w:val="0"/>
                <w:sz w:val="20"/>
                <w:rFonts w:ascii="Times New Roman" w:hAnsi="Times New Roman"/>
              </w:rPr>
              <w:t>100</w:t>
            </w:r>
          </w:p>
        </w:tc>
        <w:tc>
          <w:tcPr>
            <w:tcW w:type="dxa" w:w="1440"/>
          </w:tcPr>
          <w:p>
            <w:pPr>
              <w:jc w:val="center"/>
            </w:pPr>
            <w:r>
              <w:rPr>
                <w:rFonts w:ascii="Times New Roman" w:hAnsi="Times New Roman"/>
                <w:b w:val="0"/>
                <w:i w:val="0"/>
                <w:sz w:val="20"/>
                <w:rFonts w:ascii="Times New Roman" w:hAnsi="Times New Roman"/>
              </w:rPr>
              <w:t>10</w:t>
            </w:r>
          </w:p>
        </w:tc>
        <w:tc>
          <w:tcPr>
            <w:tcW w:type="dxa" w:w="1440"/>
          </w:tcPr>
          <w:p>
            <w:pPr>
              <w:jc w:val="center"/>
            </w:pPr>
            <w:r>
              <w:rPr>
                <w:rFonts w:ascii="Times New Roman" w:hAnsi="Times New Roman"/>
                <w:b w:val="0"/>
                <w:i w:val="0"/>
                <w:sz w:val="20"/>
                <w:rFonts w:ascii="Times New Roman" w:hAnsi="Times New Roman"/>
              </w:rPr>
              <w:t>{∞,8,4,2,1}</w:t>
            </w:r>
          </w:p>
        </w:tc>
        <w:tc>
          <w:tcPr>
            <w:tcW w:type="dxa" w:w="1440"/>
          </w:tcPr>
          <w:p>
            <w:pPr>
              <w:jc w:val="center"/>
            </w:pPr>
            <w:r>
              <w:rPr>
                <w:rFonts w:ascii="Times New Roman" w:hAnsi="Times New Roman"/>
                <w:b w:val="0"/>
                <w:i w:val="0"/>
                <w:sz w:val="20"/>
                <w:rFonts w:ascii="Times New Roman" w:hAnsi="Times New Roman"/>
              </w:rPr>
              <w:t>0.5</w:t>
            </w:r>
          </w:p>
        </w:tc>
        <w:tc>
          <w:tcPr>
            <w:tcW w:type="dxa" w:w="1440"/>
          </w:tcPr>
          <w:p>
            <w:pPr>
              <w:jc w:val="center"/>
            </w:pPr>
            <w:r>
              <w:rPr>
                <w:rFonts w:ascii="Times New Roman" w:hAnsi="Times New Roman"/>
                <w:b w:val="0"/>
                <w:i w:val="0"/>
                <w:sz w:val="20"/>
                <w:rFonts w:ascii="Times New Roman" w:hAnsi="Times New Roman"/>
              </w:rPr>
              <w:t>1</w:t>
            </w:r>
          </w:p>
        </w:tc>
      </w:tr>
      <w:tr>
        <w:tc>
          <w:tcPr>
            <w:tcW w:type="dxa" w:w="1440"/>
          </w:tcPr>
          <w:p>
            <w:pPr>
              <w:jc w:val="left"/>
            </w:pPr>
            <w:r>
              <w:rPr>
                <w:rFonts w:ascii="Times New Roman" w:hAnsi="Times New Roman"/>
                <w:b w:val="0"/>
                <w:i w:val="0"/>
                <w:sz w:val="20"/>
                <w:rFonts w:ascii="Times New Roman" w:hAnsi="Times New Roman"/>
              </w:rPr>
              <w:t>Heterogeneity (RQ3)</w:t>
            </w:r>
          </w:p>
        </w:tc>
        <w:tc>
          <w:tcPr>
            <w:tcW w:type="dxa" w:w="1440"/>
          </w:tcPr>
          <w:p>
            <w:pPr>
              <w:jc w:val="center"/>
            </w:pPr>
            <w:r>
              <w:rPr>
                <w:rFonts w:ascii="Times New Roman" w:hAnsi="Times New Roman"/>
                <w:b w:val="0"/>
                <w:i w:val="0"/>
                <w:sz w:val="20"/>
                <w:rFonts w:ascii="Times New Roman" w:hAnsi="Times New Roman"/>
              </w:rPr>
              <w:t>100</w:t>
            </w:r>
          </w:p>
        </w:tc>
        <w:tc>
          <w:tcPr>
            <w:tcW w:type="dxa" w:w="1440"/>
          </w:tcPr>
          <w:p>
            <w:pPr>
              <w:jc w:val="center"/>
            </w:pPr>
            <w:r>
              <w:rPr>
                <w:rFonts w:ascii="Times New Roman" w:hAnsi="Times New Roman"/>
                <w:b w:val="0"/>
                <w:i w:val="0"/>
                <w:sz w:val="20"/>
                <w:rFonts w:ascii="Times New Roman" w:hAnsi="Times New Roman"/>
              </w:rPr>
              <w:t>10</w:t>
            </w:r>
          </w:p>
        </w:tc>
        <w:tc>
          <w:tcPr>
            <w:tcW w:type="dxa" w:w="1440"/>
          </w:tcPr>
          <w:p>
            <w:pPr>
              <w:jc w:val="center"/>
            </w:pPr>
            <w:r>
              <w:rPr>
                <w:rFonts w:ascii="Times New Roman" w:hAnsi="Times New Roman"/>
                <w:b w:val="0"/>
                <w:i w:val="0"/>
                <w:sz w:val="20"/>
                <w:rFonts w:ascii="Times New Roman" w:hAnsi="Times New Roman"/>
              </w:rPr>
              <w:t>∞</w:t>
            </w:r>
          </w:p>
        </w:tc>
        <w:tc>
          <w:tcPr>
            <w:tcW w:type="dxa" w:w="1440"/>
          </w:tcPr>
          <w:p>
            <w:pPr>
              <w:jc w:val="center"/>
            </w:pPr>
            <w:r>
              <w:rPr>
                <w:rFonts w:ascii="Times New Roman" w:hAnsi="Times New Roman"/>
                <w:b w:val="0"/>
                <w:i w:val="0"/>
                <w:sz w:val="20"/>
                <w:rFonts w:ascii="Times New Roman" w:hAnsi="Times New Roman"/>
              </w:rPr>
              <w:t>{0.1,0.5,1.0}</w:t>
            </w:r>
          </w:p>
        </w:tc>
        <w:tc>
          <w:tcPr>
            <w:tcW w:type="dxa" w:w="1440"/>
          </w:tcPr>
          <w:p>
            <w:pPr>
              <w:jc w:val="center"/>
            </w:pPr>
            <w:r>
              <w:rPr>
                <w:rFonts w:ascii="Times New Roman" w:hAnsi="Times New Roman"/>
                <w:b w:val="0"/>
                <w:i w:val="0"/>
                <w:sz w:val="20"/>
                <w:rFonts w:ascii="Times New Roman" w:hAnsi="Times New Roman"/>
              </w:rPr>
              <w:t>3</w:t>
            </w:r>
          </w:p>
        </w:tc>
      </w:tr>
    </w:tbl>
    <w:p/>
    <w:p>
      <w:r>
        <w:br w:type="page"/>
      </w:r>
    </w:p>
    <w:p>
      <w:pPr>
        <w:pStyle w:val="Title"/>
      </w:pPr>
      <w:r>
        <w:t>5. Results</w:t>
      </w:r>
    </w:p>
    <w:p>
      <w:pPr>
        <w:pStyle w:val="Heading2"/>
        <w:jc w:val="both"/>
      </w:pPr>
      <w:r>
        <w:rPr>
          <w:b w:val="0"/>
          <w:i w:val="0"/>
        </w:rPr>
        <w:t>5.1 Overview</w:t>
      </w:r>
    </w:p>
    <w:p>
      <w:pPr>
        <w:jc w:val="both"/>
      </w:pPr>
      <w:r>
        <w:rPr>
          <w:rFonts w:ascii="Times New Roman" w:hAnsi="Times New Roman"/>
          <w:b w:val="0"/>
          <w:i w:val="0"/>
          <w:sz w:val="22"/>
          <w:rFonts w:ascii="Times New Roman" w:hAnsi="Times New Roman"/>
        </w:rPr>
        <w:t>This chapter presents the results of the 30 experiments conducted to evaluate the accuracy–privacy trade-offs. The results are organized around the three research questions.</w:t>
      </w:r>
    </w:p>
    <w:p>
      <w:pPr>
        <w:pStyle w:val="Heading2"/>
        <w:jc w:val="both"/>
      </w:pPr>
      <w:r>
        <w:rPr>
          <w:b w:val="0"/>
          <w:i w:val="0"/>
        </w:rPr>
        <w:t>5.2 Centralized Baseline</w:t>
      </w:r>
    </w:p>
    <w:p>
      <w:pPr>
        <w:jc w:val="both"/>
      </w:pPr>
      <w:r>
        <w:rPr>
          <w:rFonts w:ascii="Times New Roman" w:hAnsi="Times New Roman"/>
          <w:b w:val="0"/>
          <w:i w:val="0"/>
          <w:sz w:val="22"/>
          <w:rFonts w:ascii="Times New Roman" w:hAnsi="Times New Roman"/>
        </w:rPr>
        <w:t>The centralized model serves as the upper bound for recommendation accuracy.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Fonts w:ascii="Times New Roman" w:hAnsi="Times New Roman"/>
              </w:rPr>
              <w:t>Metric</w:t>
            </w:r>
          </w:p>
        </w:tc>
        <w:tc>
          <w:tcPr>
            <w:tcW w:type="dxa" w:w="4320"/>
          </w:tcPr>
          <w:p>
            <w:pPr>
              <w:jc w:val="center"/>
            </w:pPr>
            <w:r>
              <w:rPr>
                <w:rFonts w:ascii="Times New Roman" w:hAnsi="Times New Roman"/>
                <w:b/>
                <w:sz w:val="20"/>
                <w:rFonts w:ascii="Times New Roman" w:hAnsi="Times New Roman"/>
              </w:rPr>
              <w:t>Value</w:t>
            </w:r>
          </w:p>
        </w:tc>
      </w:tr>
      <w:tr>
        <w:tc>
          <w:tcPr>
            <w:tcW w:type="dxa" w:w="4320"/>
          </w:tcPr>
          <w:p>
            <w:pPr>
              <w:jc w:val="left"/>
            </w:pPr>
            <w:r>
              <w:rPr>
                <w:rFonts w:ascii="Times New Roman" w:hAnsi="Times New Roman"/>
                <w:b w:val="0"/>
                <w:i w:val="0"/>
                <w:sz w:val="20"/>
                <w:rFonts w:ascii="Times New Roman" w:hAnsi="Times New Roman"/>
              </w:rPr>
              <w:t>NDCG@10</w:t>
            </w:r>
          </w:p>
        </w:tc>
        <w:tc>
          <w:tcPr>
            <w:tcW w:type="dxa" w:w="4320"/>
          </w:tcPr>
          <w:p>
            <w:pPr>
              <w:jc w:val="center"/>
            </w:pPr>
            <w:r>
              <w:rPr>
                <w:rFonts w:ascii="Times New Roman" w:hAnsi="Times New Roman"/>
                <w:b w:val="0"/>
                <w:i w:val="0"/>
                <w:sz w:val="20"/>
                <w:rFonts w:ascii="Times New Roman" w:hAnsi="Times New Roman"/>
              </w:rPr>
              <w:t>0.2250</w:t>
            </w:r>
          </w:p>
        </w:tc>
      </w:tr>
      <w:tr>
        <w:tc>
          <w:tcPr>
            <w:tcW w:type="dxa" w:w="4320"/>
          </w:tcPr>
          <w:p>
            <w:pPr>
              <w:jc w:val="left"/>
            </w:pPr>
            <w:r>
              <w:rPr>
                <w:rFonts w:ascii="Times New Roman" w:hAnsi="Times New Roman"/>
                <w:b w:val="0"/>
                <w:i w:val="0"/>
                <w:sz w:val="20"/>
                <w:rFonts w:ascii="Times New Roman" w:hAnsi="Times New Roman"/>
              </w:rPr>
              <w:t>Hit@10</w:t>
            </w:r>
          </w:p>
        </w:tc>
        <w:tc>
          <w:tcPr>
            <w:tcW w:type="dxa" w:w="4320"/>
          </w:tcPr>
          <w:p>
            <w:pPr>
              <w:jc w:val="center"/>
            </w:pPr>
            <w:r>
              <w:rPr>
                <w:rFonts w:ascii="Times New Roman" w:hAnsi="Times New Roman"/>
                <w:b w:val="0"/>
                <w:i w:val="0"/>
                <w:sz w:val="20"/>
                <w:rFonts w:ascii="Times New Roman" w:hAnsi="Times New Roman"/>
              </w:rPr>
              <w:t>0.3800</w:t>
            </w:r>
          </w:p>
        </w:tc>
      </w:tr>
      <w:tr>
        <w:tc>
          <w:tcPr>
            <w:tcW w:type="dxa" w:w="4320"/>
          </w:tcPr>
          <w:p>
            <w:pPr>
              <w:jc w:val="left"/>
            </w:pPr>
            <w:r>
              <w:rPr>
                <w:rFonts w:ascii="Times New Roman" w:hAnsi="Times New Roman"/>
                <w:b w:val="0"/>
                <w:i w:val="0"/>
                <w:sz w:val="20"/>
                <w:rFonts w:ascii="Times New Roman" w:hAnsi="Times New Roman"/>
              </w:rPr>
              <w:t>MSE</w:t>
            </w:r>
          </w:p>
        </w:tc>
        <w:tc>
          <w:tcPr>
            <w:tcW w:type="dxa" w:w="4320"/>
          </w:tcPr>
          <w:p>
            <w:pPr>
              <w:jc w:val="center"/>
            </w:pPr>
            <w:r>
              <w:rPr>
                <w:rFonts w:ascii="Times New Roman" w:hAnsi="Times New Roman"/>
                <w:b w:val="0"/>
                <w:i w:val="0"/>
                <w:sz w:val="20"/>
                <w:rFonts w:ascii="Times New Roman" w:hAnsi="Times New Roman"/>
              </w:rPr>
              <w:t>2.045</w:t>
            </w:r>
          </w:p>
        </w:tc>
      </w:tr>
      <w:tr>
        <w:tc>
          <w:tcPr>
            <w:tcW w:type="dxa" w:w="4320"/>
          </w:tcPr>
          <w:p>
            <w:pPr>
              <w:jc w:val="left"/>
            </w:pPr>
            <w:r>
              <w:rPr>
                <w:rFonts w:ascii="Times New Roman" w:hAnsi="Times New Roman"/>
                <w:b w:val="0"/>
                <w:i w:val="0"/>
                <w:sz w:val="20"/>
                <w:rFonts w:ascii="Times New Roman" w:hAnsi="Times New Roman"/>
              </w:rPr>
              <w:t>MAE</w:t>
            </w:r>
          </w:p>
        </w:tc>
        <w:tc>
          <w:tcPr>
            <w:tcW w:type="dxa" w:w="4320"/>
          </w:tcPr>
          <w:p>
            <w:pPr>
              <w:jc w:val="center"/>
            </w:pPr>
            <w:r>
              <w:rPr>
                <w:rFonts w:ascii="Times New Roman" w:hAnsi="Times New Roman"/>
                <w:b w:val="0"/>
                <w:i w:val="0"/>
                <w:sz w:val="20"/>
                <w:rFonts w:ascii="Times New Roman" w:hAnsi="Times New Roman"/>
              </w:rPr>
              <w:t>1.106</w:t>
            </w:r>
          </w:p>
        </w:tc>
      </w:tr>
    </w:tbl>
    <w:p/>
    <w:p>
      <w:pPr>
        <w:pStyle w:val="Heading2"/>
        <w:jc w:val="both"/>
      </w:pPr>
      <w:r>
        <w:rPr>
          <w:b w:val="0"/>
          <w:i w:val="0"/>
        </w:rPr>
        <w:t>5.3 RQ1: Impact of Differential Privacy</w:t>
      </w:r>
    </w:p>
    <w:p>
      <w:pPr>
        <w:jc w:val="both"/>
      </w:pPr>
      <w:r>
        <w:rPr>
          <w:rFonts w:ascii="Times New Roman" w:hAnsi="Times New Roman"/>
          <w:b w:val="0"/>
          <w:i w:val="0"/>
          <w:sz w:val="22"/>
          <w:rFonts w:ascii="Times New Roman" w:hAnsi="Times New Roman"/>
        </w:rPr>
        <w:t>Table 9 presents the recommendation quality metrics across all five DP budget configurations.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Fonts w:ascii="Times New Roman" w:hAnsi="Times New Roman"/>
              </w:rPr>
              <w:t>ε</w:t>
            </w:r>
          </w:p>
        </w:tc>
        <w:tc>
          <w:tcPr>
            <w:tcW w:type="dxa" w:w="2880"/>
          </w:tcPr>
          <w:p>
            <w:pPr>
              <w:jc w:val="center"/>
            </w:pPr>
            <w:r>
              <w:rPr>
                <w:rFonts w:ascii="Times New Roman" w:hAnsi="Times New Roman"/>
                <w:b/>
                <w:sz w:val="20"/>
                <w:rFonts w:ascii="Times New Roman" w:hAnsi="Times New Roman"/>
              </w:rPr>
              <w:t>NDCG@10</w:t>
            </w:r>
          </w:p>
        </w:tc>
        <w:tc>
          <w:tcPr>
            <w:tcW w:type="dxa" w:w="2880"/>
          </w:tcPr>
          <w:p>
            <w:pPr>
              <w:jc w:val="center"/>
            </w:pPr>
            <w:r>
              <w:rPr>
                <w:rFonts w:ascii="Times New Roman" w:hAnsi="Times New Roman"/>
                <w:b/>
                <w:sz w:val="20"/>
                <w:rFonts w:ascii="Times New Roman" w:hAnsi="Times New Roman"/>
              </w:rPr>
              <w:t>Hit@10</w:t>
            </w:r>
          </w:p>
        </w:tc>
      </w:tr>
      <w:tr>
        <w:tc>
          <w:tcPr>
            <w:tcW w:type="dxa" w:w="2880"/>
          </w:tcPr>
          <w:p>
            <w:pPr>
              <w:jc w:val="left"/>
            </w:pPr>
            <w:r>
              <w:rPr>
                <w:rFonts w:ascii="Times New Roman" w:hAnsi="Times New Roman"/>
                <w:b w:val="0"/>
                <w:i w:val="0"/>
                <w:sz w:val="20"/>
                <w:rFonts w:ascii="Times New Roman" w:hAnsi="Times New Roman"/>
              </w:rPr>
              <w:t>∞ (No DP)</w:t>
            </w:r>
          </w:p>
        </w:tc>
        <w:tc>
          <w:tcPr>
            <w:tcW w:type="dxa" w:w="2880"/>
          </w:tcPr>
          <w:p>
            <w:pPr>
              <w:jc w:val="center"/>
            </w:pPr>
            <w:r>
              <w:rPr>
                <w:rFonts w:ascii="Times New Roman" w:hAnsi="Times New Roman"/>
                <w:b w:val="0"/>
                <w:i w:val="0"/>
                <w:sz w:val="20"/>
                <w:rFonts w:ascii="Times New Roman" w:hAnsi="Times New Roman"/>
              </w:rPr>
              <w:t>0.0539 ± 0.011</w:t>
            </w:r>
          </w:p>
        </w:tc>
        <w:tc>
          <w:tcPr>
            <w:tcW w:type="dxa" w:w="2880"/>
          </w:tcPr>
          <w:p>
            <w:pPr>
              <w:jc w:val="center"/>
            </w:pPr>
            <w:r>
              <w:rPr>
                <w:rFonts w:ascii="Times New Roman" w:hAnsi="Times New Roman"/>
                <w:b w:val="0"/>
                <w:i w:val="0"/>
                <w:sz w:val="20"/>
                <w:rFonts w:ascii="Times New Roman" w:hAnsi="Times New Roman"/>
              </w:rPr>
              <w:t>0.0633 ± 0.021</w:t>
            </w:r>
          </w:p>
        </w:tc>
      </w:tr>
      <w:tr>
        <w:tc>
          <w:tcPr>
            <w:tcW w:type="dxa" w:w="2880"/>
          </w:tcPr>
          <w:p>
            <w:pPr>
              <w:jc w:val="left"/>
            </w:pPr>
            <w:r>
              <w:rPr>
                <w:rFonts w:ascii="Times New Roman" w:hAnsi="Times New Roman"/>
                <w:b w:val="0"/>
                <w:i w:val="0"/>
                <w:sz w:val="20"/>
                <w:rFonts w:ascii="Times New Roman" w:hAnsi="Times New Roman"/>
              </w:rPr>
              <w:t>8</w:t>
            </w:r>
          </w:p>
        </w:tc>
        <w:tc>
          <w:tcPr>
            <w:tcW w:type="dxa" w:w="2880"/>
          </w:tcPr>
          <w:p>
            <w:pPr>
              <w:jc w:val="center"/>
            </w:pPr>
            <w:r>
              <w:rPr>
                <w:rFonts w:ascii="Times New Roman" w:hAnsi="Times New Roman"/>
                <w:b w:val="0"/>
                <w:i w:val="0"/>
                <w:sz w:val="20"/>
                <w:rFonts w:ascii="Times New Roman" w:hAnsi="Times New Roman"/>
              </w:rPr>
              <w:t>0.0534 ± 0.013</w:t>
            </w:r>
          </w:p>
        </w:tc>
        <w:tc>
          <w:tcPr>
            <w:tcW w:type="dxa" w:w="2880"/>
          </w:tcPr>
          <w:p>
            <w:pPr>
              <w:jc w:val="center"/>
            </w:pPr>
            <w:r>
              <w:rPr>
                <w:rFonts w:ascii="Times New Roman" w:hAnsi="Times New Roman"/>
                <w:b w:val="0"/>
                <w:i w:val="0"/>
                <w:sz w:val="20"/>
                <w:rFonts w:ascii="Times New Roman" w:hAnsi="Times New Roman"/>
              </w:rPr>
              <w:t>0.0600 ± 0.008</w:t>
            </w:r>
          </w:p>
        </w:tc>
      </w:tr>
      <w:tr>
        <w:tc>
          <w:tcPr>
            <w:tcW w:type="dxa" w:w="2880"/>
          </w:tcPr>
          <w:p>
            <w:pPr>
              <w:jc w:val="left"/>
            </w:pPr>
            <w:r>
              <w:rPr>
                <w:rFonts w:ascii="Times New Roman" w:hAnsi="Times New Roman"/>
                <w:b w:val="0"/>
                <w:i w:val="0"/>
                <w:sz w:val="20"/>
                <w:rFonts w:ascii="Times New Roman" w:hAnsi="Times New Roman"/>
              </w:rPr>
              <w:t>4</w:t>
            </w:r>
          </w:p>
        </w:tc>
        <w:tc>
          <w:tcPr>
            <w:tcW w:type="dxa" w:w="2880"/>
          </w:tcPr>
          <w:p>
            <w:pPr>
              <w:jc w:val="center"/>
            </w:pPr>
            <w:r>
              <w:rPr>
                <w:rFonts w:ascii="Times New Roman" w:hAnsi="Times New Roman"/>
                <w:b w:val="0"/>
                <w:i w:val="0"/>
                <w:sz w:val="20"/>
                <w:rFonts w:ascii="Times New Roman" w:hAnsi="Times New Roman"/>
              </w:rPr>
              <w:t>0.0479 ± 0.009</w:t>
            </w:r>
          </w:p>
        </w:tc>
        <w:tc>
          <w:tcPr>
            <w:tcW w:type="dxa" w:w="2880"/>
          </w:tcPr>
          <w:p>
            <w:pPr>
              <w:jc w:val="center"/>
            </w:pPr>
            <w:r>
              <w:rPr>
                <w:rFonts w:ascii="Times New Roman" w:hAnsi="Times New Roman"/>
                <w:b w:val="0"/>
                <w:i w:val="0"/>
                <w:sz w:val="20"/>
                <w:rFonts w:ascii="Times New Roman" w:hAnsi="Times New Roman"/>
              </w:rPr>
              <w:t>0.0600 ± 0.008</w:t>
            </w:r>
          </w:p>
        </w:tc>
      </w:tr>
      <w:tr>
        <w:tc>
          <w:tcPr>
            <w:tcW w:type="dxa" w:w="2880"/>
          </w:tcPr>
          <w:p>
            <w:pPr>
              <w:jc w:val="left"/>
            </w:pPr>
            <w:r>
              <w:rPr>
                <w:rFonts w:ascii="Times New Roman" w:hAnsi="Times New Roman"/>
                <w:b w:val="0"/>
                <w:i w:val="0"/>
                <w:sz w:val="20"/>
                <w:rFonts w:ascii="Times New Roman" w:hAnsi="Times New Roman"/>
              </w:rPr>
              <w:t>2</w:t>
            </w:r>
          </w:p>
        </w:tc>
        <w:tc>
          <w:tcPr>
            <w:tcW w:type="dxa" w:w="2880"/>
          </w:tcPr>
          <w:p>
            <w:pPr>
              <w:jc w:val="center"/>
            </w:pPr>
            <w:r>
              <w:rPr>
                <w:rFonts w:ascii="Times New Roman" w:hAnsi="Times New Roman"/>
                <w:b w:val="0"/>
                <w:i w:val="0"/>
                <w:sz w:val="20"/>
                <w:rFonts w:ascii="Times New Roman" w:hAnsi="Times New Roman"/>
              </w:rPr>
              <w:t>0.0456 ± 0.010</w:t>
            </w:r>
          </w:p>
        </w:tc>
        <w:tc>
          <w:tcPr>
            <w:tcW w:type="dxa" w:w="2880"/>
          </w:tcPr>
          <w:p>
            <w:pPr>
              <w:jc w:val="center"/>
            </w:pPr>
            <w:r>
              <w:rPr>
                <w:rFonts w:ascii="Times New Roman" w:hAnsi="Times New Roman"/>
                <w:b w:val="0"/>
                <w:i w:val="0"/>
                <w:sz w:val="20"/>
                <w:rFonts w:ascii="Times New Roman" w:hAnsi="Times New Roman"/>
              </w:rPr>
              <w:t>0.0567 ± 0.009</w:t>
            </w:r>
          </w:p>
        </w:tc>
      </w:tr>
      <w:tr>
        <w:tc>
          <w:tcPr>
            <w:tcW w:type="dxa" w:w="2880"/>
          </w:tcPr>
          <w:p>
            <w:pPr>
              <w:jc w:val="left"/>
            </w:pPr>
            <w:r>
              <w:rPr>
                <w:rFonts w:ascii="Times New Roman" w:hAnsi="Times New Roman"/>
                <w:b w:val="0"/>
                <w:i w:val="0"/>
                <w:sz w:val="20"/>
                <w:rFonts w:ascii="Times New Roman" w:hAnsi="Times New Roman"/>
              </w:rPr>
              <w:t>1</w:t>
            </w:r>
          </w:p>
        </w:tc>
        <w:tc>
          <w:tcPr>
            <w:tcW w:type="dxa" w:w="2880"/>
          </w:tcPr>
          <w:p>
            <w:pPr>
              <w:jc w:val="center"/>
            </w:pPr>
            <w:r>
              <w:rPr>
                <w:rFonts w:ascii="Times New Roman" w:hAnsi="Times New Roman"/>
                <w:b w:val="0"/>
                <w:i w:val="0"/>
                <w:sz w:val="20"/>
                <w:rFonts w:ascii="Times New Roman" w:hAnsi="Times New Roman"/>
              </w:rPr>
              <w:t>0.0467 ± 0.012</w:t>
            </w:r>
          </w:p>
        </w:tc>
        <w:tc>
          <w:tcPr>
            <w:tcW w:type="dxa" w:w="2880"/>
          </w:tcPr>
          <w:p>
            <w:pPr>
              <w:jc w:val="center"/>
            </w:pPr>
            <w:r>
              <w:rPr>
                <w:rFonts w:ascii="Times New Roman" w:hAnsi="Times New Roman"/>
                <w:b w:val="0"/>
                <w:i w:val="0"/>
                <w:sz w:val="20"/>
                <w:rFonts w:ascii="Times New Roman" w:hAnsi="Times New Roman"/>
              </w:rPr>
              <w:t>0.0533 ± 0.005</w:t>
            </w:r>
          </w:p>
        </w:tc>
      </w:tr>
    </w:tbl>
    <w:p/>
    <w:p>
      <w:pPr>
        <w:jc w:val="center"/>
      </w:pPr>
      <w:r>
        <w:drawing>
          <wp:inline xmlns:a="http://schemas.openxmlformats.org/drawingml/2006/main" xmlns:pic="http://schemas.openxmlformats.org/drawingml/2006/picture">
            <wp:extent cx="5486400" cy="2318681"/>
            <wp:docPr id="1" name="Picture 1"/>
            <wp:cNvGraphicFramePr>
              <a:graphicFrameLocks noChangeAspect="1"/>
            </wp:cNvGraphicFramePr>
            <a:graphic>
              <a:graphicData uri="http://schemas.openxmlformats.org/drawingml/2006/picture">
                <pic:pic>
                  <pic:nvPicPr>
                    <pic:cNvPr id="0" name="accuracy_vs_epsilon.png"/>
                    <pic:cNvPicPr/>
                  </pic:nvPicPr>
                  <pic:blipFill>
                    <a:blip r:embed="rId9"/>
                    <a:stretch>
                      <a:fillRect/>
                    </a:stretch>
                  </pic:blipFill>
                  <pic:spPr>
                    <a:xfrm>
                      <a:off x="0" y="0"/>
                      <a:ext cx="5486400" cy="2318681"/>
                    </a:xfrm>
                    <a:prstGeom prst="rect"/>
                  </pic:spPr>
                </pic:pic>
              </a:graphicData>
            </a:graphic>
          </wp:inline>
        </w:drawing>
      </w:r>
    </w:p>
    <w:p>
      <w:pPr>
        <w:pStyle w:val="Caption"/>
        <w:jc w:val="center"/>
      </w:pPr>
      <w:r>
        <w:rPr>
          <w:rFonts w:ascii="Times New Roman" w:hAnsi="Times New Roman"/>
          <w:i/>
          <w:sz w:val="20"/>
          <w:rFonts w:ascii="Times New Roman" w:hAnsi="Times New Roman"/>
        </w:rPr>
        <w:t>Figure 1: NDCG@10 and Hit@10 as a function of DP budget (ε).</w:t>
      </w:r>
    </w:p>
    <w:p>
      <w:pPr>
        <w:jc w:val="both"/>
      </w:pPr>
      <w:r>
        <w:rPr>
          <w:rFonts w:ascii="Times New Roman" w:hAnsi="Times New Roman"/>
          <w:b w:val="0"/>
          <w:i w:val="0"/>
          <w:sz w:val="22"/>
          <w:rFonts w:ascii="Times New Roman" w:hAnsi="Times New Roman"/>
        </w:rPr>
        <w:t>Figure 1 illustrates the substantial gap between the centralized baseline and all federated configurations. Even without DP, the federated model achieves only NDCG@10 = 0.054, representing a 76% degradation from the centralized baseline.</w:t>
      </w:r>
    </w:p>
    <w:p>
      <w:pPr>
        <w:jc w:val="center"/>
      </w:pPr>
      <w:r>
        <w:drawing>
          <wp:inline xmlns:a="http://schemas.openxmlformats.org/drawingml/2006/main" xmlns:pic="http://schemas.openxmlformats.org/drawingml/2006/picture">
            <wp:extent cx="5486400" cy="3261381"/>
            <wp:docPr id="2" name="Picture 2"/>
            <wp:cNvGraphicFramePr>
              <a:graphicFrameLocks noChangeAspect="1"/>
            </wp:cNvGraphicFramePr>
            <a:graphic>
              <a:graphicData uri="http://schemas.openxmlformats.org/drawingml/2006/picture">
                <pic:pic>
                  <pic:nvPicPr>
                    <pic:cNvPr id="0" name="accuracy_loss_vs_epsilon.png"/>
                    <pic:cNvPicPr/>
                  </pic:nvPicPr>
                  <pic:blipFill>
                    <a:blip r:embed="rId10"/>
                    <a:stretch>
                      <a:fillRect/>
                    </a:stretch>
                  </pic:blipFill>
                  <pic:spPr>
                    <a:xfrm>
                      <a:off x="0" y="0"/>
                      <a:ext cx="5486400" cy="3261381"/>
                    </a:xfrm>
                    <a:prstGeom prst="rect"/>
                  </pic:spPr>
                </pic:pic>
              </a:graphicData>
            </a:graphic>
          </wp:inline>
        </w:drawing>
      </w:r>
    </w:p>
    <w:p>
      <w:pPr>
        <w:pStyle w:val="Caption"/>
        <w:jc w:val="center"/>
      </w:pPr>
      <w:r>
        <w:rPr>
          <w:rFonts w:ascii="Times New Roman" w:hAnsi="Times New Roman"/>
          <w:i/>
          <w:sz w:val="20"/>
          <w:rFonts w:ascii="Times New Roman" w:hAnsi="Times New Roman"/>
        </w:rPr>
        <w:t>Figure 2: Relative accuracy loss (%) vs. DP budget (ε).</w:t>
      </w:r>
    </w:p>
    <w:p>
      <w:pPr>
        <w:pStyle w:val="Heading3"/>
        <w:jc w:val="both"/>
      </w:pPr>
      <w:r>
        <w:rPr>
          <w:b w:val="0"/>
          <w:i w:val="0"/>
        </w:rPr>
        <w:t>5.3.4 Training Convergence</w:t>
      </w:r>
    </w:p>
    <w:p>
      <w:pPr>
        <w:jc w:val="center"/>
      </w:pPr>
      <w:r>
        <w:drawing>
          <wp:inline xmlns:a="http://schemas.openxmlformats.org/drawingml/2006/main" xmlns:pic="http://schemas.openxmlformats.org/drawingml/2006/picture">
            <wp:extent cx="5486400" cy="2318681"/>
            <wp:docPr id="3" name="Picture 3"/>
            <wp:cNvGraphicFramePr>
              <a:graphicFrameLocks noChangeAspect="1"/>
            </wp:cNvGraphicFramePr>
            <a:graphic>
              <a:graphicData uri="http://schemas.openxmlformats.org/drawingml/2006/picture">
                <pic:pic>
                  <pic:nvPicPr>
                    <pic:cNvPr id="0" name="convergence.png"/>
                    <pic:cNvPicPr/>
                  </pic:nvPicPr>
                  <pic:blipFill>
                    <a:blip r:embed="rId11"/>
                    <a:stretch>
                      <a:fillRect/>
                    </a:stretch>
                  </pic:blipFill>
                  <pic:spPr>
                    <a:xfrm>
                      <a:off x="0" y="0"/>
                      <a:ext cx="5486400" cy="2318681"/>
                    </a:xfrm>
                    <a:prstGeom prst="rect"/>
                  </pic:spPr>
                </pic:pic>
              </a:graphicData>
            </a:graphic>
          </wp:inline>
        </w:drawing>
      </w:r>
    </w:p>
    <w:p>
      <w:pPr>
        <w:pStyle w:val="Caption"/>
        <w:jc w:val="center"/>
      </w:pPr>
      <w:r>
        <w:rPr>
          <w:rFonts w:ascii="Times New Roman" w:hAnsi="Times New Roman"/>
          <w:i/>
          <w:sz w:val="20"/>
          <w:rFonts w:ascii="Times New Roman" w:hAnsi="Times New Roman"/>
        </w:rPr>
        <w:t>Figure 3: Training loss convergence (left) and NDCG@10 convergence (right).</w:t>
      </w:r>
    </w:p>
    <w:p>
      <w:pPr>
        <w:pStyle w:val="Heading2"/>
        <w:jc w:val="both"/>
      </w:pPr>
      <w:r>
        <w:rPr>
          <w:b w:val="0"/>
          <w:i w:val="0"/>
        </w:rPr>
        <w:t>5.4 RQ2: Effectiveness of Privacy Attacks</w:t>
      </w:r>
    </w:p>
    <w:p>
      <w:pPr>
        <w:jc w:val="both"/>
      </w:pPr>
      <w:r>
        <w:rPr>
          <w:rFonts w:ascii="Times New Roman" w:hAnsi="Times New Roman"/>
          <w:b w:val="0"/>
          <w:i w:val="0"/>
          <w:sz w:val="22"/>
          <w:rFonts w:ascii="Times New Roman" w:hAnsi="Times New Roman"/>
        </w:rPr>
        <w:t>The membership inference attack is remarkably ineffective across all configurations, even without differential privacy.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Fonts w:ascii="Times New Roman" w:hAnsi="Times New Roman"/>
              </w:rPr>
              <w:t>ε</w:t>
            </w:r>
          </w:p>
        </w:tc>
        <w:tc>
          <w:tcPr>
            <w:tcW w:type="dxa" w:w="2880"/>
          </w:tcPr>
          <w:p>
            <w:pPr>
              <w:jc w:val="center"/>
            </w:pPr>
            <w:r>
              <w:rPr>
                <w:rFonts w:ascii="Times New Roman" w:hAnsi="Times New Roman"/>
                <w:b/>
                <w:sz w:val="20"/>
                <w:rFonts w:ascii="Times New Roman" w:hAnsi="Times New Roman"/>
              </w:rPr>
              <w:t>MIA AUC</w:t>
            </w:r>
          </w:p>
        </w:tc>
        <w:tc>
          <w:tcPr>
            <w:tcW w:type="dxa" w:w="2880"/>
          </w:tcPr>
          <w:p>
            <w:pPr>
              <w:jc w:val="center"/>
            </w:pPr>
            <w:r>
              <w:rPr>
                <w:rFonts w:ascii="Times New Roman" w:hAnsi="Times New Roman"/>
                <w:b/>
                <w:sz w:val="20"/>
                <w:rFonts w:ascii="Times New Roman" w:hAnsi="Times New Roman"/>
              </w:rPr>
              <w:t>MIA Accuracy</w:t>
            </w:r>
          </w:p>
        </w:tc>
      </w:tr>
      <w:tr>
        <w:tc>
          <w:tcPr>
            <w:tcW w:type="dxa" w:w="2880"/>
          </w:tcPr>
          <w:p>
            <w:pPr>
              <w:jc w:val="left"/>
            </w:pPr>
            <w:r>
              <w:rPr>
                <w:rFonts w:ascii="Times New Roman" w:hAnsi="Times New Roman"/>
                <w:b w:val="0"/>
                <w:i w:val="0"/>
                <w:sz w:val="20"/>
                <w:rFonts w:ascii="Times New Roman" w:hAnsi="Times New Roman"/>
              </w:rPr>
              <w:t>∞ (No DP)</w:t>
            </w:r>
          </w:p>
        </w:tc>
        <w:tc>
          <w:tcPr>
            <w:tcW w:type="dxa" w:w="2880"/>
          </w:tcPr>
          <w:p>
            <w:pPr>
              <w:jc w:val="center"/>
            </w:pPr>
            <w:r>
              <w:rPr>
                <w:rFonts w:ascii="Times New Roman" w:hAnsi="Times New Roman"/>
                <w:b w:val="0"/>
                <w:i w:val="0"/>
                <w:sz w:val="20"/>
                <w:rFonts w:ascii="Times New Roman" w:hAnsi="Times New Roman"/>
              </w:rPr>
              <w:t>0.548</w:t>
            </w:r>
          </w:p>
        </w:tc>
        <w:tc>
          <w:tcPr>
            <w:tcW w:type="dxa" w:w="2880"/>
          </w:tcPr>
          <w:p>
            <w:pPr>
              <w:jc w:val="center"/>
            </w:pPr>
            <w:r>
              <w:rPr>
                <w:rFonts w:ascii="Times New Roman" w:hAnsi="Times New Roman"/>
                <w:b w:val="0"/>
                <w:i w:val="0"/>
                <w:sz w:val="20"/>
                <w:rFonts w:ascii="Times New Roman" w:hAnsi="Times New Roman"/>
              </w:rPr>
              <w:t>0.545</w:t>
            </w:r>
          </w:p>
        </w:tc>
      </w:tr>
      <w:tr>
        <w:tc>
          <w:tcPr>
            <w:tcW w:type="dxa" w:w="2880"/>
          </w:tcPr>
          <w:p>
            <w:pPr>
              <w:jc w:val="left"/>
            </w:pPr>
            <w:r>
              <w:rPr>
                <w:rFonts w:ascii="Times New Roman" w:hAnsi="Times New Roman"/>
                <w:b w:val="0"/>
                <w:i w:val="0"/>
                <w:sz w:val="20"/>
                <w:rFonts w:ascii="Times New Roman" w:hAnsi="Times New Roman"/>
              </w:rPr>
              <w:t>8</w:t>
            </w:r>
          </w:p>
        </w:tc>
        <w:tc>
          <w:tcPr>
            <w:tcW w:type="dxa" w:w="2880"/>
          </w:tcPr>
          <w:p>
            <w:pPr>
              <w:jc w:val="center"/>
            </w:pPr>
            <w:r>
              <w:rPr>
                <w:rFonts w:ascii="Times New Roman" w:hAnsi="Times New Roman"/>
                <w:b w:val="0"/>
                <w:i w:val="0"/>
                <w:sz w:val="20"/>
                <w:rFonts w:ascii="Times New Roman" w:hAnsi="Times New Roman"/>
              </w:rPr>
              <w:t>0.534</w:t>
            </w:r>
          </w:p>
        </w:tc>
        <w:tc>
          <w:tcPr>
            <w:tcW w:type="dxa" w:w="2880"/>
          </w:tcPr>
          <w:p>
            <w:pPr>
              <w:jc w:val="center"/>
            </w:pPr>
            <w:r>
              <w:rPr>
                <w:rFonts w:ascii="Times New Roman" w:hAnsi="Times New Roman"/>
                <w:b w:val="0"/>
                <w:i w:val="0"/>
                <w:sz w:val="20"/>
                <w:rFonts w:ascii="Times New Roman" w:hAnsi="Times New Roman"/>
              </w:rPr>
              <w:t>0.515</w:t>
            </w:r>
          </w:p>
        </w:tc>
      </w:tr>
      <w:tr>
        <w:tc>
          <w:tcPr>
            <w:tcW w:type="dxa" w:w="2880"/>
          </w:tcPr>
          <w:p>
            <w:pPr>
              <w:jc w:val="left"/>
            </w:pPr>
            <w:r>
              <w:rPr>
                <w:rFonts w:ascii="Times New Roman" w:hAnsi="Times New Roman"/>
                <w:b w:val="0"/>
                <w:i w:val="0"/>
                <w:sz w:val="20"/>
                <w:rFonts w:ascii="Times New Roman" w:hAnsi="Times New Roman"/>
              </w:rPr>
              <w:t>4</w:t>
            </w:r>
          </w:p>
        </w:tc>
        <w:tc>
          <w:tcPr>
            <w:tcW w:type="dxa" w:w="2880"/>
          </w:tcPr>
          <w:p>
            <w:pPr>
              <w:jc w:val="center"/>
            </w:pPr>
            <w:r>
              <w:rPr>
                <w:rFonts w:ascii="Times New Roman" w:hAnsi="Times New Roman"/>
                <w:b w:val="0"/>
                <w:i w:val="0"/>
                <w:sz w:val="20"/>
                <w:rFonts w:ascii="Times New Roman" w:hAnsi="Times New Roman"/>
              </w:rPr>
              <w:t>0.502</w:t>
            </w:r>
          </w:p>
        </w:tc>
        <w:tc>
          <w:tcPr>
            <w:tcW w:type="dxa" w:w="2880"/>
          </w:tcPr>
          <w:p>
            <w:pPr>
              <w:jc w:val="center"/>
            </w:pPr>
            <w:r>
              <w:rPr>
                <w:rFonts w:ascii="Times New Roman" w:hAnsi="Times New Roman"/>
                <w:b w:val="0"/>
                <w:i w:val="0"/>
                <w:sz w:val="20"/>
                <w:rFonts w:ascii="Times New Roman" w:hAnsi="Times New Roman"/>
              </w:rPr>
              <w:t>0.505</w:t>
            </w:r>
          </w:p>
        </w:tc>
      </w:tr>
      <w:tr>
        <w:tc>
          <w:tcPr>
            <w:tcW w:type="dxa" w:w="2880"/>
          </w:tcPr>
          <w:p>
            <w:pPr>
              <w:jc w:val="left"/>
            </w:pPr>
            <w:r>
              <w:rPr>
                <w:rFonts w:ascii="Times New Roman" w:hAnsi="Times New Roman"/>
                <w:b w:val="0"/>
                <w:i w:val="0"/>
                <w:sz w:val="20"/>
                <w:rFonts w:ascii="Times New Roman" w:hAnsi="Times New Roman"/>
              </w:rPr>
              <w:t>2</w:t>
            </w:r>
          </w:p>
        </w:tc>
        <w:tc>
          <w:tcPr>
            <w:tcW w:type="dxa" w:w="2880"/>
          </w:tcPr>
          <w:p>
            <w:pPr>
              <w:jc w:val="center"/>
            </w:pPr>
            <w:r>
              <w:rPr>
                <w:rFonts w:ascii="Times New Roman" w:hAnsi="Times New Roman"/>
                <w:b w:val="0"/>
                <w:i w:val="0"/>
                <w:sz w:val="20"/>
                <w:rFonts w:ascii="Times New Roman" w:hAnsi="Times New Roman"/>
              </w:rPr>
              <w:t>0.500</w:t>
            </w:r>
          </w:p>
        </w:tc>
        <w:tc>
          <w:tcPr>
            <w:tcW w:type="dxa" w:w="2880"/>
          </w:tcPr>
          <w:p>
            <w:pPr>
              <w:jc w:val="center"/>
            </w:pPr>
            <w:r>
              <w:rPr>
                <w:rFonts w:ascii="Times New Roman" w:hAnsi="Times New Roman"/>
                <w:b w:val="0"/>
                <w:i w:val="0"/>
                <w:sz w:val="20"/>
                <w:rFonts w:ascii="Times New Roman" w:hAnsi="Times New Roman"/>
              </w:rPr>
              <w:t>0.500</w:t>
            </w:r>
          </w:p>
        </w:tc>
      </w:tr>
      <w:tr>
        <w:tc>
          <w:tcPr>
            <w:tcW w:type="dxa" w:w="2880"/>
          </w:tcPr>
          <w:p>
            <w:pPr>
              <w:jc w:val="left"/>
            </w:pPr>
            <w:r>
              <w:rPr>
                <w:rFonts w:ascii="Times New Roman" w:hAnsi="Times New Roman"/>
                <w:b w:val="0"/>
                <w:i w:val="0"/>
                <w:sz w:val="20"/>
                <w:rFonts w:ascii="Times New Roman" w:hAnsi="Times New Roman"/>
              </w:rPr>
              <w:t>1</w:t>
            </w:r>
          </w:p>
        </w:tc>
        <w:tc>
          <w:tcPr>
            <w:tcW w:type="dxa" w:w="2880"/>
          </w:tcPr>
          <w:p>
            <w:pPr>
              <w:jc w:val="center"/>
            </w:pPr>
            <w:r>
              <w:rPr>
                <w:rFonts w:ascii="Times New Roman" w:hAnsi="Times New Roman"/>
                <w:b w:val="0"/>
                <w:i w:val="0"/>
                <w:sz w:val="20"/>
                <w:rFonts w:ascii="Times New Roman" w:hAnsi="Times New Roman"/>
              </w:rPr>
              <w:t>0.486</w:t>
            </w:r>
          </w:p>
        </w:tc>
        <w:tc>
          <w:tcPr>
            <w:tcW w:type="dxa" w:w="2880"/>
          </w:tcPr>
          <w:p>
            <w:pPr>
              <w:jc w:val="center"/>
            </w:pPr>
            <w:r>
              <w:rPr>
                <w:rFonts w:ascii="Times New Roman" w:hAnsi="Times New Roman"/>
                <w:b w:val="0"/>
                <w:i w:val="0"/>
                <w:sz w:val="20"/>
                <w:rFonts w:ascii="Times New Roman" w:hAnsi="Times New Roman"/>
              </w:rPr>
              <w:t>0.510</w:t>
            </w:r>
          </w:p>
        </w:tc>
      </w:tr>
    </w:tbl>
    <w:p/>
    <w:p>
      <w:pPr>
        <w:jc w:val="center"/>
      </w:pPr>
      <w:r>
        <w:drawing>
          <wp:inline xmlns:a="http://schemas.openxmlformats.org/drawingml/2006/main" xmlns:pic="http://schemas.openxmlformats.org/drawingml/2006/picture">
            <wp:extent cx="5486400" cy="2318681"/>
            <wp:docPr id="4" name="Picture 4"/>
            <wp:cNvGraphicFramePr>
              <a:graphicFrameLocks noChangeAspect="1"/>
            </wp:cNvGraphicFramePr>
            <a:graphic>
              <a:graphicData uri="http://schemas.openxmlformats.org/drawingml/2006/picture">
                <pic:pic>
                  <pic:nvPicPr>
                    <pic:cNvPr id="0" name="attack_evaluation.png"/>
                    <pic:cNvPicPr/>
                  </pic:nvPicPr>
                  <pic:blipFill>
                    <a:blip r:embed="rId12"/>
                    <a:stretch>
                      <a:fillRect/>
                    </a:stretch>
                  </pic:blipFill>
                  <pic:spPr>
                    <a:xfrm>
                      <a:off x="0" y="0"/>
                      <a:ext cx="5486400" cy="2318681"/>
                    </a:xfrm>
                    <a:prstGeom prst="rect"/>
                  </pic:spPr>
                </pic:pic>
              </a:graphicData>
            </a:graphic>
          </wp:inline>
        </w:drawing>
      </w:r>
    </w:p>
    <w:p>
      <w:pPr>
        <w:pStyle w:val="Caption"/>
        <w:jc w:val="center"/>
      </w:pPr>
      <w:r>
        <w:rPr>
          <w:rFonts w:ascii="Times New Roman" w:hAnsi="Times New Roman"/>
          <w:i/>
          <w:sz w:val="20"/>
          <w:rFonts w:ascii="Times New Roman" w:hAnsi="Times New Roman"/>
        </w:rPr>
        <w:t>Figure 4: Privacy attack effectiveness as a function of DP budget.</w:t>
      </w:r>
    </w:p>
    <w:p>
      <w:pPr>
        <w:pStyle w:val="Heading2"/>
        <w:jc w:val="both"/>
      </w:pPr>
      <w:r>
        <w:rPr>
          <w:b w:val="0"/>
          <w:i w:val="0"/>
        </w:rPr>
        <w:t>5.5 RQ3: Impact of Data Heterogeneity</w:t>
      </w:r>
    </w:p>
    <w:p>
      <w:pPr>
        <w:jc w:val="both"/>
      </w:pPr>
      <w:r>
        <w:rPr>
          <w:rFonts w:ascii="Times New Roman" w:hAnsi="Times New Roman"/>
          <w:b w:val="0"/>
          <w:i w:val="0"/>
          <w:sz w:val="22"/>
          <w:rFonts w:ascii="Times New Roman" w:hAnsi="Times New Roman"/>
        </w:rPr>
        <w:t>The heterogeneity sweep yields a striking result: data heterogeneity has virtually no measurable impact on federated learning performance in this experimental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Fonts w:ascii="Times New Roman" w:hAnsi="Times New Roman"/>
              </w:rPr>
              <w:t>α</w:t>
            </w:r>
          </w:p>
        </w:tc>
        <w:tc>
          <w:tcPr>
            <w:tcW w:type="dxa" w:w="2880"/>
          </w:tcPr>
          <w:p>
            <w:pPr>
              <w:jc w:val="center"/>
            </w:pPr>
            <w:r>
              <w:rPr>
                <w:rFonts w:ascii="Times New Roman" w:hAnsi="Times New Roman"/>
                <w:b/>
                <w:sz w:val="20"/>
                <w:rFonts w:ascii="Times New Roman" w:hAnsi="Times New Roman"/>
              </w:rPr>
              <w:t>NDCG@10</w:t>
            </w:r>
          </w:p>
        </w:tc>
        <w:tc>
          <w:tcPr>
            <w:tcW w:type="dxa" w:w="2880"/>
          </w:tcPr>
          <w:p>
            <w:pPr>
              <w:jc w:val="center"/>
            </w:pPr>
            <w:r>
              <w:rPr>
                <w:rFonts w:ascii="Times New Roman" w:hAnsi="Times New Roman"/>
                <w:b/>
                <w:sz w:val="20"/>
                <w:rFonts w:ascii="Times New Roman" w:hAnsi="Times New Roman"/>
              </w:rPr>
              <w:t>Hit@10</w:t>
            </w:r>
          </w:p>
        </w:tc>
      </w:tr>
      <w:tr>
        <w:tc>
          <w:tcPr>
            <w:tcW w:type="dxa" w:w="2880"/>
          </w:tcPr>
          <w:p>
            <w:pPr>
              <w:jc w:val="left"/>
            </w:pPr>
            <w:r>
              <w:rPr>
                <w:rFonts w:ascii="Times New Roman" w:hAnsi="Times New Roman"/>
                <w:b w:val="0"/>
                <w:i w:val="0"/>
                <w:sz w:val="20"/>
                <w:rFonts w:ascii="Times New Roman" w:hAnsi="Times New Roman"/>
              </w:rPr>
              <w:t>0.1</w:t>
            </w:r>
          </w:p>
        </w:tc>
        <w:tc>
          <w:tcPr>
            <w:tcW w:type="dxa" w:w="2880"/>
          </w:tcPr>
          <w:p>
            <w:pPr>
              <w:jc w:val="center"/>
            </w:pPr>
            <w:r>
              <w:rPr>
                <w:rFonts w:ascii="Times New Roman" w:hAnsi="Times New Roman"/>
                <w:b w:val="0"/>
                <w:i w:val="0"/>
                <w:sz w:val="20"/>
                <w:rFonts w:ascii="Times New Roman" w:hAnsi="Times New Roman"/>
              </w:rPr>
              <w:t>0.0538 ± 0.011</w:t>
            </w:r>
          </w:p>
        </w:tc>
        <w:tc>
          <w:tcPr>
            <w:tcW w:type="dxa" w:w="2880"/>
          </w:tcPr>
          <w:p>
            <w:pPr>
              <w:jc w:val="center"/>
            </w:pPr>
            <w:r>
              <w:rPr>
                <w:rFonts w:ascii="Times New Roman" w:hAnsi="Times New Roman"/>
                <w:b w:val="0"/>
                <w:i w:val="0"/>
                <w:sz w:val="20"/>
                <w:rFonts w:ascii="Times New Roman" w:hAnsi="Times New Roman"/>
              </w:rPr>
              <w:t>0.0633 ± 0.021</w:t>
            </w:r>
          </w:p>
        </w:tc>
      </w:tr>
      <w:tr>
        <w:tc>
          <w:tcPr>
            <w:tcW w:type="dxa" w:w="2880"/>
          </w:tcPr>
          <w:p>
            <w:pPr>
              <w:jc w:val="left"/>
            </w:pPr>
            <w:r>
              <w:rPr>
                <w:rFonts w:ascii="Times New Roman" w:hAnsi="Times New Roman"/>
                <w:b w:val="0"/>
                <w:i w:val="0"/>
                <w:sz w:val="20"/>
                <w:rFonts w:ascii="Times New Roman" w:hAnsi="Times New Roman"/>
              </w:rPr>
              <w:t>0.5</w:t>
            </w:r>
          </w:p>
        </w:tc>
        <w:tc>
          <w:tcPr>
            <w:tcW w:type="dxa" w:w="2880"/>
          </w:tcPr>
          <w:p>
            <w:pPr>
              <w:jc w:val="center"/>
            </w:pPr>
            <w:r>
              <w:rPr>
                <w:rFonts w:ascii="Times New Roman" w:hAnsi="Times New Roman"/>
                <w:b w:val="0"/>
                <w:i w:val="0"/>
                <w:sz w:val="20"/>
                <w:rFonts w:ascii="Times New Roman" w:hAnsi="Times New Roman"/>
              </w:rPr>
              <w:t>0.0539 ± 0.011</w:t>
            </w:r>
          </w:p>
        </w:tc>
        <w:tc>
          <w:tcPr>
            <w:tcW w:type="dxa" w:w="2880"/>
          </w:tcPr>
          <w:p>
            <w:pPr>
              <w:jc w:val="center"/>
            </w:pPr>
            <w:r>
              <w:rPr>
                <w:rFonts w:ascii="Times New Roman" w:hAnsi="Times New Roman"/>
                <w:b w:val="0"/>
                <w:i w:val="0"/>
                <w:sz w:val="20"/>
                <w:rFonts w:ascii="Times New Roman" w:hAnsi="Times New Roman"/>
              </w:rPr>
              <w:t>0.0633 ± 0.021</w:t>
            </w:r>
          </w:p>
        </w:tc>
      </w:tr>
      <w:tr>
        <w:tc>
          <w:tcPr>
            <w:tcW w:type="dxa" w:w="2880"/>
          </w:tcPr>
          <w:p>
            <w:pPr>
              <w:jc w:val="left"/>
            </w:pPr>
            <w:r>
              <w:rPr>
                <w:rFonts w:ascii="Times New Roman" w:hAnsi="Times New Roman"/>
                <w:b w:val="0"/>
                <w:i w:val="0"/>
                <w:sz w:val="20"/>
                <w:rFonts w:ascii="Times New Roman" w:hAnsi="Times New Roman"/>
              </w:rPr>
              <w:t>1.0</w:t>
            </w:r>
          </w:p>
        </w:tc>
        <w:tc>
          <w:tcPr>
            <w:tcW w:type="dxa" w:w="2880"/>
          </w:tcPr>
          <w:p>
            <w:pPr>
              <w:jc w:val="center"/>
            </w:pPr>
            <w:r>
              <w:rPr>
                <w:rFonts w:ascii="Times New Roman" w:hAnsi="Times New Roman"/>
                <w:b w:val="0"/>
                <w:i w:val="0"/>
                <w:sz w:val="20"/>
                <w:rFonts w:ascii="Times New Roman" w:hAnsi="Times New Roman"/>
              </w:rPr>
              <w:t>0.0539 ± 0.011</w:t>
            </w:r>
          </w:p>
        </w:tc>
        <w:tc>
          <w:tcPr>
            <w:tcW w:type="dxa" w:w="2880"/>
          </w:tcPr>
          <w:p>
            <w:pPr>
              <w:jc w:val="center"/>
            </w:pPr>
            <w:r>
              <w:rPr>
                <w:rFonts w:ascii="Times New Roman" w:hAnsi="Times New Roman"/>
                <w:b w:val="0"/>
                <w:i w:val="0"/>
                <w:sz w:val="20"/>
                <w:rFonts w:ascii="Times New Roman" w:hAnsi="Times New Roman"/>
              </w:rPr>
              <w:t>0.0633 ± 0.021</w:t>
            </w:r>
          </w:p>
        </w:tc>
      </w:tr>
    </w:tbl>
    <w:p/>
    <w:p>
      <w:pPr>
        <w:jc w:val="center"/>
      </w:pPr>
      <w:r>
        <w:drawing>
          <wp:inline xmlns:a="http://schemas.openxmlformats.org/drawingml/2006/main" xmlns:pic="http://schemas.openxmlformats.org/drawingml/2006/picture">
            <wp:extent cx="5486400" cy="2318681"/>
            <wp:docPr id="5" name="Picture 5"/>
            <wp:cNvGraphicFramePr>
              <a:graphicFrameLocks noChangeAspect="1"/>
            </wp:cNvGraphicFramePr>
            <a:graphic>
              <a:graphicData uri="http://schemas.openxmlformats.org/drawingml/2006/picture">
                <pic:pic>
                  <pic:nvPicPr>
                    <pic:cNvPr id="0" name="accuracy_vs_alpha.png"/>
                    <pic:cNvPicPr/>
                  </pic:nvPicPr>
                  <pic:blipFill>
                    <a:blip r:embed="rId13"/>
                    <a:stretch>
                      <a:fillRect/>
                    </a:stretch>
                  </pic:blipFill>
                  <pic:spPr>
                    <a:xfrm>
                      <a:off x="0" y="0"/>
                      <a:ext cx="5486400" cy="2318681"/>
                    </a:xfrm>
                    <a:prstGeom prst="rect"/>
                  </pic:spPr>
                </pic:pic>
              </a:graphicData>
            </a:graphic>
          </wp:inline>
        </w:drawing>
      </w:r>
    </w:p>
    <w:p>
      <w:pPr>
        <w:pStyle w:val="Caption"/>
        <w:jc w:val="center"/>
      </w:pPr>
      <w:r>
        <w:rPr>
          <w:rFonts w:ascii="Times New Roman" w:hAnsi="Times New Roman"/>
          <w:i/>
          <w:sz w:val="20"/>
          <w:rFonts w:ascii="Times New Roman" w:hAnsi="Times New Roman"/>
        </w:rPr>
        <w:t>Figure 5: NDCG@10 and Hit@10 as a function of data heterogeneity (α).</w:t>
      </w:r>
    </w:p>
    <w:p>
      <w:pPr>
        <w:pStyle w:val="Heading2"/>
        <w:jc w:val="both"/>
      </w:pPr>
      <w:r>
        <w:rPr>
          <w:b w:val="0"/>
          <w:i w:val="0"/>
        </w:rPr>
        <w:t>5.6 Client Data Distribution Analysis</w:t>
      </w:r>
    </w:p>
    <w:p>
      <w:pPr>
        <w:jc w:val="center"/>
      </w:pPr>
      <w:r>
        <w:drawing>
          <wp:inline xmlns:a="http://schemas.openxmlformats.org/drawingml/2006/main" xmlns:pic="http://schemas.openxmlformats.org/drawingml/2006/picture">
            <wp:extent cx="5486400" cy="1922618"/>
            <wp:docPr id="6" name="Picture 6"/>
            <wp:cNvGraphicFramePr>
              <a:graphicFrameLocks noChangeAspect="1"/>
            </wp:cNvGraphicFramePr>
            <a:graphic>
              <a:graphicData uri="http://schemas.openxmlformats.org/drawingml/2006/picture">
                <pic:pic>
                  <pic:nvPicPr>
                    <pic:cNvPr id="0" name="client_distribution.png"/>
                    <pic:cNvPicPr/>
                  </pic:nvPicPr>
                  <pic:blipFill>
                    <a:blip r:embed="rId14"/>
                    <a:stretch>
                      <a:fillRect/>
                    </a:stretch>
                  </pic:blipFill>
                  <pic:spPr>
                    <a:xfrm>
                      <a:off x="0" y="0"/>
                      <a:ext cx="5486400" cy="1922618"/>
                    </a:xfrm>
                    <a:prstGeom prst="rect"/>
                  </pic:spPr>
                </pic:pic>
              </a:graphicData>
            </a:graphic>
          </wp:inline>
        </w:drawing>
      </w:r>
    </w:p>
    <w:p>
      <w:pPr>
        <w:pStyle w:val="Caption"/>
        <w:jc w:val="center"/>
      </w:pPr>
      <w:r>
        <w:rPr>
          <w:rFonts w:ascii="Times New Roman" w:hAnsi="Times New Roman"/>
          <w:i/>
          <w:sz w:val="20"/>
          <w:rFonts w:ascii="Times New Roman" w:hAnsi="Times New Roman"/>
        </w:rPr>
        <w:t>Figure 6: Distribution of training samples per client.</w:t>
      </w:r>
    </w:p>
    <w:p>
      <w:pPr>
        <w:jc w:val="center"/>
      </w:pPr>
      <w:r>
        <w:drawing>
          <wp:inline xmlns:a="http://schemas.openxmlformats.org/drawingml/2006/main" xmlns:pic="http://schemas.openxmlformats.org/drawingml/2006/picture">
            <wp:extent cx="5486400" cy="1921760"/>
            <wp:docPr id="7" name="Picture 7"/>
            <wp:cNvGraphicFramePr>
              <a:graphicFrameLocks noChangeAspect="1"/>
            </wp:cNvGraphicFramePr>
            <a:graphic>
              <a:graphicData uri="http://schemas.openxmlformats.org/drawingml/2006/picture">
                <pic:pic>
                  <pic:nvPicPr>
                    <pic:cNvPr id="0" name="aggregation_stats.png"/>
                    <pic:cNvPicPr/>
                  </pic:nvPicPr>
                  <pic:blipFill>
                    <a:blip r:embed="rId15"/>
                    <a:stretch>
                      <a:fillRect/>
                    </a:stretch>
                  </pic:blipFill>
                  <pic:spPr>
                    <a:xfrm>
                      <a:off x="0" y="0"/>
                      <a:ext cx="5486400" cy="1921760"/>
                    </a:xfrm>
                    <a:prstGeom prst="rect"/>
                  </pic:spPr>
                </pic:pic>
              </a:graphicData>
            </a:graphic>
          </wp:inline>
        </w:drawing>
      </w:r>
    </w:p>
    <w:p>
      <w:pPr>
        <w:pStyle w:val="Caption"/>
        <w:jc w:val="center"/>
      </w:pPr>
      <w:r>
        <w:rPr>
          <w:rFonts w:ascii="Times New Roman" w:hAnsi="Times New Roman"/>
          <w:i/>
          <w:sz w:val="20"/>
          <w:rFonts w:ascii="Times New Roman" w:hAnsi="Times New Roman"/>
        </w:rPr>
        <w:t>Figure 7: Aggregation statistics over rounds.</w:t>
      </w:r>
    </w:p>
    <w:p>
      <w:pPr>
        <w:pStyle w:val="Heading2"/>
        <w:jc w:val="both"/>
      </w:pPr>
      <w:r>
        <w:rPr>
          <w:b w:val="0"/>
          <w:i w:val="0"/>
        </w:rPr>
        <w:t>5.7 Recommendation Metrics Over Training Rounds</w:t>
      </w:r>
    </w:p>
    <w:p>
      <w:pPr>
        <w:jc w:val="center"/>
      </w:pPr>
      <w:r>
        <w:drawing>
          <wp:inline xmlns:a="http://schemas.openxmlformats.org/drawingml/2006/main" xmlns:pic="http://schemas.openxmlformats.org/drawingml/2006/picture">
            <wp:extent cx="5486400" cy="3260627"/>
            <wp:docPr id="8" name="Picture 8"/>
            <wp:cNvGraphicFramePr>
              <a:graphicFrameLocks noChangeAspect="1"/>
            </wp:cNvGraphicFramePr>
            <a:graphic>
              <a:graphicData uri="http://schemas.openxmlformats.org/drawingml/2006/picture">
                <pic:pic>
                  <pic:nvPicPr>
                    <pic:cNvPr id="0" name="recommendation_metrics.png"/>
                    <pic:cNvPicPr/>
                  </pic:nvPicPr>
                  <pic:blipFill>
                    <a:blip r:embed="rId16"/>
                    <a:stretch>
                      <a:fillRect/>
                    </a:stretch>
                  </pic:blipFill>
                  <pic:spPr>
                    <a:xfrm>
                      <a:off x="0" y="0"/>
                      <a:ext cx="5486400" cy="3260627"/>
                    </a:xfrm>
                    <a:prstGeom prst="rect"/>
                  </pic:spPr>
                </pic:pic>
              </a:graphicData>
            </a:graphic>
          </wp:inline>
        </w:drawing>
      </w:r>
    </w:p>
    <w:p>
      <w:pPr>
        <w:pStyle w:val="Caption"/>
        <w:jc w:val="center"/>
      </w:pPr>
      <w:r>
        <w:rPr>
          <w:rFonts w:ascii="Times New Roman" w:hAnsi="Times New Roman"/>
          <w:i/>
          <w:sz w:val="20"/>
          <w:rFonts w:ascii="Times New Roman" w:hAnsi="Times New Roman"/>
        </w:rPr>
        <w:t>Figure 8: Recommendation metrics over training rounds.</w:t>
      </w:r>
    </w:p>
    <w:p>
      <w:pPr>
        <w:pStyle w:val="Heading2"/>
        <w:jc w:val="both"/>
      </w:pPr>
      <w:r>
        <w:rPr>
          <w:b w:val="0"/>
          <w:i w:val="0"/>
        </w:rPr>
        <w:t>5.9 Summary of Key Findings</w:t>
      </w:r>
    </w:p>
    <w:p>
      <w:pPr>
        <w:jc w:val="both"/>
      </w:pPr>
      <w:r>
        <w:rPr>
          <w:rFonts w:ascii="Times New Roman" w:hAnsi="Times New Roman"/>
          <w:b w:val="0"/>
          <w:i w:val="0"/>
          <w:sz w:val="22"/>
          <w:rFonts w:ascii="Times New Roman" w:hAnsi="Times New Roman"/>
        </w:rPr>
        <w:t>In summary, the results demonstrate that federated learning for mobile recommendation faces a significant accuracy challenge compared to centralized training, but this gap is primarily attributable to the limited communication budget and data fragmentation—not to differential privacy. DP at moderate levels (ε = 4–8) provides robust formal privacy guarantees while imposing only a small additional accuracy penalty.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