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2CE9" w:rsidRDefault="001A2CE9">
      <w:pPr>
        <w:spacing w:line="480" w:lineRule="auto"/>
        <w:rPr>
          <w:rFonts w:ascii="Times New Roman" w:eastAsia="Times New Roman" w:hAnsi="Times New Roman" w:cs="Times New Roman"/>
          <w:sz w:val="24"/>
          <w:szCs w:val="24"/>
        </w:rPr>
      </w:pPr>
    </w:p>
    <w:p w:rsidR="001A2CE9" w:rsidRDefault="001A2CE9">
      <w:pPr>
        <w:spacing w:line="480" w:lineRule="auto"/>
        <w:rPr>
          <w:rFonts w:ascii="Times New Roman" w:eastAsia="Times New Roman" w:hAnsi="Times New Roman" w:cs="Times New Roman"/>
          <w:sz w:val="24"/>
          <w:szCs w:val="24"/>
        </w:rPr>
      </w:pPr>
    </w:p>
    <w:p w:rsidR="001A2CE9" w:rsidRDefault="001A2CE9">
      <w:pPr>
        <w:spacing w:line="480" w:lineRule="auto"/>
        <w:rPr>
          <w:rFonts w:ascii="Times New Roman" w:eastAsia="Times New Roman" w:hAnsi="Times New Roman" w:cs="Times New Roman"/>
          <w:sz w:val="24"/>
          <w:szCs w:val="24"/>
        </w:rPr>
      </w:pPr>
    </w:p>
    <w:p w:rsidR="001A2CE9" w:rsidRDefault="001A2CE9">
      <w:pPr>
        <w:spacing w:line="480" w:lineRule="auto"/>
        <w:rPr>
          <w:rFonts w:ascii="Times New Roman" w:eastAsia="Times New Roman" w:hAnsi="Times New Roman" w:cs="Times New Roman"/>
          <w:sz w:val="24"/>
          <w:szCs w:val="24"/>
        </w:rPr>
      </w:pPr>
    </w:p>
    <w:p w:rsidR="001A2CE9" w:rsidRDefault="001A2CE9">
      <w:pPr>
        <w:spacing w:line="480" w:lineRule="auto"/>
        <w:rPr>
          <w:rFonts w:ascii="Times New Roman" w:eastAsia="Times New Roman" w:hAnsi="Times New Roman" w:cs="Times New Roman"/>
          <w:sz w:val="24"/>
          <w:szCs w:val="24"/>
        </w:rPr>
      </w:pPr>
    </w:p>
    <w:p w:rsidR="001A2CE9" w:rsidRDefault="001A2CE9">
      <w:pPr>
        <w:spacing w:line="480" w:lineRule="auto"/>
        <w:rPr>
          <w:rFonts w:ascii="Times New Roman" w:eastAsia="Times New Roman" w:hAnsi="Times New Roman" w:cs="Times New Roman"/>
          <w:sz w:val="24"/>
          <w:szCs w:val="24"/>
        </w:rPr>
      </w:pPr>
    </w:p>
    <w:p w:rsidR="001A2CE9" w:rsidRDefault="001A2CE9">
      <w:pPr>
        <w:spacing w:line="480" w:lineRule="auto"/>
        <w:rPr>
          <w:rFonts w:ascii="Times New Roman" w:eastAsia="Times New Roman" w:hAnsi="Times New Roman" w:cs="Times New Roman"/>
          <w:sz w:val="24"/>
          <w:szCs w:val="24"/>
        </w:rPr>
      </w:pPr>
    </w:p>
    <w:p w:rsidR="001A2CE9" w:rsidRDefault="0032473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Modeling &amp; Forecasting </w:t>
      </w:r>
    </w:p>
    <w:p w:rsidR="001A2CE9" w:rsidRDefault="00324730">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Consumer Confidence Index</w:t>
      </w:r>
    </w:p>
    <w:p w:rsidR="001A2CE9" w:rsidRDefault="0032473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Yip Nam Kim</w:t>
      </w:r>
    </w:p>
    <w:p w:rsidR="001A2CE9" w:rsidRDefault="0032473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Kizer</w:t>
      </w:r>
    </w:p>
    <w:p w:rsidR="001A2CE9" w:rsidRDefault="0032473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Arshiya Sabzevari</w:t>
      </w:r>
    </w:p>
    <w:p w:rsidR="001A2CE9" w:rsidRDefault="001A2CE9">
      <w:pPr>
        <w:spacing w:line="480" w:lineRule="auto"/>
        <w:jc w:val="center"/>
        <w:rPr>
          <w:rFonts w:ascii="Times New Roman" w:eastAsia="Times New Roman" w:hAnsi="Times New Roman" w:cs="Times New Roman"/>
          <w:sz w:val="24"/>
          <w:szCs w:val="24"/>
        </w:rPr>
      </w:pPr>
    </w:p>
    <w:p w:rsidR="001A2CE9" w:rsidRDefault="0032473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of Texas at Austin</w:t>
      </w:r>
    </w:p>
    <w:p w:rsidR="001A2CE9" w:rsidRDefault="001A2CE9">
      <w:pPr>
        <w:spacing w:line="480" w:lineRule="auto"/>
        <w:rPr>
          <w:rFonts w:ascii="Times New Roman" w:eastAsia="Times New Roman" w:hAnsi="Times New Roman" w:cs="Times New Roman"/>
          <w:sz w:val="24"/>
          <w:szCs w:val="24"/>
        </w:rPr>
      </w:pPr>
    </w:p>
    <w:p w:rsidR="001A2CE9" w:rsidRDefault="001A2CE9">
      <w:pPr>
        <w:spacing w:line="480" w:lineRule="auto"/>
        <w:jc w:val="center"/>
        <w:rPr>
          <w:rFonts w:ascii="Times New Roman" w:eastAsia="Times New Roman" w:hAnsi="Times New Roman" w:cs="Times New Roman"/>
          <w:sz w:val="24"/>
          <w:szCs w:val="24"/>
        </w:rPr>
      </w:pPr>
    </w:p>
    <w:p w:rsidR="001A2CE9" w:rsidRDefault="0032473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May 2018</w:t>
      </w:r>
    </w:p>
    <w:p w:rsidR="001A2CE9" w:rsidRDefault="00324730">
      <w:pPr>
        <w:spacing w:line="480" w:lineRule="auto"/>
        <w:jc w:val="center"/>
        <w:rPr>
          <w:rFonts w:ascii="Times New Roman" w:eastAsia="Times New Roman" w:hAnsi="Times New Roman" w:cs="Times New Roman"/>
          <w:sz w:val="24"/>
          <w:szCs w:val="24"/>
        </w:rPr>
      </w:pPr>
      <w:r>
        <w:br w:type="page"/>
      </w:r>
    </w:p>
    <w:p w:rsidR="001A2CE9" w:rsidRDefault="00324730">
      <w:pPr>
        <w:pStyle w:val="Heading2"/>
        <w:spacing w:line="480" w:lineRule="auto"/>
        <w:rPr>
          <w:rFonts w:ascii="Times New Roman" w:eastAsia="Times New Roman" w:hAnsi="Times New Roman" w:cs="Times New Roman"/>
        </w:rPr>
      </w:pPr>
      <w:bookmarkStart w:id="0" w:name="_2wi1jcos4rgn" w:colFirst="0" w:colLast="0"/>
      <w:bookmarkEnd w:id="0"/>
      <w:r>
        <w:rPr>
          <w:rFonts w:ascii="Times New Roman" w:eastAsia="Times New Roman" w:hAnsi="Times New Roman" w:cs="Times New Roman"/>
        </w:rPr>
        <w:lastRenderedPageBreak/>
        <w:t>Table of Contents</w:t>
      </w:r>
    </w:p>
    <w:sdt>
      <w:sdtPr>
        <w:id w:val="-1779478517"/>
        <w:docPartObj>
          <w:docPartGallery w:val="Table of Contents"/>
          <w:docPartUnique/>
        </w:docPartObj>
      </w:sdtPr>
      <w:sdtEndPr/>
      <w:sdtContent>
        <w:p w:rsidR="001A2CE9" w:rsidRDefault="00324730">
          <w:pPr>
            <w:tabs>
              <w:tab w:val="right" w:pos="9360"/>
            </w:tabs>
            <w:spacing w:before="80" w:line="240" w:lineRule="auto"/>
            <w:rPr>
              <w:rFonts w:ascii="Times New Roman" w:eastAsia="Times New Roman" w:hAnsi="Times New Roman" w:cs="Times New Roman"/>
              <w:sz w:val="24"/>
              <w:szCs w:val="24"/>
            </w:rPr>
          </w:pPr>
          <w:r>
            <w:fldChar w:fldCharType="begin"/>
          </w:r>
          <w:r>
            <w:instrText xml:space="preserve"> TOC \h \u \z </w:instrText>
          </w:r>
          <w:r>
            <w:fldChar w:fldCharType="separate"/>
          </w:r>
          <w:hyperlink w:anchor="_2wi1jcos4rgn">
            <w:r>
              <w:rPr>
                <w:rFonts w:ascii="Times New Roman" w:eastAsia="Times New Roman" w:hAnsi="Times New Roman" w:cs="Times New Roman"/>
                <w:b/>
                <w:sz w:val="24"/>
                <w:szCs w:val="24"/>
              </w:rPr>
              <w:t>Table of Contents</w:t>
            </w:r>
          </w:hyperlink>
          <w:r>
            <w:rPr>
              <w:rFonts w:ascii="Times New Roman" w:eastAsia="Times New Roman" w:hAnsi="Times New Roman" w:cs="Times New Roman"/>
              <w:b/>
              <w:sz w:val="24"/>
              <w:szCs w:val="24"/>
            </w:rPr>
            <w:tab/>
          </w:r>
          <w:r>
            <w:fldChar w:fldCharType="begin"/>
          </w:r>
          <w:r>
            <w:instrText xml:space="preserve"> PAGEREF _2wi1jcos4rgn \h </w:instrText>
          </w:r>
          <w:r>
            <w:fldChar w:fldCharType="separate"/>
          </w:r>
          <w:r>
            <w:rPr>
              <w:rFonts w:ascii="Times New Roman" w:eastAsia="Times New Roman" w:hAnsi="Times New Roman" w:cs="Times New Roman"/>
              <w:b/>
              <w:sz w:val="24"/>
              <w:szCs w:val="24"/>
            </w:rPr>
            <w:t>1</w:t>
          </w:r>
          <w:r>
            <w:fldChar w:fldCharType="end"/>
          </w:r>
        </w:p>
        <w:p w:rsidR="001A2CE9" w:rsidRDefault="00324730">
          <w:pPr>
            <w:tabs>
              <w:tab w:val="right" w:pos="9360"/>
            </w:tabs>
            <w:spacing w:before="200" w:line="240" w:lineRule="auto"/>
            <w:rPr>
              <w:rFonts w:ascii="Times New Roman" w:eastAsia="Times New Roman" w:hAnsi="Times New Roman" w:cs="Times New Roman"/>
              <w:sz w:val="24"/>
              <w:szCs w:val="24"/>
            </w:rPr>
          </w:pPr>
          <w:hyperlink w:anchor="_dps62akkcv2v">
            <w:r>
              <w:rPr>
                <w:rFonts w:ascii="Times New Roman" w:eastAsia="Times New Roman" w:hAnsi="Times New Roman" w:cs="Times New Roman"/>
                <w:b/>
                <w:sz w:val="24"/>
                <w:szCs w:val="24"/>
              </w:rPr>
              <w:t>Executive Summary</w:t>
            </w:r>
          </w:hyperlink>
          <w:r>
            <w:rPr>
              <w:rFonts w:ascii="Times New Roman" w:eastAsia="Times New Roman" w:hAnsi="Times New Roman" w:cs="Times New Roman"/>
              <w:b/>
              <w:sz w:val="24"/>
              <w:szCs w:val="24"/>
            </w:rPr>
            <w:tab/>
          </w:r>
          <w:r>
            <w:fldChar w:fldCharType="begin"/>
          </w:r>
          <w:r>
            <w:instrText xml:space="preserve"> PAGEREF _dps62akkcv2v \h </w:instrText>
          </w:r>
          <w:r>
            <w:fldChar w:fldCharType="separate"/>
          </w:r>
          <w:r>
            <w:rPr>
              <w:rFonts w:ascii="Times New Roman" w:eastAsia="Times New Roman" w:hAnsi="Times New Roman" w:cs="Times New Roman"/>
              <w:b/>
              <w:sz w:val="24"/>
              <w:szCs w:val="24"/>
            </w:rPr>
            <w:t>2</w:t>
          </w:r>
          <w:r>
            <w:fldChar w:fldCharType="end"/>
          </w:r>
        </w:p>
        <w:p w:rsidR="001A2CE9" w:rsidRDefault="00324730">
          <w:pPr>
            <w:tabs>
              <w:tab w:val="right" w:pos="9360"/>
            </w:tabs>
            <w:spacing w:before="60" w:line="240" w:lineRule="auto"/>
            <w:ind w:left="360"/>
            <w:rPr>
              <w:rFonts w:ascii="Times New Roman" w:eastAsia="Times New Roman" w:hAnsi="Times New Roman" w:cs="Times New Roman"/>
              <w:sz w:val="24"/>
              <w:szCs w:val="24"/>
            </w:rPr>
          </w:pPr>
          <w:hyperlink w:anchor="_q9z7l4tuia8r">
            <w:r>
              <w:rPr>
                <w:rFonts w:ascii="Times New Roman" w:eastAsia="Times New Roman" w:hAnsi="Times New Roman" w:cs="Times New Roman"/>
                <w:sz w:val="24"/>
                <w:szCs w:val="24"/>
              </w:rPr>
              <w:t>Analysis</w:t>
            </w:r>
          </w:hyperlink>
          <w:r>
            <w:rPr>
              <w:rFonts w:ascii="Times New Roman" w:eastAsia="Times New Roman" w:hAnsi="Times New Roman" w:cs="Times New Roman"/>
              <w:sz w:val="24"/>
              <w:szCs w:val="24"/>
            </w:rPr>
            <w:tab/>
          </w:r>
          <w:r>
            <w:fldChar w:fldCharType="begin"/>
          </w:r>
          <w:r>
            <w:instrText xml:space="preserve"> PAGEREF _q9z7l4tuia8r \h </w:instrText>
          </w:r>
          <w:r>
            <w:fldChar w:fldCharType="separate"/>
          </w:r>
          <w:r>
            <w:rPr>
              <w:rFonts w:ascii="Times New Roman" w:eastAsia="Times New Roman" w:hAnsi="Times New Roman" w:cs="Times New Roman"/>
              <w:sz w:val="24"/>
              <w:szCs w:val="24"/>
            </w:rPr>
            <w:t>2</w:t>
          </w:r>
          <w:r>
            <w:fldChar w:fldCharType="end"/>
          </w:r>
        </w:p>
        <w:p w:rsidR="001A2CE9" w:rsidRDefault="00324730">
          <w:pPr>
            <w:tabs>
              <w:tab w:val="right" w:pos="9360"/>
            </w:tabs>
            <w:spacing w:before="60" w:line="240" w:lineRule="auto"/>
            <w:ind w:left="360"/>
            <w:rPr>
              <w:rFonts w:ascii="Times New Roman" w:eastAsia="Times New Roman" w:hAnsi="Times New Roman" w:cs="Times New Roman"/>
              <w:sz w:val="24"/>
              <w:szCs w:val="24"/>
            </w:rPr>
          </w:pPr>
          <w:hyperlink w:anchor="_ni6qxsrgfmza">
            <w:r>
              <w:rPr>
                <w:rFonts w:ascii="Times New Roman" w:eastAsia="Times New Roman" w:hAnsi="Times New Roman" w:cs="Times New Roman"/>
                <w:sz w:val="24"/>
                <w:szCs w:val="24"/>
              </w:rPr>
              <w:t>Findings</w:t>
            </w:r>
          </w:hyperlink>
          <w:r>
            <w:rPr>
              <w:rFonts w:ascii="Times New Roman" w:eastAsia="Times New Roman" w:hAnsi="Times New Roman" w:cs="Times New Roman"/>
              <w:sz w:val="24"/>
              <w:szCs w:val="24"/>
            </w:rPr>
            <w:tab/>
          </w:r>
          <w:r>
            <w:fldChar w:fldCharType="begin"/>
          </w:r>
          <w:r>
            <w:instrText xml:space="preserve"> PAGEREF _ni6qxsrgfmza \h </w:instrText>
          </w:r>
          <w:r>
            <w:fldChar w:fldCharType="separate"/>
          </w:r>
          <w:r>
            <w:rPr>
              <w:rFonts w:ascii="Times New Roman" w:eastAsia="Times New Roman" w:hAnsi="Times New Roman" w:cs="Times New Roman"/>
              <w:sz w:val="24"/>
              <w:szCs w:val="24"/>
            </w:rPr>
            <w:t>2</w:t>
          </w:r>
          <w:r>
            <w:fldChar w:fldCharType="end"/>
          </w:r>
        </w:p>
        <w:p w:rsidR="001A2CE9" w:rsidRDefault="00324730">
          <w:pPr>
            <w:tabs>
              <w:tab w:val="right" w:pos="9360"/>
            </w:tabs>
            <w:spacing w:before="200" w:line="240" w:lineRule="auto"/>
            <w:rPr>
              <w:rFonts w:ascii="Times New Roman" w:eastAsia="Times New Roman" w:hAnsi="Times New Roman" w:cs="Times New Roman"/>
              <w:sz w:val="24"/>
              <w:szCs w:val="24"/>
            </w:rPr>
          </w:pPr>
          <w:hyperlink w:anchor="_pjsvzfww1k6x">
            <w:r>
              <w:rPr>
                <w:rFonts w:ascii="Times New Roman" w:eastAsia="Times New Roman" w:hAnsi="Times New Roman" w:cs="Times New Roman"/>
                <w:b/>
                <w:sz w:val="24"/>
                <w:szCs w:val="24"/>
              </w:rPr>
              <w:t>Consumer Confidence Index &amp; Elections</w:t>
            </w:r>
          </w:hyperlink>
          <w:r>
            <w:rPr>
              <w:rFonts w:ascii="Times New Roman" w:eastAsia="Times New Roman" w:hAnsi="Times New Roman" w:cs="Times New Roman"/>
              <w:b/>
              <w:sz w:val="24"/>
              <w:szCs w:val="24"/>
            </w:rPr>
            <w:tab/>
          </w:r>
          <w:r>
            <w:fldChar w:fldCharType="begin"/>
          </w:r>
          <w:r>
            <w:instrText xml:space="preserve"> PAGEREF _pjsvzfww1k6x \h </w:instrText>
          </w:r>
          <w:r>
            <w:fldChar w:fldCharType="separate"/>
          </w:r>
          <w:r>
            <w:rPr>
              <w:rFonts w:ascii="Times New Roman" w:eastAsia="Times New Roman" w:hAnsi="Times New Roman" w:cs="Times New Roman"/>
              <w:b/>
              <w:sz w:val="24"/>
              <w:szCs w:val="24"/>
            </w:rPr>
            <w:t>3</w:t>
          </w:r>
          <w:r>
            <w:fldChar w:fldCharType="end"/>
          </w:r>
        </w:p>
        <w:p w:rsidR="001A2CE9" w:rsidRDefault="00324730">
          <w:pPr>
            <w:tabs>
              <w:tab w:val="right" w:pos="9360"/>
            </w:tabs>
            <w:spacing w:before="200" w:line="240" w:lineRule="auto"/>
            <w:rPr>
              <w:rFonts w:ascii="Times New Roman" w:eastAsia="Times New Roman" w:hAnsi="Times New Roman" w:cs="Times New Roman"/>
              <w:sz w:val="24"/>
              <w:szCs w:val="24"/>
            </w:rPr>
          </w:pPr>
          <w:hyperlink w:anchor="_4pmo7emh1uvr">
            <w:r>
              <w:rPr>
                <w:rFonts w:ascii="Times New Roman" w:eastAsia="Times New Roman" w:hAnsi="Times New Roman" w:cs="Times New Roman"/>
                <w:b/>
                <w:sz w:val="24"/>
                <w:szCs w:val="24"/>
              </w:rPr>
              <w:t>Consumer Confidence Index: 1960 - Present</w:t>
            </w:r>
          </w:hyperlink>
          <w:r>
            <w:rPr>
              <w:rFonts w:ascii="Times New Roman" w:eastAsia="Times New Roman" w:hAnsi="Times New Roman" w:cs="Times New Roman"/>
              <w:b/>
              <w:sz w:val="24"/>
              <w:szCs w:val="24"/>
            </w:rPr>
            <w:tab/>
          </w:r>
          <w:r>
            <w:fldChar w:fldCharType="begin"/>
          </w:r>
          <w:r>
            <w:instrText xml:space="preserve"> PAGEREF _4pmo7emh1uvr \h </w:instrText>
          </w:r>
          <w:r>
            <w:fldChar w:fldCharType="separate"/>
          </w:r>
          <w:r>
            <w:rPr>
              <w:rFonts w:ascii="Times New Roman" w:eastAsia="Times New Roman" w:hAnsi="Times New Roman" w:cs="Times New Roman"/>
              <w:b/>
              <w:sz w:val="24"/>
              <w:szCs w:val="24"/>
            </w:rPr>
            <w:t>4</w:t>
          </w:r>
          <w:r>
            <w:fldChar w:fldCharType="end"/>
          </w:r>
        </w:p>
        <w:p w:rsidR="001A2CE9" w:rsidRDefault="00324730">
          <w:pPr>
            <w:tabs>
              <w:tab w:val="right" w:pos="9360"/>
            </w:tabs>
            <w:spacing w:before="200" w:line="240" w:lineRule="auto"/>
            <w:rPr>
              <w:rFonts w:ascii="Times New Roman" w:eastAsia="Times New Roman" w:hAnsi="Times New Roman" w:cs="Times New Roman"/>
              <w:sz w:val="24"/>
              <w:szCs w:val="24"/>
            </w:rPr>
          </w:pPr>
          <w:hyperlink w:anchor="_fat932nhew44">
            <w:r>
              <w:rPr>
                <w:rFonts w:ascii="Times New Roman" w:eastAsia="Times New Roman" w:hAnsi="Times New Roman" w:cs="Times New Roman"/>
                <w:b/>
                <w:sz w:val="24"/>
                <w:szCs w:val="24"/>
              </w:rPr>
              <w:t>Modeling the Consumer Confidence Index</w:t>
            </w:r>
          </w:hyperlink>
          <w:r>
            <w:rPr>
              <w:rFonts w:ascii="Times New Roman" w:eastAsia="Times New Roman" w:hAnsi="Times New Roman" w:cs="Times New Roman"/>
              <w:b/>
              <w:sz w:val="24"/>
              <w:szCs w:val="24"/>
            </w:rPr>
            <w:tab/>
          </w:r>
          <w:r>
            <w:fldChar w:fldCharType="begin"/>
          </w:r>
          <w:r>
            <w:instrText xml:space="preserve"> PAGEREF _fat932nhew44 \h </w:instrText>
          </w:r>
          <w:r>
            <w:fldChar w:fldCharType="separate"/>
          </w:r>
          <w:r>
            <w:rPr>
              <w:rFonts w:ascii="Times New Roman" w:eastAsia="Times New Roman" w:hAnsi="Times New Roman" w:cs="Times New Roman"/>
              <w:b/>
              <w:sz w:val="24"/>
              <w:szCs w:val="24"/>
            </w:rPr>
            <w:t>5</w:t>
          </w:r>
          <w:r>
            <w:fldChar w:fldCharType="end"/>
          </w:r>
        </w:p>
        <w:p w:rsidR="001A2CE9" w:rsidRDefault="00324730">
          <w:pPr>
            <w:tabs>
              <w:tab w:val="right" w:pos="9360"/>
            </w:tabs>
            <w:spacing w:before="200" w:line="240" w:lineRule="auto"/>
            <w:rPr>
              <w:rFonts w:ascii="Times New Roman" w:eastAsia="Times New Roman" w:hAnsi="Times New Roman" w:cs="Times New Roman"/>
              <w:sz w:val="24"/>
              <w:szCs w:val="24"/>
            </w:rPr>
          </w:pPr>
          <w:hyperlink w:anchor="_1t5q6690lcze">
            <w:r>
              <w:rPr>
                <w:rFonts w:ascii="Times New Roman" w:eastAsia="Times New Roman" w:hAnsi="Times New Roman" w:cs="Times New Roman"/>
                <w:b/>
                <w:sz w:val="24"/>
                <w:szCs w:val="24"/>
              </w:rPr>
              <w:t>ARIMA Model</w:t>
            </w:r>
          </w:hyperlink>
          <w:r>
            <w:rPr>
              <w:rFonts w:ascii="Times New Roman" w:eastAsia="Times New Roman" w:hAnsi="Times New Roman" w:cs="Times New Roman"/>
              <w:b/>
              <w:sz w:val="24"/>
              <w:szCs w:val="24"/>
            </w:rPr>
            <w:tab/>
          </w:r>
          <w:r>
            <w:fldChar w:fldCharType="begin"/>
          </w:r>
          <w:r>
            <w:instrText xml:space="preserve"> PAGEREF _1t5q6690lcze \h </w:instrText>
          </w:r>
          <w:r>
            <w:fldChar w:fldCharType="separate"/>
          </w:r>
          <w:r>
            <w:rPr>
              <w:rFonts w:ascii="Times New Roman" w:eastAsia="Times New Roman" w:hAnsi="Times New Roman" w:cs="Times New Roman"/>
              <w:b/>
              <w:sz w:val="24"/>
              <w:szCs w:val="24"/>
            </w:rPr>
            <w:t>6</w:t>
          </w:r>
          <w:r>
            <w:fldChar w:fldCharType="end"/>
          </w:r>
        </w:p>
        <w:p w:rsidR="001A2CE9" w:rsidRDefault="00324730">
          <w:pPr>
            <w:tabs>
              <w:tab w:val="right" w:pos="9360"/>
            </w:tabs>
            <w:spacing w:before="200" w:line="240" w:lineRule="auto"/>
            <w:rPr>
              <w:rFonts w:ascii="Times New Roman" w:eastAsia="Times New Roman" w:hAnsi="Times New Roman" w:cs="Times New Roman"/>
              <w:sz w:val="24"/>
              <w:szCs w:val="24"/>
            </w:rPr>
          </w:pPr>
          <w:hyperlink w:anchor="_1temq6u9lbf0">
            <w:r>
              <w:rPr>
                <w:rFonts w:ascii="Times New Roman" w:eastAsia="Times New Roman" w:hAnsi="Times New Roman" w:cs="Times New Roman"/>
                <w:b/>
                <w:sz w:val="24"/>
                <w:szCs w:val="24"/>
              </w:rPr>
              <w:t>ARMA-GARCH Model</w:t>
            </w:r>
          </w:hyperlink>
          <w:r>
            <w:rPr>
              <w:rFonts w:ascii="Times New Roman" w:eastAsia="Times New Roman" w:hAnsi="Times New Roman" w:cs="Times New Roman"/>
              <w:b/>
              <w:sz w:val="24"/>
              <w:szCs w:val="24"/>
            </w:rPr>
            <w:tab/>
          </w:r>
          <w:r>
            <w:fldChar w:fldCharType="begin"/>
          </w:r>
          <w:r>
            <w:instrText xml:space="preserve"> PAGEREF _1temq6u9lbf0 \h </w:instrText>
          </w:r>
          <w:r>
            <w:fldChar w:fldCharType="separate"/>
          </w:r>
          <w:r>
            <w:rPr>
              <w:rFonts w:ascii="Times New Roman" w:eastAsia="Times New Roman" w:hAnsi="Times New Roman" w:cs="Times New Roman"/>
              <w:b/>
              <w:sz w:val="24"/>
              <w:szCs w:val="24"/>
            </w:rPr>
            <w:t>7</w:t>
          </w:r>
          <w:r>
            <w:fldChar w:fldCharType="end"/>
          </w:r>
        </w:p>
        <w:p w:rsidR="001A2CE9" w:rsidRDefault="00324730">
          <w:pPr>
            <w:tabs>
              <w:tab w:val="right" w:pos="9360"/>
            </w:tabs>
            <w:spacing w:before="200" w:line="240" w:lineRule="auto"/>
            <w:rPr>
              <w:rFonts w:ascii="Times New Roman" w:eastAsia="Times New Roman" w:hAnsi="Times New Roman" w:cs="Times New Roman"/>
              <w:sz w:val="24"/>
              <w:szCs w:val="24"/>
            </w:rPr>
          </w:pPr>
          <w:hyperlink w:anchor="_91h3eghdozi8">
            <w:r>
              <w:rPr>
                <w:rFonts w:ascii="Times New Roman" w:eastAsia="Times New Roman" w:hAnsi="Times New Roman" w:cs="Times New Roman"/>
                <w:b/>
                <w:sz w:val="24"/>
                <w:szCs w:val="24"/>
              </w:rPr>
              <w:t>Forecasting CCI with ARMA-GARCH</w:t>
            </w:r>
            <w:r>
              <w:rPr>
                <w:rFonts w:ascii="Times New Roman" w:eastAsia="Times New Roman" w:hAnsi="Times New Roman" w:cs="Times New Roman"/>
                <w:b/>
                <w:sz w:val="24"/>
                <w:szCs w:val="24"/>
              </w:rPr>
              <w:t xml:space="preserve"> Model</w:t>
            </w:r>
          </w:hyperlink>
          <w:r>
            <w:rPr>
              <w:rFonts w:ascii="Times New Roman" w:eastAsia="Times New Roman" w:hAnsi="Times New Roman" w:cs="Times New Roman"/>
              <w:b/>
              <w:sz w:val="24"/>
              <w:szCs w:val="24"/>
            </w:rPr>
            <w:tab/>
          </w:r>
          <w:r>
            <w:fldChar w:fldCharType="begin"/>
          </w:r>
          <w:r>
            <w:instrText xml:space="preserve"> PAGEREF _91h3eghdozi8 \h </w:instrText>
          </w:r>
          <w:r>
            <w:fldChar w:fldCharType="separate"/>
          </w:r>
          <w:r>
            <w:rPr>
              <w:rFonts w:ascii="Times New Roman" w:eastAsia="Times New Roman" w:hAnsi="Times New Roman" w:cs="Times New Roman"/>
              <w:b/>
              <w:sz w:val="24"/>
              <w:szCs w:val="24"/>
            </w:rPr>
            <w:t>9</w:t>
          </w:r>
          <w:r>
            <w:fldChar w:fldCharType="end"/>
          </w:r>
        </w:p>
        <w:p w:rsidR="001A2CE9" w:rsidRDefault="00324730">
          <w:pPr>
            <w:tabs>
              <w:tab w:val="right" w:pos="9360"/>
            </w:tabs>
            <w:spacing w:before="200" w:line="240" w:lineRule="auto"/>
            <w:rPr>
              <w:rFonts w:ascii="Times New Roman" w:eastAsia="Times New Roman" w:hAnsi="Times New Roman" w:cs="Times New Roman"/>
              <w:sz w:val="24"/>
              <w:szCs w:val="24"/>
            </w:rPr>
          </w:pPr>
          <w:hyperlink w:anchor="_972n12oy2xsf">
            <w:r>
              <w:rPr>
                <w:rFonts w:ascii="Times New Roman" w:eastAsia="Times New Roman" w:hAnsi="Times New Roman" w:cs="Times New Roman"/>
                <w:b/>
                <w:sz w:val="24"/>
                <w:szCs w:val="24"/>
              </w:rPr>
              <w:t>Conclusion</w:t>
            </w:r>
          </w:hyperlink>
          <w:r>
            <w:rPr>
              <w:rFonts w:ascii="Times New Roman" w:eastAsia="Times New Roman" w:hAnsi="Times New Roman" w:cs="Times New Roman"/>
              <w:b/>
              <w:sz w:val="24"/>
              <w:szCs w:val="24"/>
            </w:rPr>
            <w:tab/>
          </w:r>
          <w:r>
            <w:fldChar w:fldCharType="begin"/>
          </w:r>
          <w:r>
            <w:instrText xml:space="preserve"> PAGEREF _972n12oy2xsf \h </w:instrText>
          </w:r>
          <w:r>
            <w:fldChar w:fldCharType="separate"/>
          </w:r>
          <w:r>
            <w:rPr>
              <w:rFonts w:ascii="Times New Roman" w:eastAsia="Times New Roman" w:hAnsi="Times New Roman" w:cs="Times New Roman"/>
              <w:b/>
              <w:sz w:val="24"/>
              <w:szCs w:val="24"/>
            </w:rPr>
            <w:t>10</w:t>
          </w:r>
          <w:r>
            <w:fldChar w:fldCharType="end"/>
          </w:r>
        </w:p>
        <w:p w:rsidR="001A2CE9" w:rsidRDefault="00324730">
          <w:pPr>
            <w:tabs>
              <w:tab w:val="right" w:pos="9360"/>
            </w:tabs>
            <w:spacing w:before="200" w:line="240" w:lineRule="auto"/>
            <w:rPr>
              <w:rFonts w:ascii="Times New Roman" w:eastAsia="Times New Roman" w:hAnsi="Times New Roman" w:cs="Times New Roman"/>
              <w:sz w:val="24"/>
              <w:szCs w:val="24"/>
            </w:rPr>
          </w:pPr>
          <w:hyperlink w:anchor="_85ni5mfzei5l">
            <w:r>
              <w:rPr>
                <w:rFonts w:ascii="Times New Roman" w:eastAsia="Times New Roman" w:hAnsi="Times New Roman" w:cs="Times New Roman"/>
                <w:b/>
                <w:sz w:val="24"/>
                <w:szCs w:val="24"/>
              </w:rPr>
              <w:t>Appendix A: ARIMA Model Plots</w:t>
            </w:r>
          </w:hyperlink>
          <w:r>
            <w:rPr>
              <w:rFonts w:ascii="Times New Roman" w:eastAsia="Times New Roman" w:hAnsi="Times New Roman" w:cs="Times New Roman"/>
              <w:b/>
              <w:sz w:val="24"/>
              <w:szCs w:val="24"/>
            </w:rPr>
            <w:tab/>
          </w:r>
          <w:r>
            <w:fldChar w:fldCharType="begin"/>
          </w:r>
          <w:r>
            <w:instrText xml:space="preserve"> PAGEREF _85ni5mfzei5l \h </w:instrText>
          </w:r>
          <w:r>
            <w:fldChar w:fldCharType="separate"/>
          </w:r>
          <w:r>
            <w:rPr>
              <w:rFonts w:ascii="Times New Roman" w:eastAsia="Times New Roman" w:hAnsi="Times New Roman" w:cs="Times New Roman"/>
              <w:b/>
              <w:sz w:val="24"/>
              <w:szCs w:val="24"/>
            </w:rPr>
            <w:t>11</w:t>
          </w:r>
          <w:r>
            <w:fldChar w:fldCharType="end"/>
          </w:r>
        </w:p>
        <w:p w:rsidR="001A2CE9" w:rsidRDefault="00324730">
          <w:pPr>
            <w:tabs>
              <w:tab w:val="right" w:pos="9360"/>
            </w:tabs>
            <w:spacing w:before="200" w:line="240" w:lineRule="auto"/>
            <w:rPr>
              <w:rFonts w:ascii="Times New Roman" w:eastAsia="Times New Roman" w:hAnsi="Times New Roman" w:cs="Times New Roman"/>
              <w:sz w:val="24"/>
              <w:szCs w:val="24"/>
            </w:rPr>
          </w:pPr>
          <w:hyperlink w:anchor="_2es8gxd5935l">
            <w:r>
              <w:rPr>
                <w:rFonts w:ascii="Times New Roman" w:eastAsia="Times New Roman" w:hAnsi="Times New Roman" w:cs="Times New Roman"/>
                <w:b/>
                <w:sz w:val="24"/>
                <w:szCs w:val="24"/>
              </w:rPr>
              <w:t>Appendix B: ARMA-GARCH Model Plots</w:t>
            </w:r>
          </w:hyperlink>
          <w:r>
            <w:rPr>
              <w:rFonts w:ascii="Times New Roman" w:eastAsia="Times New Roman" w:hAnsi="Times New Roman" w:cs="Times New Roman"/>
              <w:b/>
              <w:sz w:val="24"/>
              <w:szCs w:val="24"/>
            </w:rPr>
            <w:tab/>
          </w:r>
          <w:r>
            <w:fldChar w:fldCharType="begin"/>
          </w:r>
          <w:r>
            <w:instrText xml:space="preserve"> PAGEREF _2es8gxd5935l \h </w:instrText>
          </w:r>
          <w:r>
            <w:fldChar w:fldCharType="separate"/>
          </w:r>
          <w:r>
            <w:rPr>
              <w:rFonts w:ascii="Times New Roman" w:eastAsia="Times New Roman" w:hAnsi="Times New Roman" w:cs="Times New Roman"/>
              <w:b/>
              <w:sz w:val="24"/>
              <w:szCs w:val="24"/>
            </w:rPr>
            <w:t>13</w:t>
          </w:r>
          <w:r>
            <w:fldChar w:fldCharType="end"/>
          </w:r>
        </w:p>
        <w:p w:rsidR="001A2CE9" w:rsidRDefault="00324730">
          <w:pPr>
            <w:tabs>
              <w:tab w:val="right" w:pos="9360"/>
            </w:tabs>
            <w:spacing w:before="200" w:after="80" w:line="240" w:lineRule="auto"/>
            <w:rPr>
              <w:rFonts w:ascii="Times New Roman" w:eastAsia="Times New Roman" w:hAnsi="Times New Roman" w:cs="Times New Roman"/>
              <w:sz w:val="24"/>
              <w:szCs w:val="24"/>
            </w:rPr>
          </w:pPr>
          <w:hyperlink w:anchor="_9leg7giez8ty">
            <w:r>
              <w:rPr>
                <w:rFonts w:ascii="Times New Roman" w:eastAsia="Times New Roman" w:hAnsi="Times New Roman" w:cs="Times New Roman"/>
                <w:b/>
                <w:sz w:val="24"/>
                <w:szCs w:val="24"/>
              </w:rPr>
              <w:t>Appendix C: Project Output</w:t>
            </w:r>
          </w:hyperlink>
          <w:r>
            <w:rPr>
              <w:rFonts w:ascii="Times New Roman" w:eastAsia="Times New Roman" w:hAnsi="Times New Roman" w:cs="Times New Roman"/>
              <w:b/>
              <w:sz w:val="24"/>
              <w:szCs w:val="24"/>
            </w:rPr>
            <w:tab/>
          </w:r>
          <w:r>
            <w:fldChar w:fldCharType="begin"/>
          </w:r>
          <w:r>
            <w:instrText xml:space="preserve"> PAGEREF _9leg7giez8ty \h </w:instrText>
          </w:r>
          <w:r>
            <w:fldChar w:fldCharType="separate"/>
          </w:r>
          <w:r>
            <w:rPr>
              <w:rFonts w:ascii="Times New Roman" w:eastAsia="Times New Roman" w:hAnsi="Times New Roman" w:cs="Times New Roman"/>
              <w:b/>
              <w:sz w:val="24"/>
              <w:szCs w:val="24"/>
            </w:rPr>
            <w:t>16</w:t>
          </w:r>
          <w:r>
            <w:fldChar w:fldCharType="end"/>
          </w:r>
          <w:r>
            <w:fldChar w:fldCharType="end"/>
          </w:r>
        </w:p>
      </w:sdtContent>
    </w:sdt>
    <w:p w:rsidR="001A2CE9" w:rsidRDefault="001A2CE9">
      <w:pPr>
        <w:spacing w:line="480" w:lineRule="auto"/>
        <w:rPr>
          <w:rFonts w:ascii="Times New Roman" w:eastAsia="Times New Roman" w:hAnsi="Times New Roman" w:cs="Times New Roman"/>
          <w:sz w:val="24"/>
          <w:szCs w:val="24"/>
        </w:rPr>
      </w:pPr>
    </w:p>
    <w:p w:rsidR="001A2CE9" w:rsidRDefault="00324730">
      <w:pPr>
        <w:spacing w:line="480" w:lineRule="auto"/>
        <w:rPr>
          <w:rFonts w:ascii="Times New Roman" w:eastAsia="Times New Roman" w:hAnsi="Times New Roman" w:cs="Times New Roman"/>
          <w:sz w:val="24"/>
          <w:szCs w:val="24"/>
        </w:rPr>
      </w:pPr>
      <w:r>
        <w:br w:type="page"/>
      </w:r>
    </w:p>
    <w:p w:rsidR="001A2CE9" w:rsidRDefault="00324730">
      <w:pPr>
        <w:pStyle w:val="Heading2"/>
        <w:spacing w:line="480" w:lineRule="auto"/>
        <w:rPr>
          <w:rFonts w:ascii="Times New Roman" w:eastAsia="Times New Roman" w:hAnsi="Times New Roman" w:cs="Times New Roman"/>
        </w:rPr>
      </w:pPr>
      <w:bookmarkStart w:id="1" w:name="_dps62akkcv2v" w:colFirst="0" w:colLast="0"/>
      <w:bookmarkEnd w:id="1"/>
      <w:r>
        <w:rPr>
          <w:rFonts w:ascii="Times New Roman" w:eastAsia="Times New Roman" w:hAnsi="Times New Roman" w:cs="Times New Roman"/>
        </w:rPr>
        <w:lastRenderedPageBreak/>
        <w:t>Executive Summary</w:t>
      </w:r>
    </w:p>
    <w:p w:rsidR="001A2CE9" w:rsidRDefault="00324730">
      <w:pPr>
        <w:pStyle w:val="Heading3"/>
        <w:spacing w:line="480" w:lineRule="auto"/>
      </w:pPr>
      <w:bookmarkStart w:id="2" w:name="_q9z7l4tuia8r" w:colFirst="0" w:colLast="0"/>
      <w:bookmarkEnd w:id="2"/>
      <w:r>
        <w:rPr>
          <w:rFonts w:ascii="Times New Roman" w:eastAsia="Times New Roman" w:hAnsi="Times New Roman" w:cs="Times New Roman"/>
          <w:b/>
        </w:rPr>
        <w:t>Analysis</w:t>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includes an analysis and forecast of the Consumer Confidence Index in the United States from January, 1960 to February, 2018, in order to determine whether or not the</w:t>
      </w:r>
      <w:r>
        <w:rPr>
          <w:rFonts w:ascii="Times New Roman" w:eastAsia="Times New Roman" w:hAnsi="Times New Roman" w:cs="Times New Roman"/>
          <w:sz w:val="24"/>
          <w:szCs w:val="24"/>
        </w:rPr>
        <w:t xml:space="preserve"> Index will remain above 100 for the November, 2018 midterm elections. When Consumer Confidence is above 100, political scientists have observed that the incumbent political party typically stays in power. </w:t>
      </w:r>
    </w:p>
    <w:p w:rsidR="001A2CE9" w:rsidRDefault="00324730">
      <w:pPr>
        <w:pStyle w:val="Heading3"/>
        <w:spacing w:line="480" w:lineRule="auto"/>
        <w:rPr>
          <w:rFonts w:ascii="Times New Roman" w:eastAsia="Times New Roman" w:hAnsi="Times New Roman" w:cs="Times New Roman"/>
          <w:sz w:val="24"/>
          <w:szCs w:val="24"/>
        </w:rPr>
      </w:pPr>
      <w:bookmarkStart w:id="3" w:name="_ni6qxsrgfmza" w:colFirst="0" w:colLast="0"/>
      <w:bookmarkEnd w:id="3"/>
      <w:r>
        <w:rPr>
          <w:rFonts w:ascii="Times New Roman" w:eastAsia="Times New Roman" w:hAnsi="Times New Roman" w:cs="Times New Roman"/>
          <w:b/>
        </w:rPr>
        <w:t>Findings</w:t>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report’s findings, created through the use of an ARMA-GARCH model, indicate that the Consumer Confidence Index will almost certainly remain above 100 in November, 2019. Therefore, this indicator would suggest that the Republican Party is likely to con</w:t>
      </w:r>
      <w:r>
        <w:rPr>
          <w:rFonts w:ascii="Times New Roman" w:eastAsia="Times New Roman" w:hAnsi="Times New Roman" w:cs="Times New Roman"/>
          <w:sz w:val="24"/>
          <w:szCs w:val="24"/>
        </w:rPr>
        <w:t>tinue to hold its electoral advantage during the midterm elections.</w:t>
      </w:r>
    </w:p>
    <w:p w:rsidR="001A2CE9" w:rsidRDefault="001A2CE9">
      <w:pPr>
        <w:spacing w:line="480" w:lineRule="auto"/>
        <w:ind w:firstLine="720"/>
        <w:rPr>
          <w:rFonts w:ascii="Times New Roman" w:eastAsia="Times New Roman" w:hAnsi="Times New Roman" w:cs="Times New Roman"/>
          <w:sz w:val="24"/>
          <w:szCs w:val="24"/>
        </w:rPr>
      </w:pPr>
    </w:p>
    <w:p w:rsidR="001A2CE9" w:rsidRDefault="00324730">
      <w:pPr>
        <w:spacing w:line="480" w:lineRule="auto"/>
        <w:rPr>
          <w:rFonts w:ascii="Times New Roman" w:eastAsia="Times New Roman" w:hAnsi="Times New Roman" w:cs="Times New Roman"/>
        </w:rPr>
      </w:pPr>
      <w:r>
        <w:br w:type="page"/>
      </w:r>
    </w:p>
    <w:p w:rsidR="001A2CE9" w:rsidRDefault="00324730">
      <w:pPr>
        <w:pStyle w:val="Heading2"/>
        <w:spacing w:line="480" w:lineRule="auto"/>
        <w:rPr>
          <w:rFonts w:ascii="Times New Roman" w:eastAsia="Times New Roman" w:hAnsi="Times New Roman" w:cs="Times New Roman"/>
        </w:rPr>
      </w:pPr>
      <w:bookmarkStart w:id="4" w:name="_pjsvzfww1k6x" w:colFirst="0" w:colLast="0"/>
      <w:bookmarkEnd w:id="4"/>
      <w:r>
        <w:rPr>
          <w:rFonts w:ascii="Times New Roman" w:eastAsia="Times New Roman" w:hAnsi="Times New Roman" w:cs="Times New Roman"/>
        </w:rPr>
        <w:lastRenderedPageBreak/>
        <w:t>Consumer Confidence Index &amp; Elections</w:t>
      </w: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Consumer Confidence Index is described by the Organisation for Economic Co-operation and Development as a reflection of a household’s plans fo</w:t>
      </w:r>
      <w:r>
        <w:rPr>
          <w:rFonts w:ascii="Times New Roman" w:eastAsia="Times New Roman" w:hAnsi="Times New Roman" w:cs="Times New Roman"/>
          <w:sz w:val="24"/>
          <w:szCs w:val="24"/>
        </w:rPr>
        <w:t xml:space="preserve">r future major purchases, </w:t>
      </w:r>
      <w:bookmarkStart w:id="5" w:name="_GoBack"/>
      <w:bookmarkEnd w:id="5"/>
      <w:r>
        <w:rPr>
          <w:rFonts w:ascii="Times New Roman" w:eastAsia="Times New Roman" w:hAnsi="Times New Roman" w:cs="Times New Roman"/>
          <w:sz w:val="24"/>
          <w:szCs w:val="24"/>
        </w:rPr>
        <w:t>as well as their current and immediate future economic situation. Opinions are collected from survey respondents; these answers are then compared to a “normal” state, with the difference between positive and negative statements pr</w:t>
      </w:r>
      <w:r>
        <w:rPr>
          <w:rFonts w:ascii="Times New Roman" w:eastAsia="Times New Roman" w:hAnsi="Times New Roman" w:cs="Times New Roman"/>
          <w:sz w:val="24"/>
          <w:szCs w:val="24"/>
        </w:rPr>
        <w:t>oviding a qualitative index on economic conditions.</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w:t>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Beyond this, the Consumer Confidence Index in the United States has been positively correlated to the odds that an incumbent retains his or her seat in elected office.</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Generally, the higher the elected</w:t>
      </w:r>
      <w:r>
        <w:rPr>
          <w:rFonts w:ascii="Times New Roman" w:eastAsia="Times New Roman" w:hAnsi="Times New Roman" w:cs="Times New Roman"/>
          <w:sz w:val="24"/>
          <w:szCs w:val="24"/>
        </w:rPr>
        <w:t xml:space="preserve"> office, the more this effect is seen. This has lead political scientists and journalists to develop a rule of thumb that a President up for reelection is very likely to win if the Consumer Confidence Index in the United States is above 100.</w:t>
      </w: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 the tre</w:t>
      </w:r>
      <w:r>
        <w:rPr>
          <w:rFonts w:ascii="Times New Roman" w:eastAsia="Times New Roman" w:hAnsi="Times New Roman" w:cs="Times New Roman"/>
          <w:sz w:val="24"/>
          <w:szCs w:val="24"/>
        </w:rPr>
        <w:t>nd is not quite as pronounced for predicting United States Senate and House elections, the general rule is still useful for beginning to forecast future election results. While other macroeconomic and social trends have a large impact on the outcome of the</w:t>
      </w:r>
      <w:r>
        <w:rPr>
          <w:rFonts w:ascii="Times New Roman" w:eastAsia="Times New Roman" w:hAnsi="Times New Roman" w:cs="Times New Roman"/>
          <w:sz w:val="24"/>
          <w:szCs w:val="24"/>
        </w:rPr>
        <w:t>se more local elections, the general sentiment of voters towards the economy sets a decent baseline for electoral expectations.</w:t>
      </w: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Therefore, in addition to attempting to build a model that sufficiently explains the in-sample data and trends, this report als</w:t>
      </w:r>
      <w:r>
        <w:rPr>
          <w:rFonts w:ascii="Times New Roman" w:eastAsia="Times New Roman" w:hAnsi="Times New Roman" w:cs="Times New Roman"/>
          <w:sz w:val="24"/>
          <w:szCs w:val="24"/>
        </w:rPr>
        <w:t>o aims to project nine months into the future, to the upcoming November elections, in order to predict whether or not the Consumer Confidence Index will still be above this 100 threshold that seems to be influential for elections.</w:t>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Modeling, and therefore predicting, Consumer Confidence is difficult. There are many factors that influence the index, including social, political, and financial trends. Additionally, it is difficult to gauge which of these types of factors typically matte</w:t>
      </w:r>
      <w:r>
        <w:rPr>
          <w:rFonts w:ascii="Times New Roman" w:eastAsia="Times New Roman" w:hAnsi="Times New Roman" w:cs="Times New Roman"/>
          <w:sz w:val="24"/>
          <w:szCs w:val="24"/>
        </w:rPr>
        <w:t xml:space="preserve">rs most to consumers. In some cases, Presidential elections seem to swing the Consumer Confidence Index one way or another, even as other financial metrics remain relatively stable from one President to the next. At other times, it is clear that financial </w:t>
      </w:r>
      <w:r>
        <w:rPr>
          <w:rFonts w:ascii="Times New Roman" w:eastAsia="Times New Roman" w:hAnsi="Times New Roman" w:cs="Times New Roman"/>
          <w:sz w:val="24"/>
          <w:szCs w:val="24"/>
        </w:rPr>
        <w:t>indicators like the stock market are heavily influential, such as during the economic crisis of 2008, when the Consumer Confidence Index fell to 96.9.</w:t>
      </w:r>
    </w:p>
    <w:p w:rsidR="001A2CE9" w:rsidRDefault="00324730">
      <w:pPr>
        <w:pStyle w:val="Heading2"/>
        <w:spacing w:line="480" w:lineRule="auto"/>
        <w:rPr>
          <w:rFonts w:ascii="Times New Roman" w:eastAsia="Times New Roman" w:hAnsi="Times New Roman" w:cs="Times New Roman"/>
        </w:rPr>
      </w:pPr>
      <w:bookmarkStart w:id="6" w:name="_4pmo7emh1uvr" w:colFirst="0" w:colLast="0"/>
      <w:bookmarkEnd w:id="6"/>
      <w:r>
        <w:rPr>
          <w:rFonts w:ascii="Times New Roman" w:eastAsia="Times New Roman" w:hAnsi="Times New Roman" w:cs="Times New Roman"/>
        </w:rPr>
        <w:t>Consumer Confidence Index: 1960 - Present</w:t>
      </w:r>
      <w:r>
        <w:rPr>
          <w:noProof/>
        </w:rPr>
        <w:drawing>
          <wp:anchor distT="114300" distB="114300" distL="114300" distR="114300" simplePos="0" relativeHeight="251658240" behindDoc="0" locked="0" layoutInCell="1" hidden="0" allowOverlap="1">
            <wp:simplePos x="0" y="0"/>
            <wp:positionH relativeFrom="margin">
              <wp:posOffset>1724025</wp:posOffset>
            </wp:positionH>
            <wp:positionV relativeFrom="paragraph">
              <wp:posOffset>485775</wp:posOffset>
            </wp:positionV>
            <wp:extent cx="4105275" cy="4105275"/>
            <wp:effectExtent l="0" t="0" r="0" b="0"/>
            <wp:wrapSquare wrapText="bothSides" distT="114300" distB="11430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4105275" cy="4105275"/>
                    </a:xfrm>
                    <a:prstGeom prst="rect">
                      <a:avLst/>
                    </a:prstGeom>
                    <a:ln/>
                  </pic:spPr>
                </pic:pic>
              </a:graphicData>
            </a:graphic>
          </wp:anchor>
        </w:drawing>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image to the left shows Consumer Confidence Index from Jan</w:t>
      </w:r>
      <w:r>
        <w:rPr>
          <w:rFonts w:ascii="Times New Roman" w:eastAsia="Times New Roman" w:hAnsi="Times New Roman" w:cs="Times New Roman"/>
          <w:sz w:val="24"/>
          <w:szCs w:val="24"/>
        </w:rPr>
        <w:t xml:space="preserve">uary, 1960 to February, 2018. While the actual variation in US Consumer Confidence Index is small -- all values are between 96 and 103 -- there appears to be large discrepancies in correlation structure and variation over time. </w:t>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points towards the dat</w:t>
      </w:r>
      <w:r>
        <w:rPr>
          <w:rFonts w:ascii="Times New Roman" w:eastAsia="Times New Roman" w:hAnsi="Times New Roman" w:cs="Times New Roman"/>
          <w:sz w:val="24"/>
          <w:szCs w:val="24"/>
        </w:rPr>
        <w:t>aset being non-stationary. There also appears to be a large amount of difference in variation; there are periods where the Consumer Confidence Index is very volatile, dropping or rising sharply month to month. At other times, the Index is relatively stable</w:t>
      </w:r>
      <w:r>
        <w:rPr>
          <w:rFonts w:ascii="Times New Roman" w:eastAsia="Times New Roman" w:hAnsi="Times New Roman" w:cs="Times New Roman"/>
          <w:sz w:val="24"/>
          <w:szCs w:val="24"/>
        </w:rPr>
        <w:t>, staying within a small upper and lower range for possibly years. While the data appears to be heteroskedastic, there is also a minute amount of seasonality, which is taken into account with the stl() R function. The seasonality was so small as to be esse</w:t>
      </w:r>
      <w:r>
        <w:rPr>
          <w:rFonts w:ascii="Times New Roman" w:eastAsia="Times New Roman" w:hAnsi="Times New Roman" w:cs="Times New Roman"/>
          <w:sz w:val="24"/>
          <w:szCs w:val="24"/>
        </w:rPr>
        <w:t>ntially meaningless, and so the dataset was analyzed without it.</w:t>
      </w:r>
    </w:p>
    <w:p w:rsidR="001A2CE9" w:rsidRDefault="00324730">
      <w:pPr>
        <w:pStyle w:val="Heading2"/>
        <w:spacing w:line="480" w:lineRule="auto"/>
        <w:rPr>
          <w:rFonts w:ascii="Times New Roman" w:eastAsia="Times New Roman" w:hAnsi="Times New Roman" w:cs="Times New Roman"/>
        </w:rPr>
      </w:pPr>
      <w:bookmarkStart w:id="7" w:name="_fat932nhew44" w:colFirst="0" w:colLast="0"/>
      <w:bookmarkEnd w:id="7"/>
      <w:r>
        <w:rPr>
          <w:rFonts w:ascii="Times New Roman" w:eastAsia="Times New Roman" w:hAnsi="Times New Roman" w:cs="Times New Roman"/>
        </w:rPr>
        <w:t>Modeling the Consumer Confidence Index</w:t>
      </w: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Various methods were used to attempt to model the Consumer Confidence Index. The full printout of every model tested -- a total of five -- may be found</w:t>
      </w:r>
      <w:r>
        <w:rPr>
          <w:rFonts w:ascii="Times New Roman" w:eastAsia="Times New Roman" w:hAnsi="Times New Roman" w:cs="Times New Roman"/>
          <w:sz w:val="24"/>
          <w:szCs w:val="24"/>
        </w:rPr>
        <w:t xml:space="preserve"> in Appendix C: Project Output, while the following three models will be covered in-depth in this report:</w:t>
      </w:r>
    </w:p>
    <w:p w:rsidR="001A2CE9" w:rsidRDefault="00324730">
      <w:pPr>
        <w:numPr>
          <w:ilvl w:val="0"/>
          <w:numId w:val="1"/>
        </w:numPr>
        <w:spacing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ARIMA Model</w:t>
      </w:r>
    </w:p>
    <w:p w:rsidR="001A2CE9" w:rsidRDefault="00324730">
      <w:pPr>
        <w:numPr>
          <w:ilvl w:val="0"/>
          <w:numId w:val="1"/>
        </w:numPr>
        <w:spacing w:line="48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ARMA-GARCH Model</w:t>
      </w: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ARIMA model (created using the auto.Arima() function) offered a result that initially appeared useful, but upon furt</w:t>
      </w:r>
      <w:r>
        <w:rPr>
          <w:rFonts w:ascii="Times New Roman" w:eastAsia="Times New Roman" w:hAnsi="Times New Roman" w:cs="Times New Roman"/>
          <w:sz w:val="24"/>
          <w:szCs w:val="24"/>
        </w:rPr>
        <w:t>her examination failed to have Normally-distributed errors. Because of this, the model was useless for forecasting purposes, and proved that a more general framework was needed to take into account all of the trends within the Consumer Confidence Index dat</w:t>
      </w:r>
      <w:r>
        <w:rPr>
          <w:rFonts w:ascii="Times New Roman" w:eastAsia="Times New Roman" w:hAnsi="Times New Roman" w:cs="Times New Roman"/>
          <w:sz w:val="24"/>
          <w:szCs w:val="24"/>
        </w:rPr>
        <w:t>aset.</w:t>
      </w: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From that conclusion, an ARMA-GARCH model was fitted to the data, and ultimately provided the best results as it took into account the heteroskedastic nature of the dataset.</w:t>
      </w:r>
    </w:p>
    <w:p w:rsidR="001A2CE9" w:rsidRDefault="00324730">
      <w:pPr>
        <w:pStyle w:val="Heading2"/>
        <w:spacing w:line="480" w:lineRule="auto"/>
        <w:rPr>
          <w:rFonts w:ascii="Times New Roman" w:eastAsia="Times New Roman" w:hAnsi="Times New Roman" w:cs="Times New Roman"/>
        </w:rPr>
      </w:pPr>
      <w:bookmarkStart w:id="8" w:name="_1t5q6690lcze" w:colFirst="0" w:colLast="0"/>
      <w:bookmarkEnd w:id="8"/>
      <w:r>
        <w:rPr>
          <w:rFonts w:ascii="Times New Roman" w:eastAsia="Times New Roman" w:hAnsi="Times New Roman" w:cs="Times New Roman"/>
        </w:rPr>
        <w:lastRenderedPageBreak/>
        <w:t>ARIMA Model</w:t>
      </w:r>
    </w:p>
    <w:p w:rsidR="001A2CE9" w:rsidRDefault="00324730">
      <w:pPr>
        <w:jc w:val="center"/>
        <w:rPr>
          <w:rFonts w:ascii="Courier New" w:eastAsia="Courier New" w:hAnsi="Courier New" w:cs="Courier New"/>
          <w:sz w:val="20"/>
          <w:szCs w:val="20"/>
        </w:rPr>
      </w:pPr>
      <w:r>
        <w:rPr>
          <w:rFonts w:ascii="Courier New" w:eastAsia="Courier New" w:hAnsi="Courier New" w:cs="Courier New"/>
          <w:sz w:val="20"/>
          <w:szCs w:val="20"/>
        </w:rPr>
        <w:t xml:space="preserve">ARIMA(3,1,2) </w:t>
      </w:r>
    </w:p>
    <w:p w:rsidR="001A2CE9" w:rsidRDefault="001A2CE9">
      <w:pPr>
        <w:jc w:val="center"/>
        <w:rPr>
          <w:rFonts w:ascii="Courier New" w:eastAsia="Courier New" w:hAnsi="Courier New" w:cs="Courier New"/>
          <w:sz w:val="20"/>
          <w:szCs w:val="20"/>
        </w:rPr>
      </w:pPr>
    </w:p>
    <w:p w:rsidR="001A2CE9" w:rsidRDefault="00324730">
      <w:pPr>
        <w:jc w:val="center"/>
        <w:rPr>
          <w:rFonts w:ascii="Courier New" w:eastAsia="Courier New" w:hAnsi="Courier New" w:cs="Courier New"/>
          <w:sz w:val="20"/>
          <w:szCs w:val="20"/>
        </w:rPr>
      </w:pPr>
      <w:r>
        <w:rPr>
          <w:rFonts w:ascii="Courier New" w:eastAsia="Courier New" w:hAnsi="Courier New" w:cs="Courier New"/>
          <w:sz w:val="20"/>
          <w:szCs w:val="20"/>
        </w:rPr>
        <w:t>Coefficients:</w:t>
      </w:r>
    </w:p>
    <w:p w:rsidR="001A2CE9" w:rsidRDefault="00324730">
      <w:pPr>
        <w:jc w:val="center"/>
        <w:rPr>
          <w:rFonts w:ascii="Courier New" w:eastAsia="Courier New" w:hAnsi="Courier New" w:cs="Courier New"/>
          <w:sz w:val="20"/>
          <w:szCs w:val="20"/>
        </w:rPr>
      </w:pPr>
      <w:r>
        <w:rPr>
          <w:rFonts w:ascii="Courier New" w:eastAsia="Courier New" w:hAnsi="Courier New" w:cs="Courier New"/>
          <w:sz w:val="20"/>
          <w:szCs w:val="20"/>
        </w:rPr>
        <w:t xml:space="preserve">         ar1     ar2      ar3     </w:t>
      </w:r>
      <w:r>
        <w:rPr>
          <w:rFonts w:ascii="Courier New" w:eastAsia="Courier New" w:hAnsi="Courier New" w:cs="Courier New"/>
          <w:sz w:val="20"/>
          <w:szCs w:val="20"/>
        </w:rPr>
        <w:t>ma1     ma2</w:t>
      </w:r>
    </w:p>
    <w:p w:rsidR="001A2CE9" w:rsidRDefault="00324730">
      <w:pPr>
        <w:jc w:val="center"/>
        <w:rPr>
          <w:rFonts w:ascii="Courier New" w:eastAsia="Courier New" w:hAnsi="Courier New" w:cs="Courier New"/>
          <w:sz w:val="20"/>
          <w:szCs w:val="20"/>
        </w:rPr>
      </w:pPr>
      <w:r>
        <w:rPr>
          <w:rFonts w:ascii="Courier New" w:eastAsia="Courier New" w:hAnsi="Courier New" w:cs="Courier New"/>
          <w:sz w:val="20"/>
          <w:szCs w:val="20"/>
        </w:rPr>
        <w:t xml:space="preserve">      0.1847  0.4349  -0.4429  1.3208  0.4222</w:t>
      </w:r>
    </w:p>
    <w:p w:rsidR="001A2CE9" w:rsidRDefault="00324730">
      <w:pPr>
        <w:jc w:val="center"/>
        <w:rPr>
          <w:rFonts w:ascii="Courier New" w:eastAsia="Courier New" w:hAnsi="Courier New" w:cs="Courier New"/>
          <w:sz w:val="20"/>
          <w:szCs w:val="20"/>
        </w:rPr>
      </w:pPr>
      <w:r>
        <w:rPr>
          <w:rFonts w:ascii="Courier New" w:eastAsia="Courier New" w:hAnsi="Courier New" w:cs="Courier New"/>
          <w:sz w:val="20"/>
          <w:szCs w:val="20"/>
        </w:rPr>
        <w:t>s.e.  0.0853  0.0947   0.0621  0.0841  0.0473</w:t>
      </w:r>
    </w:p>
    <w:p w:rsidR="001A2CE9" w:rsidRDefault="001A2CE9">
      <w:pPr>
        <w:jc w:val="center"/>
        <w:rPr>
          <w:rFonts w:ascii="Courier New" w:eastAsia="Courier New" w:hAnsi="Courier New" w:cs="Courier New"/>
          <w:sz w:val="20"/>
          <w:szCs w:val="20"/>
        </w:rPr>
      </w:pPr>
    </w:p>
    <w:p w:rsidR="001A2CE9" w:rsidRDefault="00324730">
      <w:pPr>
        <w:jc w:val="center"/>
        <w:rPr>
          <w:rFonts w:ascii="Courier New" w:eastAsia="Courier New" w:hAnsi="Courier New" w:cs="Courier New"/>
          <w:sz w:val="20"/>
          <w:szCs w:val="20"/>
        </w:rPr>
      </w:pPr>
      <w:r>
        <w:rPr>
          <w:rFonts w:ascii="Courier New" w:eastAsia="Courier New" w:hAnsi="Courier New" w:cs="Courier New"/>
          <w:sz w:val="20"/>
          <w:szCs w:val="20"/>
        </w:rPr>
        <w:t>sigma^2 estimated as 0.008244:  log likelihood=685.09</w:t>
      </w:r>
    </w:p>
    <w:p w:rsidR="001A2CE9" w:rsidRDefault="00324730">
      <w:pPr>
        <w:jc w:val="center"/>
        <w:rPr>
          <w:rFonts w:ascii="Times New Roman" w:eastAsia="Times New Roman" w:hAnsi="Times New Roman" w:cs="Times New Roman"/>
          <w:sz w:val="24"/>
          <w:szCs w:val="24"/>
        </w:rPr>
      </w:pPr>
      <w:r>
        <w:rPr>
          <w:rFonts w:ascii="Courier New" w:eastAsia="Courier New" w:hAnsi="Courier New" w:cs="Courier New"/>
          <w:sz w:val="20"/>
          <w:szCs w:val="20"/>
        </w:rPr>
        <w:t>AIC=-1358.18   AICc=-1358.06   BIC=-1330.9</w:t>
      </w:r>
    </w:p>
    <w:p w:rsidR="001A2CE9" w:rsidRDefault="001A2CE9">
      <w:pPr>
        <w:jc w:val="center"/>
        <w:rPr>
          <w:rFonts w:ascii="Times New Roman" w:eastAsia="Times New Roman" w:hAnsi="Times New Roman" w:cs="Times New Roman"/>
          <w:sz w:val="24"/>
          <w:szCs w:val="24"/>
        </w:rPr>
      </w:pP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of the auto.arima() function was an ARIMA(3, 1, 2) model. This model results in a standard deviation of: 0.091.</w:t>
      </w:r>
      <w:r>
        <w:rPr>
          <w:noProof/>
        </w:rPr>
        <w:drawing>
          <wp:anchor distT="114300" distB="114300" distL="114300" distR="114300" simplePos="0" relativeHeight="251659264" behindDoc="0" locked="0" layoutInCell="1" hidden="0" allowOverlap="1">
            <wp:simplePos x="0" y="0"/>
            <wp:positionH relativeFrom="margin">
              <wp:posOffset>2733675</wp:posOffset>
            </wp:positionH>
            <wp:positionV relativeFrom="paragraph">
              <wp:posOffset>304800</wp:posOffset>
            </wp:positionV>
            <wp:extent cx="3096111" cy="3795713"/>
            <wp:effectExtent l="0" t="0" r="0" b="0"/>
            <wp:wrapSquare wrapText="bothSides" distT="114300" distB="11430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096111" cy="3795713"/>
                    </a:xfrm>
                    <a:prstGeom prst="rect">
                      <a:avLst/>
                    </a:prstGeom>
                    <a:ln/>
                  </pic:spPr>
                </pic:pic>
              </a:graphicData>
            </a:graphic>
          </wp:anchor>
        </w:drawing>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Graphing the results of this model and the actual Consumer Confidence Index appears promising (Appendix B, Figure I). The model see</w:t>
      </w:r>
      <w:r>
        <w:rPr>
          <w:rFonts w:ascii="Times New Roman" w:eastAsia="Times New Roman" w:hAnsi="Times New Roman" w:cs="Times New Roman"/>
          <w:sz w:val="24"/>
          <w:szCs w:val="24"/>
        </w:rPr>
        <w:t xml:space="preserve">ms to track well with the trends within the actual data. </w:t>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ACF and PACF (Appendix B, Figures II &amp; III) appear to show that the data is uncorrelated; the model therefore does a good job of extracting data and underlying trends within the In</w:t>
      </w:r>
      <w:r>
        <w:rPr>
          <w:rFonts w:ascii="Times New Roman" w:eastAsia="Times New Roman" w:hAnsi="Times New Roman" w:cs="Times New Roman"/>
          <w:sz w:val="24"/>
          <w:szCs w:val="24"/>
        </w:rPr>
        <w:t>dex dataset.</w:t>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Issues begin to arise when observing the residuals from this model (see above graph). There appears to still be trends within the residuals. Upon further work and after applying the Anderson-Darling test and creating a QQPlot (Appendix B, Figu</w:t>
      </w:r>
      <w:r>
        <w:rPr>
          <w:rFonts w:ascii="Times New Roman" w:eastAsia="Times New Roman" w:hAnsi="Times New Roman" w:cs="Times New Roman"/>
          <w:sz w:val="24"/>
          <w:szCs w:val="24"/>
        </w:rPr>
        <w:t xml:space="preserve">re IV) of the errors, it becomes </w:t>
      </w:r>
      <w:r>
        <w:rPr>
          <w:rFonts w:ascii="Times New Roman" w:eastAsia="Times New Roman" w:hAnsi="Times New Roman" w:cs="Times New Roman"/>
          <w:sz w:val="24"/>
          <w:szCs w:val="24"/>
        </w:rPr>
        <w:lastRenderedPageBreak/>
        <w:t>clear that the errors are not Normally distributed. Therefore, despite a good AIC and low sigma value, one of the underlying assumptions of the model is violated, and it is therefore useless for creating meaningful forecast</w:t>
      </w:r>
      <w:r>
        <w:rPr>
          <w:rFonts w:ascii="Times New Roman" w:eastAsia="Times New Roman" w:hAnsi="Times New Roman" w:cs="Times New Roman"/>
          <w:sz w:val="24"/>
          <w:szCs w:val="24"/>
        </w:rPr>
        <w:t>s.</w:t>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supports the original observation that the data may not be heteroskedastic, and that therefore an ARMA model with GARCH errors is almost certainly necessary.</w:t>
      </w:r>
    </w:p>
    <w:p w:rsidR="001A2CE9" w:rsidRDefault="00324730">
      <w:pPr>
        <w:pStyle w:val="Heading2"/>
        <w:spacing w:line="480" w:lineRule="auto"/>
        <w:rPr>
          <w:rFonts w:ascii="Times New Roman" w:eastAsia="Times New Roman" w:hAnsi="Times New Roman" w:cs="Times New Roman"/>
        </w:rPr>
      </w:pPr>
      <w:bookmarkStart w:id="9" w:name="_1temq6u9lbf0" w:colFirst="0" w:colLast="0"/>
      <w:bookmarkEnd w:id="9"/>
      <w:r>
        <w:rPr>
          <w:rFonts w:ascii="Times New Roman" w:eastAsia="Times New Roman" w:hAnsi="Times New Roman" w:cs="Times New Roman"/>
        </w:rPr>
        <w:t>ARMA-GARCH Model</w:t>
      </w: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With each model displaying the same violation of Normality to a significant degree, it became clear that the Consumer Confidence Index required the use of a model that could track changing errors over time. Additionally, the correct model still had to inco</w:t>
      </w:r>
      <w:r>
        <w:rPr>
          <w:rFonts w:ascii="Times New Roman" w:eastAsia="Times New Roman" w:hAnsi="Times New Roman" w:cs="Times New Roman"/>
          <w:sz w:val="24"/>
          <w:szCs w:val="24"/>
        </w:rPr>
        <w:t xml:space="preserve">rporate trend and level throughout the large Index dataset. </w:t>
      </w: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final model tested was therefore an ARMA-GARCH model. This model made use of the input parameters previously found with the auto.arima() command for the </w:t>
      </w:r>
      <w:r>
        <w:rPr>
          <w:rFonts w:ascii="Times New Roman" w:eastAsia="Times New Roman" w:hAnsi="Times New Roman" w:cs="Times New Roman"/>
          <w:i/>
          <w:sz w:val="24"/>
          <w:szCs w:val="24"/>
        </w:rPr>
        <w:t>p=3</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d=2</w:t>
      </w:r>
      <w:r>
        <w:rPr>
          <w:rFonts w:ascii="Times New Roman" w:eastAsia="Times New Roman" w:hAnsi="Times New Roman" w:cs="Times New Roman"/>
          <w:sz w:val="24"/>
          <w:szCs w:val="24"/>
        </w:rPr>
        <w:t xml:space="preserve"> components. The GARCH com</w:t>
      </w:r>
      <w:r>
        <w:rPr>
          <w:rFonts w:ascii="Times New Roman" w:eastAsia="Times New Roman" w:hAnsi="Times New Roman" w:cs="Times New Roman"/>
          <w:sz w:val="24"/>
          <w:szCs w:val="24"/>
        </w:rPr>
        <w:t xml:space="preserve">ponent was set to (1, 1), after running various iterations and choosing the result with the lowest AIC value, as well as inspecting the ACF and PACF plots. This model was created using the rugarch R package, which allows for the simultaneous creation of a </w:t>
      </w:r>
      <w:r>
        <w:rPr>
          <w:rFonts w:ascii="Times New Roman" w:eastAsia="Times New Roman" w:hAnsi="Times New Roman" w:cs="Times New Roman"/>
          <w:sz w:val="24"/>
          <w:szCs w:val="24"/>
        </w:rPr>
        <w:t>model that incorporates an ARMA model for the mean, and a GARCH model for the variance.</w:t>
      </w:r>
      <w:r>
        <w:rPr>
          <w:rFonts w:ascii="Times New Roman" w:eastAsia="Times New Roman" w:hAnsi="Times New Roman" w:cs="Times New Roman"/>
          <w:sz w:val="24"/>
          <w:szCs w:val="24"/>
          <w:vertAlign w:val="superscript"/>
        </w:rPr>
        <w:footnoteReference w:id="3"/>
      </w:r>
    </w:p>
    <w:p w:rsidR="001A2CE9" w:rsidRDefault="001A2CE9">
      <w:pPr>
        <w:spacing w:line="480" w:lineRule="auto"/>
        <w:rPr>
          <w:rFonts w:ascii="Times New Roman" w:eastAsia="Times New Roman" w:hAnsi="Times New Roman" w:cs="Times New Roman"/>
          <w:sz w:val="24"/>
          <w:szCs w:val="24"/>
        </w:rPr>
      </w:pPr>
    </w:p>
    <w:p w:rsidR="001A2CE9" w:rsidRDefault="001A2CE9">
      <w:pPr>
        <w:spacing w:line="480" w:lineRule="auto"/>
        <w:rPr>
          <w:rFonts w:ascii="Times New Roman" w:eastAsia="Times New Roman" w:hAnsi="Times New Roman" w:cs="Times New Roman"/>
          <w:sz w:val="24"/>
          <w:szCs w:val="24"/>
        </w:rPr>
      </w:pP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          GARCH Model Fit        *</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 xml:space="preserve">Conditional Variance Dynamics </w:t>
      </w:r>
      <w:r>
        <w:rPr>
          <w:rFonts w:ascii="Courier New" w:eastAsia="Courier New" w:hAnsi="Courier New" w:cs="Courier New"/>
          <w:sz w:val="20"/>
          <w:szCs w:val="20"/>
        </w:rPr>
        <w:tab/>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lastRenderedPageBreak/>
        <w:t>-------------------------</w:t>
      </w:r>
      <w:r>
        <w:rPr>
          <w:rFonts w:ascii="Courier New" w:eastAsia="Courier New" w:hAnsi="Courier New" w:cs="Courier New"/>
          <w:sz w:val="20"/>
          <w:szCs w:val="20"/>
        </w:rPr>
        <w:t>----------</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GARCH Model</w:t>
      </w:r>
      <w:r>
        <w:rPr>
          <w:rFonts w:ascii="Courier New" w:eastAsia="Courier New" w:hAnsi="Courier New" w:cs="Courier New"/>
          <w:sz w:val="20"/>
          <w:szCs w:val="20"/>
        </w:rPr>
        <w:tab/>
        <w:t>: sGARCH(1,1)</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Mean Model</w:t>
      </w:r>
      <w:r>
        <w:rPr>
          <w:rFonts w:ascii="Courier New" w:eastAsia="Courier New" w:hAnsi="Courier New" w:cs="Courier New"/>
          <w:sz w:val="20"/>
          <w:szCs w:val="20"/>
        </w:rPr>
        <w:tab/>
        <w:t>: ARFIMA(3,0,2)</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Distribution</w:t>
      </w:r>
      <w:r>
        <w:rPr>
          <w:rFonts w:ascii="Courier New" w:eastAsia="Courier New" w:hAnsi="Courier New" w:cs="Courier New"/>
          <w:sz w:val="20"/>
          <w:szCs w:val="20"/>
        </w:rPr>
        <w:tab/>
        <w:t xml:space="preserve">: norm </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Optimal Parameters</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 xml:space="preserve">         Estimate  Std. Error   t value Pr(&gt;|t|)</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mu     101.215054    0.059340 1705.6772   0.0000</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ar1      1.962917    0.009355  209.8334   0.0000</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ar2     -1.398994    0.015342  -91.1857   0.0000</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ar3      0.426647    0.020589   20.7221   0.0000</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ma1      0.683141    0.043430   15.7296   0.0000</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ma2      0.285677    0.040023    7.1377   0.0000</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omega    0.</w:t>
      </w:r>
      <w:r>
        <w:rPr>
          <w:rFonts w:ascii="Courier New" w:eastAsia="Courier New" w:hAnsi="Courier New" w:cs="Courier New"/>
          <w:sz w:val="20"/>
          <w:szCs w:val="20"/>
        </w:rPr>
        <w:t>000037    0.000024    1.5726   0.1158</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alpha1   0.113514    0.020929    5.4238   0.0000</w:t>
      </w:r>
    </w:p>
    <w:p w:rsidR="001A2CE9" w:rsidRDefault="00324730">
      <w:pPr>
        <w:spacing w:line="240" w:lineRule="auto"/>
        <w:jc w:val="center"/>
        <w:rPr>
          <w:rFonts w:ascii="Courier New" w:eastAsia="Courier New" w:hAnsi="Courier New" w:cs="Courier New"/>
          <w:sz w:val="20"/>
          <w:szCs w:val="20"/>
        </w:rPr>
      </w:pPr>
      <w:r>
        <w:rPr>
          <w:rFonts w:ascii="Courier New" w:eastAsia="Courier New" w:hAnsi="Courier New" w:cs="Courier New"/>
          <w:sz w:val="20"/>
          <w:szCs w:val="20"/>
        </w:rPr>
        <w:t>beta1    0.885486    0.019457   45.5098   0.0000</w:t>
      </w:r>
      <w:r>
        <w:rPr>
          <w:noProof/>
        </w:rPr>
        <w:drawing>
          <wp:anchor distT="114300" distB="114300" distL="114300" distR="114300" simplePos="0" relativeHeight="251660288" behindDoc="0" locked="0" layoutInCell="1" hidden="0" allowOverlap="1">
            <wp:simplePos x="0" y="0"/>
            <wp:positionH relativeFrom="margin">
              <wp:posOffset>-114299</wp:posOffset>
            </wp:positionH>
            <wp:positionV relativeFrom="paragraph">
              <wp:posOffset>238125</wp:posOffset>
            </wp:positionV>
            <wp:extent cx="2987339" cy="3662363"/>
            <wp:effectExtent l="0" t="0" r="0" b="0"/>
            <wp:wrapSquare wrapText="bothSides" distT="114300" distB="114300" distL="114300" distR="1143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987339" cy="3662363"/>
                    </a:xfrm>
                    <a:prstGeom prst="rect">
                      <a:avLst/>
                    </a:prstGeom>
                    <a:ln/>
                  </pic:spPr>
                </pic:pic>
              </a:graphicData>
            </a:graphic>
          </wp:anchor>
        </w:drawing>
      </w:r>
    </w:p>
    <w:p w:rsidR="001A2CE9" w:rsidRDefault="001A2CE9">
      <w:pPr>
        <w:spacing w:line="480" w:lineRule="auto"/>
        <w:rPr>
          <w:rFonts w:ascii="Times New Roman" w:eastAsia="Times New Roman" w:hAnsi="Times New Roman" w:cs="Times New Roman"/>
          <w:sz w:val="24"/>
          <w:szCs w:val="24"/>
        </w:rPr>
      </w:pP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model results in an AIC, after being multiplied by the number of data points in the Consumer Confidence Index dataset, of -1517.173. Additionally, the ACF and PACF show that the </w:t>
      </w:r>
      <w:r>
        <w:rPr>
          <w:i/>
          <w:color w:val="222222"/>
          <w:sz w:val="21"/>
          <w:szCs w:val="21"/>
          <w:highlight w:val="white"/>
        </w:rPr>
        <w:t>η</w:t>
      </w:r>
      <w:r>
        <w:rPr>
          <w:color w:val="222222"/>
          <w:sz w:val="21"/>
          <w:szCs w:val="21"/>
          <w:highlight w:val="white"/>
        </w:rPr>
        <w:t xml:space="preserve"> and </w:t>
      </w:r>
      <w:r>
        <w:rPr>
          <w:i/>
          <w:color w:val="222222"/>
          <w:sz w:val="21"/>
          <w:szCs w:val="21"/>
          <w:highlight w:val="white"/>
        </w:rPr>
        <w:t>η</w:t>
      </w:r>
      <w:r>
        <w:rPr>
          <w:color w:val="222222"/>
          <w:sz w:val="21"/>
          <w:szCs w:val="21"/>
          <w:highlight w:val="white"/>
          <w:vertAlign w:val="superscript"/>
        </w:rPr>
        <w:t>2</w:t>
      </w:r>
      <w:r>
        <w:rPr>
          <w:rFonts w:ascii="Times New Roman" w:eastAsia="Times New Roman" w:hAnsi="Times New Roman" w:cs="Times New Roman"/>
          <w:sz w:val="24"/>
          <w:szCs w:val="24"/>
        </w:rPr>
        <w:t xml:space="preserve"> are uncorrelated (Appendix C, Figures I &amp; II). The residuals, pl</w:t>
      </w:r>
      <w:r>
        <w:rPr>
          <w:rFonts w:ascii="Times New Roman" w:eastAsia="Times New Roman" w:hAnsi="Times New Roman" w:cs="Times New Roman"/>
          <w:sz w:val="24"/>
          <w:szCs w:val="24"/>
        </w:rPr>
        <w:t xml:space="preserve">otted to the left, display fewer signs of clear trends and correlation. Finally, the Ljung-Box test of both the </w:t>
      </w:r>
      <w:r>
        <w:rPr>
          <w:rFonts w:ascii="Times New Roman" w:eastAsia="Times New Roman" w:hAnsi="Times New Roman" w:cs="Times New Roman"/>
          <w:color w:val="222222"/>
          <w:sz w:val="24"/>
          <w:szCs w:val="24"/>
          <w:highlight w:val="white"/>
        </w:rPr>
        <w:t>η</w:t>
      </w:r>
      <w:r>
        <w:rPr>
          <w:rFonts w:ascii="Times New Roman" w:eastAsia="Times New Roman" w:hAnsi="Times New Roman" w:cs="Times New Roman"/>
          <w:sz w:val="24"/>
          <w:szCs w:val="24"/>
        </w:rPr>
        <w:t xml:space="preserve"> and the </w:t>
      </w:r>
      <w:r>
        <w:rPr>
          <w:rFonts w:ascii="Times New Roman" w:eastAsia="Times New Roman" w:hAnsi="Times New Roman" w:cs="Times New Roman"/>
          <w:color w:val="222222"/>
          <w:sz w:val="24"/>
          <w:szCs w:val="24"/>
          <w:highlight w:val="white"/>
        </w:rPr>
        <w:t>η</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terms indicates constant variance and that the eta terms are uncorrelated.</w:t>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 may be seen compared against the original CCI </w:t>
      </w:r>
      <w:r>
        <w:rPr>
          <w:rFonts w:ascii="Times New Roman" w:eastAsia="Times New Roman" w:hAnsi="Times New Roman" w:cs="Times New Roman"/>
          <w:sz w:val="24"/>
          <w:szCs w:val="24"/>
        </w:rPr>
        <w:t>data in Appendix C, Figure IV.</w:t>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the ARMA-GARCH method does seem to better explain the Index dataset than the other attempted models, there are still issues. This likely is because Consumer Confidence Index itself depends on a number of factors. </w:t>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While</w:t>
      </w:r>
      <w:r>
        <w:rPr>
          <w:rFonts w:ascii="Times New Roman" w:eastAsia="Times New Roman" w:hAnsi="Times New Roman" w:cs="Times New Roman"/>
          <w:sz w:val="24"/>
          <w:szCs w:val="24"/>
        </w:rPr>
        <w:t xml:space="preserve"> some of the trends could be accounted for with explanatory variables, it would take a subject matter expert to identify those variables and know that they are a cause of whatever trend is seen in the Index dataset. A future report, built upon this ARMA-GA</w:t>
      </w:r>
      <w:r>
        <w:rPr>
          <w:rFonts w:ascii="Times New Roman" w:eastAsia="Times New Roman" w:hAnsi="Times New Roman" w:cs="Times New Roman"/>
          <w:sz w:val="24"/>
          <w:szCs w:val="24"/>
        </w:rPr>
        <w:t>RCH model, may try to account for this.</w:t>
      </w:r>
    </w:p>
    <w:p w:rsidR="001A2CE9" w:rsidRDefault="00324730">
      <w:pPr>
        <w:pStyle w:val="Heading2"/>
        <w:spacing w:line="480" w:lineRule="auto"/>
        <w:rPr>
          <w:rFonts w:ascii="Times New Roman" w:eastAsia="Times New Roman" w:hAnsi="Times New Roman" w:cs="Times New Roman"/>
        </w:rPr>
      </w:pPr>
      <w:bookmarkStart w:id="10" w:name="_91h3eghdozi8" w:colFirst="0" w:colLast="0"/>
      <w:bookmarkEnd w:id="10"/>
      <w:r>
        <w:rPr>
          <w:rFonts w:ascii="Times New Roman" w:eastAsia="Times New Roman" w:hAnsi="Times New Roman" w:cs="Times New Roman"/>
        </w:rPr>
        <w:t>Forecasting CCI with ARMA-GARCH Model</w:t>
      </w: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To answer the actual question -- whether or not the Consumer Confidence Index will remain above 100 in nine months from the last data point included in this dataset (i.e., November, 2019’s midterm elections), the ARMA-GARCH model was used. </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w:t>
      </w:r>
      <w:r>
        <w:rPr>
          <w:rFonts w:ascii="Courier New" w:eastAsia="Courier New" w:hAnsi="Courier New" w:cs="Courier New"/>
          <w:sz w:val="24"/>
          <w:szCs w:val="24"/>
        </w:rPr>
        <w:t>----------------------*</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       GARCH Model Forecast         *</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Model: sGARCH</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Horizon: 9</w:t>
      </w:r>
    </w:p>
    <w:p w:rsidR="001A2CE9" w:rsidRDefault="001A2CE9">
      <w:pPr>
        <w:spacing w:line="240" w:lineRule="auto"/>
        <w:jc w:val="center"/>
        <w:rPr>
          <w:rFonts w:ascii="Courier New" w:eastAsia="Courier New" w:hAnsi="Courier New" w:cs="Courier New"/>
          <w:sz w:val="24"/>
          <w:szCs w:val="24"/>
        </w:rPr>
      </w:pPr>
    </w:p>
    <w:p w:rsidR="001A2CE9" w:rsidRDefault="001A2CE9">
      <w:pPr>
        <w:spacing w:line="240" w:lineRule="auto"/>
        <w:jc w:val="center"/>
        <w:rPr>
          <w:rFonts w:ascii="Courier New" w:eastAsia="Courier New" w:hAnsi="Courier New" w:cs="Courier New"/>
          <w:sz w:val="24"/>
          <w:szCs w:val="24"/>
        </w:rPr>
      </w:pP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Forecast:</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 xml:space="preserve">    Series   Sigma</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T+1  101.6 0.08264</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T+2  101.7 0.08283</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T+3  101.7 0.08301</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T+4  101.7 0.08320</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T+5  101.7 0.08338</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T+6</w:t>
      </w:r>
      <w:r>
        <w:rPr>
          <w:rFonts w:ascii="Courier New" w:eastAsia="Courier New" w:hAnsi="Courier New" w:cs="Courier New"/>
          <w:sz w:val="24"/>
          <w:szCs w:val="24"/>
        </w:rPr>
        <w:t xml:space="preserve">  101.6 0.08356</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T+7  101.6 0.08374</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T+8  101.6 0.08393</w:t>
      </w:r>
    </w:p>
    <w:p w:rsidR="001A2CE9" w:rsidRDefault="00324730">
      <w:pPr>
        <w:spacing w:line="240" w:lineRule="auto"/>
        <w:jc w:val="center"/>
        <w:rPr>
          <w:rFonts w:ascii="Courier New" w:eastAsia="Courier New" w:hAnsi="Courier New" w:cs="Courier New"/>
          <w:sz w:val="24"/>
          <w:szCs w:val="24"/>
        </w:rPr>
      </w:pPr>
      <w:r>
        <w:rPr>
          <w:rFonts w:ascii="Courier New" w:eastAsia="Courier New" w:hAnsi="Courier New" w:cs="Courier New"/>
          <w:sz w:val="24"/>
          <w:szCs w:val="24"/>
        </w:rPr>
        <w:t>T+9  101.6 0.08411</w:t>
      </w:r>
    </w:p>
    <w:p w:rsidR="001A2CE9" w:rsidRDefault="001A2CE9">
      <w:pPr>
        <w:spacing w:line="480" w:lineRule="auto"/>
        <w:rPr>
          <w:rFonts w:ascii="Courier New" w:eastAsia="Courier New" w:hAnsi="Courier New" w:cs="Courier New"/>
          <w:sz w:val="24"/>
          <w:szCs w:val="24"/>
        </w:rPr>
      </w:pP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Therefore, if Erikson’s </w:t>
      </w:r>
      <w:r>
        <w:rPr>
          <w:rFonts w:ascii="Times New Roman" w:eastAsia="Times New Roman" w:hAnsi="Times New Roman" w:cs="Times New Roman"/>
          <w:i/>
          <w:sz w:val="24"/>
          <w:szCs w:val="24"/>
        </w:rPr>
        <w:t>The Macro Polity</w:t>
      </w:r>
      <w:r>
        <w:rPr>
          <w:rFonts w:ascii="Times New Roman" w:eastAsia="Times New Roman" w:hAnsi="Times New Roman" w:cs="Times New Roman"/>
          <w:sz w:val="24"/>
          <w:szCs w:val="24"/>
        </w:rPr>
        <w:t xml:space="preserve"> and a general rule of thumb for political scientists holds true, it is unlikely that Republicans will experience a major loss in the number of seats in the House and the Senate, since the Consumer Confidence Index will remain above 100 during the time per</w:t>
      </w:r>
      <w:r>
        <w:rPr>
          <w:rFonts w:ascii="Times New Roman" w:eastAsia="Times New Roman" w:hAnsi="Times New Roman" w:cs="Times New Roman"/>
          <w:sz w:val="24"/>
          <w:szCs w:val="24"/>
        </w:rPr>
        <w:t xml:space="preserve">iod between now and the election. It is possible, of course, that external </w:t>
      </w:r>
      <w:r>
        <w:rPr>
          <w:rFonts w:ascii="Times New Roman" w:eastAsia="Times New Roman" w:hAnsi="Times New Roman" w:cs="Times New Roman"/>
          <w:sz w:val="24"/>
          <w:szCs w:val="24"/>
        </w:rPr>
        <w:lastRenderedPageBreak/>
        <w:t>variables could change this forecast, or else that this election breaks the trend that Erikson described and codified.</w:t>
      </w:r>
    </w:p>
    <w:p w:rsidR="001A2CE9" w:rsidRDefault="00324730">
      <w:pPr>
        <w:pStyle w:val="Heading2"/>
        <w:spacing w:line="480" w:lineRule="auto"/>
      </w:pPr>
      <w:bookmarkStart w:id="11" w:name="_972n12oy2xsf" w:colFirst="0" w:colLast="0"/>
      <w:bookmarkEnd w:id="11"/>
      <w:r>
        <w:rPr>
          <w:rFonts w:ascii="Times New Roman" w:eastAsia="Times New Roman" w:hAnsi="Times New Roman" w:cs="Times New Roman"/>
        </w:rPr>
        <w:t>Conclusion</w:t>
      </w:r>
    </w:p>
    <w:p w:rsidR="001A2CE9" w:rsidRDefault="0032473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report finds an ARMA-GARCH model to be best su</w:t>
      </w:r>
      <w:r>
        <w:rPr>
          <w:rFonts w:ascii="Times New Roman" w:eastAsia="Times New Roman" w:hAnsi="Times New Roman" w:cs="Times New Roman"/>
          <w:sz w:val="24"/>
          <w:szCs w:val="24"/>
        </w:rPr>
        <w:t>ited to forecast Consumer Confidence Index. This model incorporates an ARMA model to predict the mean, and a GARCH model to account for unstable variance throughout time.</w:t>
      </w: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 this model was able to account for both the changes in mean and the changing e</w:t>
      </w:r>
      <w:r>
        <w:rPr>
          <w:rFonts w:ascii="Times New Roman" w:eastAsia="Times New Roman" w:hAnsi="Times New Roman" w:cs="Times New Roman"/>
          <w:sz w:val="24"/>
          <w:szCs w:val="24"/>
        </w:rPr>
        <w:t>rrors over time, further analysis could be applied to the Index dataset in the form of external variables. However, due to the wide array of possible variables that may be influential on consumer answers that ultimately create the Index -- and the issue of</w:t>
      </w:r>
      <w:r>
        <w:rPr>
          <w:rFonts w:ascii="Times New Roman" w:eastAsia="Times New Roman" w:hAnsi="Times New Roman" w:cs="Times New Roman"/>
          <w:sz w:val="24"/>
          <w:szCs w:val="24"/>
        </w:rPr>
        <w:t xml:space="preserve"> consumers weighting different factors higher or lower over time depending on still other variables -- an expert in the area of Consumer Confidence Index collection and creation would be required.</w:t>
      </w: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ARMA-GARCH analysis and forecast finds it exceedingly </w:t>
      </w:r>
      <w:r>
        <w:rPr>
          <w:rFonts w:ascii="Times New Roman" w:eastAsia="Times New Roman" w:hAnsi="Times New Roman" w:cs="Times New Roman"/>
          <w:sz w:val="24"/>
          <w:szCs w:val="24"/>
        </w:rPr>
        <w:t>unlikely that the Consumer Confidence Index will fall below 100, a threshold used by political scientists to judge whether or not a change in the dominant political party is likely, between now and the elections of November, 2019.</w:t>
      </w:r>
    </w:p>
    <w:p w:rsidR="001A2CE9" w:rsidRDefault="0032473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A2CE9" w:rsidRDefault="00324730">
      <w:pPr>
        <w:pStyle w:val="Heading2"/>
      </w:pPr>
      <w:bookmarkStart w:id="12" w:name="_85ni5mfzei5l" w:colFirst="0" w:colLast="0"/>
      <w:bookmarkEnd w:id="12"/>
      <w:r>
        <w:rPr>
          <w:rFonts w:ascii="Times New Roman" w:eastAsia="Times New Roman" w:hAnsi="Times New Roman" w:cs="Times New Roman"/>
        </w:rPr>
        <w:lastRenderedPageBreak/>
        <w:t>Appendix A: ARIMA Model</w:t>
      </w:r>
      <w:r>
        <w:rPr>
          <w:rFonts w:ascii="Times New Roman" w:eastAsia="Times New Roman" w:hAnsi="Times New Roman" w:cs="Times New Roman"/>
        </w:rPr>
        <w:t xml:space="preserve"> Plots</w:t>
      </w:r>
    </w:p>
    <w:p w:rsidR="001A2CE9" w:rsidRDefault="00324730">
      <w:pPr>
        <w:jc w:val="center"/>
      </w:pPr>
      <w:r>
        <w:rPr>
          <w:noProof/>
        </w:rPr>
        <w:drawing>
          <wp:inline distT="114300" distB="114300" distL="114300" distR="114300">
            <wp:extent cx="3157538" cy="3877391"/>
            <wp:effectExtent l="0" t="0" r="0" b="0"/>
            <wp:docPr id="8" name="image19.png" descr="Figure B.I"/>
            <wp:cNvGraphicFramePr/>
            <a:graphic xmlns:a="http://schemas.openxmlformats.org/drawingml/2006/main">
              <a:graphicData uri="http://schemas.openxmlformats.org/drawingml/2006/picture">
                <pic:pic xmlns:pic="http://schemas.openxmlformats.org/drawingml/2006/picture">
                  <pic:nvPicPr>
                    <pic:cNvPr id="0" name="image19.png" descr="Figure B.I"/>
                    <pic:cNvPicPr preferRelativeResize="0"/>
                  </pic:nvPicPr>
                  <pic:blipFill>
                    <a:blip r:embed="rId10"/>
                    <a:srcRect/>
                    <a:stretch>
                      <a:fillRect/>
                    </a:stretch>
                  </pic:blipFill>
                  <pic:spPr>
                    <a:xfrm>
                      <a:off x="0" y="0"/>
                      <a:ext cx="3157538" cy="3877391"/>
                    </a:xfrm>
                    <a:prstGeom prst="rect">
                      <a:avLst/>
                    </a:prstGeom>
                    <a:ln/>
                  </pic:spPr>
                </pic:pic>
              </a:graphicData>
            </a:graphic>
          </wp:inline>
        </w:drawing>
      </w:r>
    </w:p>
    <w:p w:rsidR="001A2CE9" w:rsidRDefault="00324730">
      <w:pPr>
        <w:jc w:val="center"/>
      </w:pPr>
      <w:r>
        <w:t>Figure I</w:t>
      </w:r>
    </w:p>
    <w:p w:rsidR="001A2CE9" w:rsidRDefault="00324730">
      <w:pPr>
        <w:jc w:val="center"/>
      </w:pPr>
      <w:r>
        <w:rPr>
          <w:noProof/>
        </w:rPr>
        <w:drawing>
          <wp:inline distT="114300" distB="114300" distL="114300" distR="114300">
            <wp:extent cx="2871788" cy="2871788"/>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871788" cy="2871788"/>
                    </a:xfrm>
                    <a:prstGeom prst="rect">
                      <a:avLst/>
                    </a:prstGeom>
                    <a:ln/>
                  </pic:spPr>
                </pic:pic>
              </a:graphicData>
            </a:graphic>
          </wp:inline>
        </w:drawing>
      </w:r>
    </w:p>
    <w:p w:rsidR="001A2CE9" w:rsidRDefault="00324730">
      <w:pPr>
        <w:jc w:val="center"/>
      </w:pPr>
      <w:r>
        <w:t>Figure B.II: ARIMA Residuals ACF</w:t>
      </w:r>
    </w:p>
    <w:p w:rsidR="001A2CE9" w:rsidRDefault="001A2CE9">
      <w:pPr>
        <w:jc w:val="center"/>
      </w:pPr>
    </w:p>
    <w:p w:rsidR="001A2CE9" w:rsidRDefault="00324730">
      <w:pPr>
        <w:jc w:val="center"/>
      </w:pPr>
      <w:r>
        <w:rPr>
          <w:noProof/>
        </w:rPr>
        <w:lastRenderedPageBreak/>
        <w:drawing>
          <wp:inline distT="114300" distB="114300" distL="114300" distR="114300">
            <wp:extent cx="3224213" cy="3224213"/>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3224213" cy="3224213"/>
                    </a:xfrm>
                    <a:prstGeom prst="rect">
                      <a:avLst/>
                    </a:prstGeom>
                    <a:ln/>
                  </pic:spPr>
                </pic:pic>
              </a:graphicData>
            </a:graphic>
          </wp:inline>
        </w:drawing>
      </w:r>
    </w:p>
    <w:p w:rsidR="001A2CE9" w:rsidRDefault="00324730">
      <w:pPr>
        <w:jc w:val="center"/>
      </w:pPr>
      <w:r>
        <w:t>Figure III: ARIMA Residuals PACF</w:t>
      </w:r>
    </w:p>
    <w:p w:rsidR="001A2CE9" w:rsidRDefault="00324730">
      <w:pPr>
        <w:jc w:val="center"/>
      </w:pPr>
      <w:r>
        <w:rPr>
          <w:noProof/>
        </w:rPr>
        <w:drawing>
          <wp:inline distT="114300" distB="114300" distL="114300" distR="114300">
            <wp:extent cx="3624263" cy="362426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624263" cy="3624263"/>
                    </a:xfrm>
                    <a:prstGeom prst="rect">
                      <a:avLst/>
                    </a:prstGeom>
                    <a:ln/>
                  </pic:spPr>
                </pic:pic>
              </a:graphicData>
            </a:graphic>
          </wp:inline>
        </w:drawing>
      </w:r>
    </w:p>
    <w:p w:rsidR="001A2CE9" w:rsidRDefault="00324730">
      <w:pPr>
        <w:jc w:val="center"/>
      </w:pPr>
      <w:r>
        <w:t>Figure IV: ARIMA Residuals QQPlot</w:t>
      </w:r>
    </w:p>
    <w:p w:rsidR="001A2CE9" w:rsidRDefault="001A2CE9">
      <w:pPr>
        <w:jc w:val="center"/>
      </w:pPr>
    </w:p>
    <w:p w:rsidR="001A2CE9" w:rsidRDefault="00324730">
      <w:pPr>
        <w:jc w:val="center"/>
      </w:pPr>
      <w:r>
        <w:br w:type="page"/>
      </w:r>
    </w:p>
    <w:p w:rsidR="001A2CE9" w:rsidRDefault="00324730">
      <w:pPr>
        <w:pStyle w:val="Heading2"/>
      </w:pPr>
      <w:bookmarkStart w:id="13" w:name="_2es8gxd5935l" w:colFirst="0" w:colLast="0"/>
      <w:bookmarkEnd w:id="13"/>
      <w:r>
        <w:rPr>
          <w:rFonts w:ascii="Times New Roman" w:eastAsia="Times New Roman" w:hAnsi="Times New Roman" w:cs="Times New Roman"/>
        </w:rPr>
        <w:lastRenderedPageBreak/>
        <w:t>Appendix B: ARMA-GARCH Model Plots</w:t>
      </w:r>
    </w:p>
    <w:p w:rsidR="001A2CE9" w:rsidRDefault="00324730">
      <w:pPr>
        <w:jc w:val="center"/>
      </w:pPr>
      <w:r>
        <w:rPr>
          <w:noProof/>
        </w:rPr>
        <w:drawing>
          <wp:inline distT="114300" distB="114300" distL="114300" distR="114300">
            <wp:extent cx="3314700" cy="33147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314700" cy="3314700"/>
                    </a:xfrm>
                    <a:prstGeom prst="rect">
                      <a:avLst/>
                    </a:prstGeom>
                    <a:ln/>
                  </pic:spPr>
                </pic:pic>
              </a:graphicData>
            </a:graphic>
          </wp:inline>
        </w:drawing>
      </w:r>
    </w:p>
    <w:p w:rsidR="001A2CE9" w:rsidRDefault="00324730">
      <w:pPr>
        <w:jc w:val="center"/>
      </w:pPr>
      <w:r>
        <w:t xml:space="preserve">Figure I: ARMA-GARCH </w:t>
      </w:r>
      <w:r>
        <w:rPr>
          <w:i/>
          <w:color w:val="222222"/>
          <w:sz w:val="21"/>
          <w:szCs w:val="21"/>
          <w:highlight w:val="white"/>
        </w:rPr>
        <w:t xml:space="preserve">η </w:t>
      </w:r>
      <w:r>
        <w:t>ACF</w:t>
      </w:r>
    </w:p>
    <w:p w:rsidR="001A2CE9" w:rsidRDefault="001A2CE9">
      <w:pPr>
        <w:jc w:val="center"/>
      </w:pPr>
    </w:p>
    <w:p w:rsidR="001A2CE9" w:rsidRDefault="00324730">
      <w:pPr>
        <w:jc w:val="center"/>
      </w:pPr>
      <w:r>
        <w:rPr>
          <w:noProof/>
        </w:rPr>
        <w:drawing>
          <wp:inline distT="114300" distB="114300" distL="114300" distR="114300">
            <wp:extent cx="3071813" cy="3071813"/>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3071813" cy="3071813"/>
                    </a:xfrm>
                    <a:prstGeom prst="rect">
                      <a:avLst/>
                    </a:prstGeom>
                    <a:ln/>
                  </pic:spPr>
                </pic:pic>
              </a:graphicData>
            </a:graphic>
          </wp:inline>
        </w:drawing>
      </w:r>
    </w:p>
    <w:p w:rsidR="001A2CE9" w:rsidRDefault="00324730">
      <w:pPr>
        <w:jc w:val="center"/>
      </w:pPr>
      <w:r>
        <w:t xml:space="preserve">Figure 2: ARMA-GARCH </w:t>
      </w:r>
      <w:r>
        <w:rPr>
          <w:i/>
          <w:color w:val="222222"/>
          <w:sz w:val="21"/>
          <w:szCs w:val="21"/>
          <w:highlight w:val="white"/>
        </w:rPr>
        <w:t>η</w:t>
      </w:r>
      <w:r>
        <w:rPr>
          <w:i/>
          <w:color w:val="222222"/>
          <w:sz w:val="21"/>
          <w:szCs w:val="21"/>
          <w:highlight w:val="white"/>
          <w:vertAlign w:val="superscript"/>
        </w:rPr>
        <w:t>2</w:t>
      </w:r>
      <w:r>
        <w:rPr>
          <w:i/>
          <w:color w:val="222222"/>
          <w:sz w:val="21"/>
          <w:szCs w:val="21"/>
          <w:highlight w:val="white"/>
        </w:rPr>
        <w:t xml:space="preserve"> </w:t>
      </w:r>
      <w:r>
        <w:t>ACF</w:t>
      </w:r>
    </w:p>
    <w:p w:rsidR="001A2CE9" w:rsidRDefault="001A2CE9">
      <w:pPr>
        <w:jc w:val="center"/>
      </w:pPr>
    </w:p>
    <w:p w:rsidR="001A2CE9" w:rsidRDefault="001A2CE9">
      <w:pPr>
        <w:jc w:val="center"/>
      </w:pPr>
    </w:p>
    <w:p w:rsidR="001A2CE9" w:rsidRDefault="00324730">
      <w:pPr>
        <w:jc w:val="center"/>
      </w:pPr>
      <w:r>
        <w:rPr>
          <w:noProof/>
        </w:rPr>
        <w:lastRenderedPageBreak/>
        <w:drawing>
          <wp:inline distT="114300" distB="114300" distL="114300" distR="114300">
            <wp:extent cx="4056351" cy="495776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056351" cy="4957763"/>
                    </a:xfrm>
                    <a:prstGeom prst="rect">
                      <a:avLst/>
                    </a:prstGeom>
                    <a:ln/>
                  </pic:spPr>
                </pic:pic>
              </a:graphicData>
            </a:graphic>
          </wp:inline>
        </w:drawing>
      </w:r>
    </w:p>
    <w:p w:rsidR="001A2CE9" w:rsidRDefault="00324730">
      <w:pPr>
        <w:jc w:val="center"/>
      </w:pPr>
      <w:r>
        <w:t>Figure III: Histogram of Residuals</w:t>
      </w:r>
    </w:p>
    <w:p w:rsidR="001A2CE9" w:rsidRDefault="00324730">
      <w:pPr>
        <w:jc w:val="center"/>
      </w:pPr>
      <w:r>
        <w:rPr>
          <w:noProof/>
        </w:rPr>
        <w:lastRenderedPageBreak/>
        <w:drawing>
          <wp:inline distT="114300" distB="114300" distL="114300" distR="114300">
            <wp:extent cx="5943600" cy="72898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7289800"/>
                    </a:xfrm>
                    <a:prstGeom prst="rect">
                      <a:avLst/>
                    </a:prstGeom>
                    <a:ln/>
                  </pic:spPr>
                </pic:pic>
              </a:graphicData>
            </a:graphic>
          </wp:inline>
        </w:drawing>
      </w:r>
    </w:p>
    <w:p w:rsidR="001A2CE9" w:rsidRDefault="00324730">
      <w:pPr>
        <w:jc w:val="center"/>
      </w:pPr>
      <w:r>
        <w:t>Figure IV: ARMA-GARCH Model &amp; CCI Data vs. Time</w:t>
      </w:r>
    </w:p>
    <w:p w:rsidR="001A2CE9" w:rsidRDefault="001A2CE9">
      <w:pPr>
        <w:jc w:val="center"/>
      </w:pPr>
    </w:p>
    <w:p w:rsidR="001A2CE9" w:rsidRDefault="00324730">
      <w:pPr>
        <w:jc w:val="center"/>
      </w:pPr>
      <w:r>
        <w:br w:type="page"/>
      </w:r>
    </w:p>
    <w:p w:rsidR="001A2CE9" w:rsidRDefault="00324730">
      <w:pPr>
        <w:pStyle w:val="Heading2"/>
        <w:rPr>
          <w:rFonts w:ascii="Courier New" w:eastAsia="Courier New" w:hAnsi="Courier New" w:cs="Courier New"/>
          <w:sz w:val="20"/>
          <w:szCs w:val="20"/>
        </w:rPr>
      </w:pPr>
      <w:bookmarkStart w:id="14" w:name="_9leg7giez8ty" w:colFirst="0" w:colLast="0"/>
      <w:bookmarkEnd w:id="14"/>
      <w:r>
        <w:rPr>
          <w:rFonts w:ascii="Times New Roman" w:eastAsia="Times New Roman" w:hAnsi="Times New Roman" w:cs="Times New Roman"/>
        </w:rPr>
        <w:lastRenderedPageBreak/>
        <w:t>Appendix C: Project Output</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-----------------------BEGIN ANALYSIS-----------------------</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Data Table First and Last Six Columns: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Time YearMonth      CCI</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1    1   196</w:t>
      </w:r>
      <w:r>
        <w:rPr>
          <w:rFonts w:ascii="Courier New" w:eastAsia="Courier New" w:hAnsi="Courier New" w:cs="Courier New"/>
          <w:sz w:val="20"/>
          <w:szCs w:val="20"/>
        </w:rPr>
        <w:t>0-01 101.5427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2    2   1960-02 101.2864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3    3   1960-03 101.0649</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4    4   1960-04 100.9428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5    5   1960-05 100.9736</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6    6   1960-06 101.0609</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Time YearMonth      CCI</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693  693   2017-09 101.2071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694  694   2017-10 101.3554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695  695   2017-11 101.3308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696  696   2017-12 101.2372</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697  697   2018-01 101.2492</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698  698   2018-02 101.4019</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b/>
        <w:t>Augmented Dickey-Fuller Test</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data:  ts(data_table[, 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Dickey-Fuller = -3.1288, Lag order = 8, p-value = 0.1005</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alternative hypothesis: stationary</w:t>
      </w:r>
    </w:p>
    <w:p w:rsidR="001A2CE9" w:rsidRDefault="001A2CE9">
      <w:pPr>
        <w:rPr>
          <w:rFonts w:ascii="Courier New" w:eastAsia="Courier New" w:hAnsi="Courier New" w:cs="Courier New"/>
          <w:sz w:val="20"/>
          <w:szCs w:val="20"/>
        </w:rPr>
      </w:pP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--------ARIMA Model Analysis--------</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ARIMA(0,1,0)                    : -251.4833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ARIMA(0,1,0) with drift         : -249.4724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ARIMA(0,1,1)                    : -910.1783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ARIMA(0,1,1) with drift         : -908.1616</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ARIMA(0,1,2)                    : -12</w:t>
      </w:r>
      <w:r>
        <w:rPr>
          <w:rFonts w:ascii="Courier New" w:eastAsia="Courier New" w:hAnsi="Courier New" w:cs="Courier New"/>
          <w:sz w:val="20"/>
          <w:szCs w:val="20"/>
        </w:rPr>
        <w:t>66.423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ARIMA(0,1,2) with drift         : -1264.401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ARIMA(0,1,3)                    : -1323.583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ARIMA(0,1,3) with drift         : -1321.554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ARIMA(0,1,4)                    : -1344.371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ARIMA(0,1,4) with drift         : -1342.336</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ARIMA(0,1,5)           </w:t>
      </w:r>
      <w:r>
        <w:rPr>
          <w:rFonts w:ascii="Courier New" w:eastAsia="Courier New" w:hAnsi="Courier New" w:cs="Courier New"/>
          <w:sz w:val="20"/>
          <w:szCs w:val="20"/>
        </w:rPr>
        <w:t xml:space="preserve">         : -1344.57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ARIMA(0,1,5) with drift         : -1342.529</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ARIMA(1,1,0)                    : -877.4608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ARIMA(1,1,0) with drift         : -875.4441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ARIMA(1,1,1)                    : -1225.638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ARIMA(1,1,1) with drift         : -1223.615</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ARIMA(1,1,</w:t>
      </w:r>
      <w:r>
        <w:rPr>
          <w:rFonts w:ascii="Courier New" w:eastAsia="Courier New" w:hAnsi="Courier New" w:cs="Courier New"/>
          <w:sz w:val="20"/>
          <w:szCs w:val="20"/>
        </w:rPr>
        <w:t>2)                    : -1329.168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ARIMA(1,1,2) with drift         : -1327.14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ARIMA(1,1,3)                    : -1333.358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ARIMA(1,1,3) with drift         : -1331.324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ARIMA(1,1,4)                    : -1343.199</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ARIMA(1,1,4) with drift         : -1341.15</w:t>
      </w:r>
      <w:r>
        <w:rPr>
          <w:rFonts w:ascii="Courier New" w:eastAsia="Courier New" w:hAnsi="Courier New" w:cs="Courier New"/>
          <w:sz w:val="20"/>
          <w:szCs w:val="20"/>
        </w:rPr>
        <w:t>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ARIMA(2,1,0)                    : -1299.607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ARIMA(2,1,0) with drift         : -1297.584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ARIMA(2,1,1)                    : -1353.973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ARIMA(2,1,1) with drift         : -1351.944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ARIMA(2,1,2)                    : -1354.6</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ARIMA(2,1,2) with drift         : -1352.566</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ARIMA(2,1,3)                    : -1353.795</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ARIMA(2,1,3) with drift         : -1351.754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ARIMA(3,1,0)                    : -1351.422</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ARIMA(3,1,0) with drift         : -1349.393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ARIMA(3,1,1)                  </w:t>
      </w:r>
      <w:r>
        <w:rPr>
          <w:rFonts w:ascii="Courier New" w:eastAsia="Courier New" w:hAnsi="Courier New" w:cs="Courier New"/>
          <w:sz w:val="20"/>
          <w:szCs w:val="20"/>
        </w:rPr>
        <w:t xml:space="preserve">  : -1353.867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ARIMA(3,1,1) with drift         : -1351.832</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ARIMA(3,1,2)                    : -1358.058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ARIMA(3,1,2) with drift         : -1356.017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ARIMA(4,1,0)                    : -1354.146</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ARIMA(4,1,0) with drift         : -1352.111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ARIMA(4,1,1)                    : -1352.197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ARIMA(4,1,1) with drift         : -1350.156</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ARIMA(5,1,0)                    : -1352.283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ARIMA(5,1,0) with drift         : -1350.242</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Series: CCITimeSeries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ARIMA(3,1,2)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Coefficients: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ar1     ar2   </w:t>
      </w:r>
      <w:r>
        <w:rPr>
          <w:rFonts w:ascii="Courier New" w:eastAsia="Courier New" w:hAnsi="Courier New" w:cs="Courier New"/>
          <w:sz w:val="20"/>
          <w:szCs w:val="20"/>
        </w:rPr>
        <w:t xml:space="preserve">   ar3     ma1     ma2</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0.1847  0.4349  -0.4429  1.3208  0.4222</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s.e.  0.0853  0.0947   0.0621  0.0841  0.0473</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sigma^2 estimated as 0.008244:  log likelihood=685.09</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AIC=-1358.18   AICc=-1358.06   BIC=-1330.9</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b/>
        <w:t>Augmented Dickey-Fuller Test</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data:  autoResult$residuals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Dickey-Fuller = -8.0567, Lag order = 8, p-value = 0.01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alternative hypothesis: stationary</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Point Forecast    Lo 80    Hi 80     Lo 95    Hi 95</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699       101.5753 101.4589 101.6917 101.39734 101.7533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700       101.6900 101.37</w:t>
      </w:r>
      <w:r>
        <w:rPr>
          <w:rFonts w:ascii="Courier New" w:eastAsia="Courier New" w:hAnsi="Courier New" w:cs="Courier New"/>
          <w:sz w:val="20"/>
          <w:szCs w:val="20"/>
        </w:rPr>
        <w:t>61 102.0039 101.20990 102.1701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701       101.7190 101.1917 102.2462 100.91256 102.5253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702       101.6974 100.9892 102.4055 100.61438 102.7804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703       101.6552 100.8099 102.5005 100.36240 102.9480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704       101.6252 100.6802 102.5701 100.17999 103.0704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w:t>
      </w:r>
      <w:r>
        <w:rPr>
          <w:rFonts w:ascii="Courier New" w:eastAsia="Courier New" w:hAnsi="Courier New" w:cs="Courier New"/>
          <w:sz w:val="20"/>
          <w:szCs w:val="20"/>
        </w:rPr>
        <w:t>05       101.6108 100.5891 102.6326 100.04823 103.1735</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lastRenderedPageBreak/>
        <w:t>706       101.6138 100.5271 102.7006  99.95182 103.2758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707       101.6214 100.4736 102.7693  99.86600 103.3769</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b/>
        <w:t>Anderson-Darling normality test</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data:  autoResult$residuals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 = 2.8841, p-value = 2.95</w:t>
      </w:r>
      <w:r>
        <w:rPr>
          <w:rFonts w:ascii="Courier New" w:eastAsia="Courier New" w:hAnsi="Courier New" w:cs="Courier New"/>
          <w:sz w:val="20"/>
          <w:szCs w:val="20"/>
        </w:rPr>
        <w:t>7e-07</w:t>
      </w:r>
    </w:p>
    <w:p w:rsidR="001A2CE9" w:rsidRDefault="001A2CE9">
      <w:pPr>
        <w:rPr>
          <w:rFonts w:ascii="Courier New" w:eastAsia="Courier New" w:hAnsi="Courier New" w:cs="Courier New"/>
          <w:sz w:val="20"/>
          <w:szCs w:val="20"/>
        </w:rPr>
      </w:pP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--------Holt's Model Analysis--------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Holt's method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Call:</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holt(y = logCCIITS, h = 9)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Smoothing parameters: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alpha = 0.9999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beta  = 0.9999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Initial states: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l = 4.6383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b = -0.028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sigma:  0.0015</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AIC      AICc       BIC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-4459.656 -4459.569 -4436.915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Point Forecast    Lo 80    Hi 80    Lo 95    Hi 95</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699       4.620599 4.618625 4.622572 4.617580 4.623617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700       4.622106 4.617692 4.626519 4.615356 4.628855</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701       4.623613 4.616228 4.630997 4.612319 4.634906</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702       4.625120 4.614310 4.635930 4.608587 4.641652</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703       4.626627 4.611990 4.641263 4.604242 4.649011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704       4.628134 4.609307 4.646961 4.599340 4.656927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705       4.629641 4.606289 4.652993</w:t>
      </w:r>
      <w:r>
        <w:rPr>
          <w:rFonts w:ascii="Courier New" w:eastAsia="Courier New" w:hAnsi="Courier New" w:cs="Courier New"/>
          <w:sz w:val="20"/>
          <w:szCs w:val="20"/>
        </w:rPr>
        <w:t xml:space="preserve"> 4.593927 4.665354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706       4.631148 4.602959 4.659336 4.588037 4.674258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707       4.632655 4.599336 4.665973 4.581699 4.683610</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b/>
        <w:t>Anderson-Darling normality test</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data:  holtResult$residuals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 = 7.9629, p-value &lt; 2.2e-16</w:t>
      </w:r>
    </w:p>
    <w:p w:rsidR="001A2CE9" w:rsidRDefault="001A2CE9">
      <w:pPr>
        <w:rPr>
          <w:rFonts w:ascii="Courier New" w:eastAsia="Courier New" w:hAnsi="Courier New" w:cs="Courier New"/>
          <w:sz w:val="20"/>
          <w:szCs w:val="20"/>
        </w:rPr>
      </w:pP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--------SES Model Analysis--------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Simple exponential smoothing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Call:</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ses(y = SESTS, h = 9)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Smoothing parameters: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alpha = 0.9999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Initial states: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l = 101.5423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sigma:  0.2016</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AIC     AICc      BIC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2341.073 2341.107 2354.717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Point Forecast    Lo 80    Hi 80    Lo 95    Hi 95</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699       101.4019 101.1435 101.6603 101.0067 101.7970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700       101.4019 101.0365 101.7673 100.8431 101.9607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701       101.4019 100.9544 101.8494 100.7175 102.0863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702       101.4019 100.8852 101.9186 10</w:t>
      </w:r>
      <w:r>
        <w:rPr>
          <w:rFonts w:ascii="Courier New" w:eastAsia="Courier New" w:hAnsi="Courier New" w:cs="Courier New"/>
          <w:sz w:val="20"/>
          <w:szCs w:val="20"/>
        </w:rPr>
        <w:t>0.6116 102.1921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703       101.4019 100.8242 101.9796 100.5184 102.2854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704       101.4019 100.7691 102.0347 100.4341 102.3697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705       101.4019 100.7184 102.0854 100.3565 102.4473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706       101.4019 100.6712 102.1326 100.2843 102.5194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707       101.4019 1</w:t>
      </w:r>
      <w:r>
        <w:rPr>
          <w:rFonts w:ascii="Courier New" w:eastAsia="Courier New" w:hAnsi="Courier New" w:cs="Courier New"/>
          <w:sz w:val="20"/>
          <w:szCs w:val="20"/>
        </w:rPr>
        <w:t>00.6268 102.1769 100.2165 102.5872</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b/>
        <w:t>Augmented Dickey-Fuller Test</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data:  SESResult$residuals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Dickey-Fuller = -8.1181, Lag order = 8, p-value = 0.01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alternative hypothesis: stationary</w:t>
      </w:r>
    </w:p>
    <w:p w:rsidR="001A2CE9" w:rsidRDefault="001A2CE9">
      <w:pPr>
        <w:rPr>
          <w:rFonts w:ascii="Courier New" w:eastAsia="Courier New" w:hAnsi="Courier New" w:cs="Courier New"/>
          <w:sz w:val="20"/>
          <w:szCs w:val="20"/>
        </w:rPr>
      </w:pP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b/>
        <w:t>Anderson-Darling normality test</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data:  SESResult$residuals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 = 3.5122, p-value = 8.796e-09</w:t>
      </w:r>
    </w:p>
    <w:p w:rsidR="001A2CE9" w:rsidRDefault="001A2CE9">
      <w:pPr>
        <w:rPr>
          <w:rFonts w:ascii="Courier New" w:eastAsia="Courier New" w:hAnsi="Courier New" w:cs="Courier New"/>
          <w:sz w:val="20"/>
          <w:szCs w:val="20"/>
        </w:rPr>
      </w:pP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--------GARCH Model Analysis--------</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Title:</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GARCH Modelling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Call:</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garchFit(formula = data_table$CCI ~ garch(1, 0), data = data_table$CCI,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trace = F, include.constant = T)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Mean and Variance Equation:</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data ~ garch(1, 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&lt;environment: 0x112e031b8&gt;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[data = data_table$CCI]</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lastRenderedPageBreak/>
        <w:t>Conditional Distribution:</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norm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Coefficient(s):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mu       omega      alpha1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100.640560    0.023246    0.975175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Std. Errors: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based on Hessian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Error Analysis: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Estimate  Std. Error  t value Pr(&gt;|t|)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mu     1.006e+02   3.137e-02 3207.812  &lt; 2e-16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omega  2.325e-02   3.766e-03    6.173 6.69e-10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alpha1 9.752e-01   6.253e-02   15.596  &lt; 2e-16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Signif. codes:  0 ‘***’ 0.001 ‘**’ 0.01 ‘*’ 0.05</w:t>
      </w:r>
      <w:r>
        <w:rPr>
          <w:rFonts w:ascii="Courier New" w:eastAsia="Courier New" w:hAnsi="Courier New" w:cs="Courier New"/>
          <w:sz w:val="20"/>
          <w:szCs w:val="20"/>
        </w:rPr>
        <w:t xml:space="preserve"> ‘.’ 0.1 ‘ ’ 1</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Log Likelihood:</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-783.8057    normalized:  -1.122931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Description:</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Mon Apr 30 11:25:07 2018 by user:  </w:t>
      </w:r>
    </w:p>
    <w:p w:rsidR="001A2CE9" w:rsidRDefault="001A2CE9">
      <w:pPr>
        <w:rPr>
          <w:rFonts w:ascii="Courier New" w:eastAsia="Courier New" w:hAnsi="Courier New" w:cs="Courier New"/>
          <w:sz w:val="20"/>
          <w:szCs w:val="20"/>
        </w:rPr>
      </w:pP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Standardised Residuals Tests: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Statistic p-Value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Jarque-Bera Test   R    Chi^2  44.98769  1.7023</w:t>
      </w:r>
      <w:r>
        <w:rPr>
          <w:rFonts w:ascii="Courier New" w:eastAsia="Courier New" w:hAnsi="Courier New" w:cs="Courier New"/>
          <w:sz w:val="20"/>
          <w:szCs w:val="20"/>
        </w:rPr>
        <w:t>39e-10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Shapiro-Wilk Test  R    W      0.8868257 0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Ljung-Box Test     R    Q(10)  2733.066  0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Ljung-Box Test     R    Q(15)  3439.065  0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Ljung-Box Test     R    Q(20)  3943.882  0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Ljung-Box Test     R^2  Q(10)  100.7589  0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Ljung-Box Test     R^2  Q(15)  107.5815  4.440892e-16</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Ljung-Box Test     R^2  Q(20)  120.3588  2.220446e-16</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LM Arch Test       R    TR^2   105.1672  0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Information Criterion Statistics: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AIC      BIC      SIC     HQIC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2.254458 2.274006 2.254421 2.262015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Autocorrelations of series ‘data_table$GARCH1_eta’, by lag</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0     1     2     3     4     5     6     7     8     9    10    11    12    13    14    15    16    17    18    19   </w:t>
      </w:r>
      <w:r>
        <w:rPr>
          <w:rFonts w:ascii="Courier New" w:eastAsia="Courier New" w:hAnsi="Courier New" w:cs="Courier New"/>
          <w:sz w:val="20"/>
          <w:szCs w:val="20"/>
        </w:rPr>
        <w:t xml:space="preserve"> 20    21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1.000 0.908 0.766 0.659 0.600 0.572 0.559 0.538 0.512 0.494 0.490 0.488 0.473 0.449 0.417 0.391 0.378 0.378 0.386 0.379 0.352 0.341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22    23    24    25    26    27    28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0.348 0.364 0.372 0.359 0.330 0.300 0.283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--------ARMA-GARCH Model </w:t>
      </w:r>
      <w:r>
        <w:rPr>
          <w:rFonts w:ascii="Courier New" w:eastAsia="Courier New" w:hAnsi="Courier New" w:cs="Courier New"/>
          <w:sz w:val="20"/>
          <w:szCs w:val="20"/>
        </w:rPr>
        <w:t>Analysis--------</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GARCH Model Fit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Conditional Variance Dynamics </w:t>
      </w:r>
      <w:r>
        <w:rPr>
          <w:rFonts w:ascii="Courier New" w:eastAsia="Courier New" w:hAnsi="Courier New" w:cs="Courier New"/>
          <w:sz w:val="20"/>
          <w:szCs w:val="20"/>
        </w:rPr>
        <w:tab/>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GARCH Model</w:t>
      </w:r>
      <w:r>
        <w:rPr>
          <w:rFonts w:ascii="Courier New" w:eastAsia="Courier New" w:hAnsi="Courier New" w:cs="Courier New"/>
          <w:sz w:val="20"/>
          <w:szCs w:val="20"/>
        </w:rPr>
        <w:tab/>
        <w:t>: sGARCH(1,1)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Mean Model</w:t>
      </w:r>
      <w:r>
        <w:rPr>
          <w:rFonts w:ascii="Courier New" w:eastAsia="Courier New" w:hAnsi="Courier New" w:cs="Courier New"/>
          <w:sz w:val="20"/>
          <w:szCs w:val="20"/>
        </w:rPr>
        <w:tab/>
        <w:t>: ARFIMA(3,0,2)</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Distribution</w:t>
      </w:r>
      <w:r>
        <w:rPr>
          <w:rFonts w:ascii="Courier New" w:eastAsia="Courier New" w:hAnsi="Courier New" w:cs="Courier New"/>
          <w:sz w:val="20"/>
          <w:szCs w:val="20"/>
        </w:rPr>
        <w:tab/>
        <w:t xml:space="preserve">: norm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Optimal Parameters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Estimate  Std. Error   t value Pr(&gt;|t|)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mu     101.215054    0.059340 1705.6772   0.0000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ar1      1.962917    0.009355  209.8334   0.0000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ar2     -1.398994    0.015342  -91.1857   0.0000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ar3      0.426647    0.020589   20.7221   0.0000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ma1      0.683141    0.043430   15.7296   0.0000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ma2      0.285677    0.040023    7.1377   0.0000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omega    0.000037    0.000024    1.5726   0.1158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alpha1   0.</w:t>
      </w:r>
      <w:r>
        <w:rPr>
          <w:rFonts w:ascii="Courier New" w:eastAsia="Courier New" w:hAnsi="Courier New" w:cs="Courier New"/>
          <w:sz w:val="20"/>
          <w:szCs w:val="20"/>
        </w:rPr>
        <w:t>113514    0.020929    5.4238   0.0000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beta1    0.885486    0.019457   45.5098   0.0000</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Robust Standard Errors: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Estimate  Std. Error  t value Pr(&gt;|t|)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mu     101.215054    0.109387 925.2927 0.000000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ar1      1.962917    0.012191 161.0077 0.000000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ar2     -1.398994    0.019261 -72.6319 0.000000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ar3      0.426647    0.027800  15.3468 0.000000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ma1      0.683141    0.079303   8.6143 0.000000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ma2      0.285677    0.066655   4.2859 0.000018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omega    0.000037    0.000030   1.2448 0.213203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alpha1   0.11351</w:t>
      </w:r>
      <w:r>
        <w:rPr>
          <w:rFonts w:ascii="Courier New" w:eastAsia="Courier New" w:hAnsi="Courier New" w:cs="Courier New"/>
          <w:sz w:val="20"/>
          <w:szCs w:val="20"/>
        </w:rPr>
        <w:t>4    0.026285   4.3186 0.000016</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beta1    0.885486    0.025028  35.3804 0.000000</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LogLikelihood : 767.5859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Information Criteria</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Akaike       -2.1736</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Bayes        -2.1150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Shibata      -2.1739</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Hannan-Quinn -2.1509</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Weighted Ljung-Box Test on Standardized Residuals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lastRenderedPageBreak/>
        <w: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statistic   p-value</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Lag[1]                      0.7254 3.944e-01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Lag[2*(p+q)+(p+q)-1][14]   10.1811 2.379e-05</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Lag[4*(p+q)+(p+q)-1][24]   17.5235 3.936e-02</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d.o.f=5</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H0 : No serial correlation</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Weighted Ljung-Box Test on Standardized Squared Residuals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statistic p-value</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Lag[1]                      4.443 0.03</w:t>
      </w:r>
      <w:r>
        <w:rPr>
          <w:rFonts w:ascii="Courier New" w:eastAsia="Courier New" w:hAnsi="Courier New" w:cs="Courier New"/>
          <w:sz w:val="20"/>
          <w:szCs w:val="20"/>
        </w:rPr>
        <w:t>505</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Lag[2*(p+q)+(p+q)-1][5]     5.425 0.12247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Lag[4*(p+q)+(p+q)-1][9]     7.487 0.16171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d.o.f=2</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Weighted ARCH LM Tests</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Statistic Shape Scale P-Value</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ARCH Lag[3]    0.1946 0.500 2.000  0.6591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ARCH Lag[5]    </w:t>
      </w:r>
      <w:r>
        <w:rPr>
          <w:rFonts w:ascii="Courier New" w:eastAsia="Courier New" w:hAnsi="Courier New" w:cs="Courier New"/>
          <w:sz w:val="20"/>
          <w:szCs w:val="20"/>
        </w:rPr>
        <w:t>0.4709 1.440 1.667  0.8922</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ARCH Lag[7]    2.6542 2.315 1.543  0.5811</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Nyblom stability test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Joint Statistic:  8.8357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Individual Statistics: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mu     0.006757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ar1    0.072521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ar2    0.025178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ar3    0.026779</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ma1    1.094480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ma2    1.624457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omega  0.507932</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alpha1 0.199209</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beta1  0.351447</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Asymptotic Critical Values (10% 5% 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Joint Statistic:     </w:t>
      </w:r>
      <w:r>
        <w:rPr>
          <w:rFonts w:ascii="Courier New" w:eastAsia="Courier New" w:hAnsi="Courier New" w:cs="Courier New"/>
          <w:sz w:val="20"/>
          <w:szCs w:val="20"/>
        </w:rPr>
        <w:tab/>
        <w:t xml:space="preserve"> 2.1 2.32 2.82</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Individual Statistic:</w:t>
      </w:r>
      <w:r>
        <w:rPr>
          <w:rFonts w:ascii="Courier New" w:eastAsia="Courier New" w:hAnsi="Courier New" w:cs="Courier New"/>
          <w:sz w:val="20"/>
          <w:szCs w:val="20"/>
        </w:rPr>
        <w:tab/>
        <w:t xml:space="preserve"> 0.35 0.47 0.75</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Sign Bias Test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t-value   prob sig</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Sign Bias           0.3059 0.7598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Negative Sign Bias  0.3229 0.7468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Positive Sign Bias  1.1654 0.2443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Joint Effect        1.5163 0.6785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lastRenderedPageBreak/>
        <w:t>Adjusted Pearson Goodness-of-Fit Test: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group statistic p-value(g-1)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1    20     13.06       0.8355</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2    30     37.47       0.1345</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3    40     47.67       0.1607</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4    50     52.86       0.3274</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Elapsed time : 0.3263631 </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b/>
        <w:t>Box-Ljung test</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data:  data_table$uGarch_Eta</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X-squared = 11.669, df = 10, p-value = 0.3078</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ab/>
        <w:t>Box-Ljung test</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data:  data_table$uGarch_EtaSq</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X-squared = 12.147, df = 10, p-value = 0.2753</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GARCH Model Forecast         *</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w:t>
      </w:r>
      <w:r>
        <w:rPr>
          <w:rFonts w:ascii="Courier New" w:eastAsia="Courier New" w:hAnsi="Courier New" w:cs="Courier New"/>
          <w:sz w:val="20"/>
          <w:szCs w:val="20"/>
        </w:rPr>
        <w:t>------------------------------*</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Model: sGARCH</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Horizon: 9</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Roll Steps: 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Out of Sample: 0</w:t>
      </w: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0-roll forecast [T0=1971-11-30]: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 xml:space="preserve">    Series   Sigma</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T+1  101.6 0.08264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T+2  101.7 0.08283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T+3  101.7 0.08301</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T+4  101.7 0.08320</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T+5  101.7 0.08338</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T+6  101.6 0.08356</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T+7  101.6 0.08374</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T+8  101.6 0.08393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T+9  101.6 0.08411</w:t>
      </w:r>
    </w:p>
    <w:p w:rsidR="001A2CE9" w:rsidRDefault="001A2CE9">
      <w:pPr>
        <w:rPr>
          <w:rFonts w:ascii="Courier New" w:eastAsia="Courier New" w:hAnsi="Courier New" w:cs="Courier New"/>
          <w:sz w:val="20"/>
          <w:szCs w:val="20"/>
        </w:rPr>
      </w:pPr>
    </w:p>
    <w:p w:rsidR="001A2CE9" w:rsidRDefault="001A2CE9">
      <w:pPr>
        <w:rPr>
          <w:rFonts w:ascii="Courier New" w:eastAsia="Courier New" w:hAnsi="Courier New" w:cs="Courier New"/>
          <w:sz w:val="20"/>
          <w:szCs w:val="20"/>
        </w:rPr>
      </w:pPr>
    </w:p>
    <w:p w:rsidR="001A2CE9" w:rsidRDefault="001A2CE9">
      <w:pPr>
        <w:rPr>
          <w:rFonts w:ascii="Courier New" w:eastAsia="Courier New" w:hAnsi="Courier New" w:cs="Courier New"/>
          <w:sz w:val="20"/>
          <w:szCs w:val="20"/>
        </w:rPr>
      </w:pP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Corrected AIC (AIC * n):</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-1517.173</w:t>
      </w:r>
    </w:p>
    <w:p w:rsidR="001A2CE9" w:rsidRDefault="00324730">
      <w:pPr>
        <w:rPr>
          <w:rFonts w:ascii="Courier New" w:eastAsia="Courier New" w:hAnsi="Courier New" w:cs="Courier New"/>
          <w:sz w:val="20"/>
          <w:szCs w:val="20"/>
        </w:rPr>
      </w:pPr>
      <w:r>
        <w:rPr>
          <w:rFonts w:ascii="Courier New" w:eastAsia="Courier New" w:hAnsi="Courier New" w:cs="Courier New"/>
          <w:sz w:val="20"/>
          <w:szCs w:val="20"/>
        </w:rPr>
        <w:t>-----------------------END ANALYSIS-----------------------</w:t>
      </w:r>
    </w:p>
    <w:p w:rsidR="001A2CE9" w:rsidRDefault="001A2CE9">
      <w:pPr>
        <w:rPr>
          <w:rFonts w:ascii="Courier New" w:eastAsia="Courier New" w:hAnsi="Courier New" w:cs="Courier New"/>
          <w:sz w:val="20"/>
          <w:szCs w:val="20"/>
        </w:rPr>
      </w:pPr>
    </w:p>
    <w:p w:rsidR="001A2CE9" w:rsidRDefault="001A2CE9">
      <w:pPr>
        <w:rPr>
          <w:rFonts w:ascii="Courier New" w:eastAsia="Courier New" w:hAnsi="Courier New" w:cs="Courier New"/>
          <w:sz w:val="20"/>
          <w:szCs w:val="20"/>
        </w:rPr>
      </w:pPr>
    </w:p>
    <w:p w:rsidR="001A2CE9" w:rsidRDefault="001A2CE9"/>
    <w:sectPr w:rsidR="001A2CE9">
      <w:headerReference w:type="default" r:id="rId18"/>
      <w:headerReference w:type="first" r:id="rId19"/>
      <w:footerReference w:type="first" r:id="rId2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730" w:rsidRDefault="00324730">
      <w:pPr>
        <w:spacing w:line="240" w:lineRule="auto"/>
      </w:pPr>
      <w:r>
        <w:separator/>
      </w:r>
    </w:p>
  </w:endnote>
  <w:endnote w:type="continuationSeparator" w:id="0">
    <w:p w:rsidR="00324730" w:rsidRDefault="003247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2CE9" w:rsidRDefault="001A2CE9">
    <w:pPr>
      <w:spacing w:line="480" w:lineRule="auto"/>
      <w:jc w:val="center"/>
      <w:rPr>
        <w:rFonts w:ascii="Times New Roman" w:eastAsia="Times New Roman" w:hAnsi="Times New Roman" w:cs="Times New Roman"/>
        <w:sz w:val="24"/>
        <w:szCs w:val="24"/>
      </w:rPr>
    </w:pPr>
  </w:p>
  <w:p w:rsidR="001A2CE9" w:rsidRDefault="00324730">
    <w:pPr>
      <w:spacing w:line="480" w:lineRule="auto"/>
      <w:jc w:val="center"/>
    </w:pPr>
    <w:r>
      <w:rPr>
        <w:rFonts w:ascii="Times New Roman" w:eastAsia="Times New Roman" w:hAnsi="Times New Roman" w:cs="Times New Roman"/>
        <w:sz w:val="24"/>
        <w:szCs w:val="24"/>
      </w:rPr>
      <w:t>Econometric &amp; Time Series Forecasting</w:t>
    </w:r>
  </w:p>
  <w:p w:rsidR="001A2CE9" w:rsidRDefault="001A2C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730" w:rsidRDefault="00324730">
      <w:pPr>
        <w:spacing w:line="240" w:lineRule="auto"/>
      </w:pPr>
      <w:r>
        <w:separator/>
      </w:r>
    </w:p>
  </w:footnote>
  <w:footnote w:type="continuationSeparator" w:id="0">
    <w:p w:rsidR="00324730" w:rsidRDefault="00324730">
      <w:pPr>
        <w:spacing w:line="240" w:lineRule="auto"/>
      </w:pPr>
      <w:r>
        <w:continuationSeparator/>
      </w:r>
    </w:p>
  </w:footnote>
  <w:footnote w:id="1">
    <w:p w:rsidR="001A2CE9" w:rsidRDefault="00324730">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rPr>
        <w:t>OECD.org Consumer confidence index (CCI). (n.d.). Retrieved from http://www.oecd.org/</w:t>
      </w:r>
    </w:p>
  </w:footnote>
  <w:footnote w:id="2">
    <w:p w:rsidR="001A2CE9" w:rsidRDefault="00324730">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rPr>
        <w:t>Erikson, R. S., MacKuen, M., &amp; Stimson, J. A. (2006). The Macro Polity. New York: Cambridge University Press.</w:t>
      </w:r>
    </w:p>
  </w:footnote>
  <w:footnote w:id="3">
    <w:p w:rsidR="001A2CE9" w:rsidRDefault="00324730">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rPr>
        <w:t>Ghalanos, A. (2018, January 28). Rugarch. Retrieved from http://www.unstarched.net/r/rugarch/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2CE9" w:rsidRDefault="00324730">
    <w:pPr>
      <w:jc w:val="right"/>
    </w:pPr>
    <w:r>
      <w:fldChar w:fldCharType="begin"/>
    </w:r>
    <w:r>
      <w:instrText>PAGE</w:instrText>
    </w:r>
    <w:r w:rsidR="00BE736A">
      <w:fldChar w:fldCharType="separate"/>
    </w:r>
    <w:r w:rsidR="00BE736A">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2CE9" w:rsidRDefault="001A2CE9">
    <w:pPr>
      <w:spacing w:line="48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F40703"/>
    <w:multiLevelType w:val="multilevel"/>
    <w:tmpl w:val="4F9805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A2CE9"/>
    <w:rsid w:val="001A2CE9"/>
    <w:rsid w:val="00324730"/>
    <w:rsid w:val="00BE7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6678BB"/>
  <w15:docId w15:val="{3F16AF44-4095-F04C-94BE-B4998776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BE736A"/>
    <w:pPr>
      <w:tabs>
        <w:tab w:val="center" w:pos="4680"/>
        <w:tab w:val="right" w:pos="9360"/>
      </w:tabs>
      <w:spacing w:line="240" w:lineRule="auto"/>
    </w:pPr>
  </w:style>
  <w:style w:type="character" w:customStyle="1" w:styleId="HeaderChar">
    <w:name w:val="Header Char"/>
    <w:basedOn w:val="DefaultParagraphFont"/>
    <w:link w:val="Header"/>
    <w:uiPriority w:val="99"/>
    <w:rsid w:val="00BE736A"/>
  </w:style>
  <w:style w:type="paragraph" w:styleId="Footer">
    <w:name w:val="footer"/>
    <w:basedOn w:val="Normal"/>
    <w:link w:val="FooterChar"/>
    <w:uiPriority w:val="99"/>
    <w:unhideWhenUsed/>
    <w:rsid w:val="00BE736A"/>
    <w:pPr>
      <w:tabs>
        <w:tab w:val="center" w:pos="4680"/>
        <w:tab w:val="right" w:pos="9360"/>
      </w:tabs>
      <w:spacing w:line="240" w:lineRule="auto"/>
    </w:pPr>
  </w:style>
  <w:style w:type="character" w:customStyle="1" w:styleId="FooterChar">
    <w:name w:val="Footer Char"/>
    <w:basedOn w:val="DefaultParagraphFont"/>
    <w:link w:val="Footer"/>
    <w:uiPriority w:val="99"/>
    <w:rsid w:val="00BE7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3679</Words>
  <Characters>20976</Characters>
  <Application>Microsoft Office Word</Application>
  <DocSecurity>0</DocSecurity>
  <Lines>174</Lines>
  <Paragraphs>49</Paragraphs>
  <ScaleCrop>false</ScaleCrop>
  <Company/>
  <LinksUpToDate>false</LinksUpToDate>
  <CharactersWithSpaces>24606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Kizer</cp:lastModifiedBy>
  <cp:revision>2</cp:revision>
  <dcterms:created xsi:type="dcterms:W3CDTF">2018-04-30T18:54:00Z</dcterms:created>
  <dcterms:modified xsi:type="dcterms:W3CDTF">2018-04-30T18:54:00Z</dcterms:modified>
</cp:coreProperties>
</file>