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ACTA CONSTITUTIVA Y ESTATUTOS SOCIALES</w:t>
      </w:r>
    </w:p>
    <w:p>
      <w:pPr>
        <w:jc w:val="center"/>
      </w:pPr>
      <w:r>
        <w:rPr>
          <w:b/>
          <w:sz w:val="32"/>
        </w:rPr>
        <w:t>{{EMPRESA_NOMBRE}}, C.A.</w:t>
      </w:r>
    </w:p>
    <w:p>
      <w:pPr>
        <w:jc w:val="both"/>
      </w:pPr>
      <w:r>
        <w:t>Nosotros, {{SOCIO1_NOMBRE}}, venezolano(a), mayor de edad, titular de la cédula de identidad N° {{SOCIO1_CEDULA}}; y {{SOCIO2_NOMBRE}}, venezolano(a), mayor de edad, titular de la cédula de identidad N° {{SOCIO2_CEDULA}}; hemos convenido en constituir, como en efecto constituimos por medio del presente documento, una compañía anónima que se regirá por las disposiciones del Código de Comercio y por las cláusulas siguientes:</w:t>
      </w:r>
    </w:p>
    <w:p>
      <w:r>
        <w:rPr>
          <w:rFonts w:ascii="Times New Roman" w:hAnsi="Times New Roman"/>
          <w:b/>
          <w:sz w:val="24"/>
        </w:rPr>
        <w:t>TÍTULO I — DENOMINACIÓN, DOMICILIO, OBJETO Y DURACIÓN</w:t>
      </w:r>
    </w:p>
    <w:p>
      <w:r>
        <w:rPr>
          <w:rFonts w:ascii="Times New Roman" w:hAnsi="Times New Roman"/>
          <w:b/>
          <w:sz w:val="24"/>
        </w:rPr>
        <w:t>CLÁUSULA PRIMERA: DENOMINACIÓN</w:t>
      </w:r>
    </w:p>
    <w:p>
      <w:pPr>
        <w:jc w:val="both"/>
      </w:pPr>
      <w:r>
        <w:t>La compañía se denominará "{{EMPRESA_NOMBRE}}, C.A.", y podrá usar comercialmente la abreviatura de su nombre, de conformidad con el artículo 202 del Código de Comercio.</w:t>
      </w:r>
    </w:p>
    <w:p>
      <w:r>
        <w:rPr>
          <w:rFonts w:ascii="Times New Roman" w:hAnsi="Times New Roman"/>
          <w:b/>
          <w:sz w:val="24"/>
        </w:rPr>
        <w:t>CLÁUSULA SEGUNDA: DOMICILIO</w:t>
      </w:r>
    </w:p>
    <w:p>
      <w:pPr>
        <w:jc w:val="both"/>
      </w:pPr>
      <w:r>
        <w:t>El domicilio principal de la compañía será en: {{DIRECCION_EMPRESA}}, Municipio {{MUNICIPIO}}, Estado {{ESTADO}}, República Bolivariana de Venezuela, pudiendo establecer sucursales, agencias u oficinas en cualquier lugar del país o del exterior.</w:t>
      </w:r>
    </w:p>
    <w:p>
      <w:r>
        <w:rPr>
          <w:rFonts w:ascii="Times New Roman" w:hAnsi="Times New Roman"/>
          <w:b/>
          <w:sz w:val="24"/>
        </w:rPr>
        <w:t>CLÁUSULA TERCERA: OBJETO SOCIAL</w:t>
      </w:r>
    </w:p>
    <w:p>
      <w:pPr>
        <w:jc w:val="both"/>
      </w:pPr>
      <w:r>
        <w:t>La compañía tendrá por objeto: {{OBJETO_SOCIAL}}. Además, podrá realizar cualquier otra actividad de lícito comercio conexa o no con su objeto principal.</w:t>
      </w:r>
    </w:p>
    <w:p>
      <w:r>
        <w:rPr>
          <w:rFonts w:ascii="Times New Roman" w:hAnsi="Times New Roman"/>
          <w:b/>
          <w:sz w:val="24"/>
        </w:rPr>
        <w:t>CLÁUSULA CUARTA: DURACIÓN</w:t>
      </w:r>
    </w:p>
    <w:p>
      <w:pPr>
        <w:jc w:val="both"/>
      </w:pPr>
      <w:r>
        <w:t>La duración de la compañía será de cincuenta (50) años, contados a partir de su inscripción en el Registro Mercantil, pudiendo prorrogarse por decisión de la Asamblea de Accionistas.</w:t>
      </w:r>
    </w:p>
    <w:p>
      <w:r>
        <w:rPr>
          <w:rFonts w:ascii="Times New Roman" w:hAnsi="Times New Roman"/>
          <w:b/>
          <w:sz w:val="24"/>
        </w:rPr>
        <w:t>TÍTULO II — CAPITAL SOCIAL Y ACCIONES</w:t>
      </w:r>
    </w:p>
    <w:p>
      <w:r>
        <w:rPr>
          <w:rFonts w:ascii="Times New Roman" w:hAnsi="Times New Roman"/>
          <w:b/>
          <w:sz w:val="24"/>
        </w:rPr>
        <w:t>CLÁUSULA QUINTA: CAPITAL SOCIAL</w:t>
      </w:r>
    </w:p>
    <w:p>
      <w:pPr>
        <w:jc w:val="both"/>
      </w:pPr>
      <w:r>
        <w:t>El capital social de la compañía es de {{CAPITAL_SOCIAL}} ({{CAPITAL_LETRAS}}), dividido en acciones nominativas de igual valor, el cual ha sido suscrito y pagado en su totalidad de la siguiente manera:</w:t>
      </w:r>
    </w:p>
    <w:p>
      <w:pPr>
        <w:jc w:val="both"/>
      </w:pPr>
      <w:r>
        <w:t>• {{SOCIO1_NOMBRE}} (C.I. {{SOCIO1_CEDULA}}): suscribe y paga el {{SOCIO1_PORCENTAJE}}% del capital social.</w:t>
      </w:r>
    </w:p>
    <w:p>
      <w:pPr>
        <w:jc w:val="both"/>
      </w:pPr>
      <w:r>
        <w:t>• {{SOCIO2_NOMBRE}} (C.I. {{SOCIO2_CEDULA}}): suscribe y paga el {{SOCIO2_PORCENTAJE}}% del capital social.</w:t>
      </w:r>
    </w:p>
    <w:p>
      <w:r>
        <w:rPr>
          <w:rFonts w:ascii="Times New Roman" w:hAnsi="Times New Roman"/>
          <w:b/>
          <w:sz w:val="24"/>
        </w:rPr>
        <w:t>CLÁUSULA SEXTA: ACCIONES</w:t>
      </w:r>
    </w:p>
    <w:p>
      <w:pPr>
        <w:jc w:val="both"/>
      </w:pPr>
      <w:r>
        <w:t>Las acciones serán nominativas y no podrán ser cedidas ni traspasadas sin el consentimiento previo de la Asamblea de Accionistas, quienes tendrán derecho preferente de adquisición.</w:t>
      </w:r>
    </w:p>
    <w:p>
      <w:r>
        <w:rPr>
          <w:rFonts w:ascii="Times New Roman" w:hAnsi="Times New Roman"/>
          <w:b/>
          <w:sz w:val="24"/>
        </w:rPr>
        <w:t>TÍTULO III — ADMINISTRACIÓN Y DIRECCIÓN</w:t>
      </w:r>
    </w:p>
    <w:p>
      <w:r>
        <w:rPr>
          <w:rFonts w:ascii="Times New Roman" w:hAnsi="Times New Roman"/>
          <w:b/>
          <w:sz w:val="24"/>
        </w:rPr>
        <w:t>CLÁUSULA SÉPTIMA: DIRECCIÓN</w:t>
      </w:r>
    </w:p>
    <w:p>
      <w:pPr>
        <w:jc w:val="both"/>
      </w:pPr>
      <w:r>
        <w:t>La dirección y administración de la compañía estará a cargo de una Junta Directiva compuesta por un(a) Director(a) General y un(a) Director(a) Ejecutivo(a), quienes serán designados por la Asamblea de Accionistas y durarán cinco (5) años en sus funciones, pudiendo ser reelegidos.</w:t>
      </w:r>
    </w:p>
    <w:p>
      <w:r>
        <w:rPr>
          <w:rFonts w:ascii="Times New Roman" w:hAnsi="Times New Roman"/>
          <w:b/>
          <w:sz w:val="24"/>
        </w:rPr>
        <w:t>CLÁUSULA OCTAVA: REPRESENTACIÓN</w:t>
      </w:r>
    </w:p>
    <w:p>
      <w:pPr>
        <w:jc w:val="both"/>
      </w:pPr>
      <w:r>
        <w:t>El(la) Director(a) General tendrá la representación legal de la compañía y podrá ejecutar todos los actos de administración y disposición, incluyendo: abrir y cerrar cuentas bancarias, suscribir contratos, otorgar poderes, comparecer en juicio, y en general, realizar todo acto necesario para el cumplimiento del objeto social.</w:t>
      </w:r>
    </w:p>
    <w:p>
      <w:r>
        <w:rPr>
          <w:rFonts w:ascii="Times New Roman" w:hAnsi="Times New Roman"/>
          <w:b/>
          <w:sz w:val="24"/>
        </w:rPr>
        <w:t>TÍTULO IV — ASAMBLEA DE ACCIONISTAS</w:t>
      </w:r>
    </w:p>
    <w:p>
      <w:r>
        <w:rPr>
          <w:rFonts w:ascii="Times New Roman" w:hAnsi="Times New Roman"/>
          <w:b/>
          <w:sz w:val="24"/>
        </w:rPr>
        <w:t>CLÁUSULA NOVENA: ASAMBLEA</w:t>
      </w:r>
    </w:p>
    <w:p>
      <w:pPr>
        <w:jc w:val="both"/>
      </w:pPr>
      <w:r>
        <w:t>La Asamblea General de Accionistas es el órgano supremo de la compañía. Las asambleas ordinarias se celebrarán dentro de los noventa (90) días siguientes al cierre del ejercicio económico anual. Las asambleas extraordinarias se celebrarán cuando así lo requieran los intereses de la compañía.</w:t>
      </w:r>
    </w:p>
    <w:p>
      <w:r>
        <w:rPr>
          <w:rFonts w:ascii="Times New Roman" w:hAnsi="Times New Roman"/>
          <w:b/>
          <w:sz w:val="24"/>
        </w:rPr>
        <w:t>TÍTULO V — EJERCICIO ECONÓMICO Y UTILIDADES</w:t>
      </w:r>
    </w:p>
    <w:p>
      <w:r>
        <w:rPr>
          <w:rFonts w:ascii="Times New Roman" w:hAnsi="Times New Roman"/>
          <w:b/>
          <w:sz w:val="24"/>
        </w:rPr>
        <w:t>CLÁUSULA DÉCIMA: EJERCICIO ECONÓMICO</w:t>
      </w:r>
    </w:p>
    <w:p>
      <w:pPr>
        <w:jc w:val="both"/>
      </w:pPr>
      <w:r>
        <w:t>El ejercicio económico de la compañía comenzará el primero (1°) de enero y terminará el treinta y uno (31) de diciembre de cada año.</w:t>
      </w:r>
    </w:p>
    <w:p>
      <w:r>
        <w:rPr>
          <w:rFonts w:ascii="Times New Roman" w:hAnsi="Times New Roman"/>
          <w:b/>
          <w:sz w:val="24"/>
        </w:rPr>
        <w:t>CLÁUSULA DÉCIMA PRIMERA: COMISARIO</w:t>
      </w:r>
    </w:p>
    <w:p>
      <w:pPr>
        <w:jc w:val="both"/>
      </w:pPr>
      <w:r>
        <w:t>La compañía tendrá un(a) Comisario(a), quien deberá ser Contador(a) Público(a) Colegiado(a), designado(a) por la Asamblea de Accionistas, de conformidad con los artículos 287 y siguientes del Código de Comercio.</w:t>
      </w:r>
    </w:p>
    <w:p>
      <w:r>
        <w:rPr>
          <w:rFonts w:ascii="Times New Roman" w:hAnsi="Times New Roman"/>
          <w:b/>
          <w:sz w:val="24"/>
        </w:rPr>
        <w:t>DESIGNACIONES</w:t>
      </w:r>
    </w:p>
    <w:p>
      <w:pPr>
        <w:jc w:val="both"/>
      </w:pPr>
      <w:r>
        <w:t>Los socios acuerdan designar como Director(a) General a {{SOCIO1_NOMBRE}}, y como Director(a) Ejecutivo(a) a {{SOCIO2_NOMBRE}}, quienes declaran aceptar las designaciones y se comprometen a cumplir con las obligaciones inherentes a sus cargos.</w:t>
      </w:r>
    </w:p>
    <w:p>
      <w:pPr>
        <w:jc w:val="both"/>
      </w:pPr>
      <w:r>
        <w:t>Se firma en la ciudad de {{CIUDAD}}, a los {{FECHA_FIRMA}}.</w:t>
      </w:r>
    </w:p>
    <w:p/>
    <w:p>
      <w:pPr>
        <w:jc w:val="center"/>
      </w:pPr>
      <w:r>
        <w:t>________________________________________</w:t>
      </w:r>
    </w:p>
    <w:p>
      <w:pPr>
        <w:jc w:val="center"/>
      </w:pPr>
      <w:r>
        <w:rPr>
          <w:b/>
        </w:rPr>
        <w:t>{{SOCIO1_NOMBRE}}</w:t>
      </w:r>
    </w:p>
    <w:p>
      <w:pPr>
        <w:jc w:val="center"/>
      </w:pPr>
      <w:r>
        <w:t>C.I.: {{SOCIO1_CEDULA}}</w:t>
      </w:r>
    </w:p>
    <w:p>
      <w:pPr>
        <w:jc w:val="center"/>
      </w:pPr>
      <w:r>
        <w:t>SOCIO / DIRECTOR(A) GENERAL</w:t>
      </w:r>
    </w:p>
    <w:p/>
    <w:p>
      <w:pPr>
        <w:jc w:val="center"/>
      </w:pPr>
      <w:r>
        <w:t>________________________________________</w:t>
      </w:r>
    </w:p>
    <w:p>
      <w:pPr>
        <w:jc w:val="center"/>
      </w:pPr>
      <w:r>
        <w:rPr>
          <w:b/>
        </w:rPr>
        <w:t>{{SOCIO2_NOMBRE}}</w:t>
      </w:r>
    </w:p>
    <w:p>
      <w:pPr>
        <w:jc w:val="center"/>
      </w:pPr>
      <w:r>
        <w:t>C.I.: {{SOCIO2_CEDULA}}</w:t>
      </w:r>
    </w:p>
    <w:p>
      <w:pPr>
        <w:jc w:val="center"/>
      </w:pPr>
      <w:r>
        <w:t>SOCIO / DIRECTOR(A) EJECUTIVO(A)</w:t>
      </w:r>
    </w:p>
    <w:p/>
    <w:p>
      <w:pPr>
        <w:jc w:val="center"/>
      </w:pPr>
      <w:r>
        <w:rPr>
          <w:b/>
        </w:rPr>
        <w:t>NOTA DE REGISTRO MERCANTIL</w:t>
      </w:r>
    </w:p>
    <w:p>
      <w:pPr>
        <w:jc w:val="center"/>
      </w:pPr>
      <w:r>
        <w:t>(Espacio reservado para el Registro Mercantil)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