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595959"/>
          <w:sz w:val="24"/>
          <w:szCs w:val="24"/>
        </w:rPr>
        <w:t xml:space="preserve">BLUEPRINT DE ARQUITECTURA TECNOLÓGICA E INSTITUCIONAL</w:t>
      </w:r>
    </w:p>
    <w:p>
      <w:pPr>
        <w:spacing w:after="200" w:before="200"/>
        <w:jc w:val="center"/>
      </w:pPr>
      <w:r>
        <w:rPr>
          <w:rFonts w:ascii="Calibri" w:cs="Calibri" w:eastAsia="Calibri" w:hAnsi="Calibri"/>
          <w:b/>
          <w:bCs/>
          <w:color w:val="132A45"/>
          <w:sz w:val="52"/>
          <w:szCs w:val="52"/>
        </w:rPr>
        <w:t xml:space="preserve">CARIBE SEGURO PARA MUJERES</w:t>
      </w:r>
    </w:p>
    <w:p>
      <w:pPr>
        <w:spacing w:after="300"/>
        <w:jc w:val="center"/>
      </w:pPr>
      <w:r>
        <w:rPr>
          <w:rFonts w:ascii="Calibri" w:cs="Calibri" w:eastAsia="Calibri" w:hAnsi="Calibri"/>
          <w:i/>
          <w:iCs/>
          <w:color w:val="0E6E6E"/>
          <w:sz w:val="26"/>
          <w:szCs w:val="26"/>
        </w:rPr>
        <w:t xml:space="preserve">El sistema de protección, evidencia e impacto de Fundación Senda Mujer</w:t>
      </w:r>
    </w:p>
    <w:p>
      <w:pPr>
        <w:spacing w:after="80" w:before="500"/>
        <w:jc w:val="center"/>
      </w:pPr>
      <w:r>
        <w:rPr>
          <w:rFonts w:ascii="Calibri" w:cs="Calibri" w:eastAsia="Calibri" w:hAnsi="Calibri"/>
          <w:i/>
          <w:iCs/>
          <w:color w:val="595959"/>
          <w:sz w:val="20"/>
          <w:szCs w:val="20"/>
        </w:rPr>
        <w:t xml:space="preserve">De la alerta a la protección. De la protección al resultado. Del resultado a la política pública.</w:t>
      </w:r>
    </w:p>
    <w:p>
      <w:pPr>
        <w:spacing w:after="40" w:before="1000"/>
        <w:jc w:val="center"/>
      </w:pPr>
      <w:r>
        <w:rPr>
          <w:rFonts w:ascii="Calibri" w:cs="Calibri" w:eastAsia="Calibri" w:hAnsi="Calibri"/>
          <w:color w:val="595959"/>
          <w:sz w:val="20"/>
          <w:szCs w:val="20"/>
        </w:rPr>
        <w:t xml:space="preserve">Fundación Senda Mujer — Cartagena de Indias, Bolívar, Colombia</w:t>
      </w:r>
    </w:p>
    <w:p>
      <w:pPr>
        <w:spacing w:before="800"/>
        <w:jc w:val="center"/>
      </w:pPr>
      <w:r>
        <w:rPr>
          <w:rFonts w:ascii="Calibri" w:cs="Calibri" w:eastAsia="Calibri" w:hAnsi="Calibri"/>
          <w:color w:val="595959"/>
          <w:sz w:val="20"/>
          <w:szCs w:val="20"/>
        </w:rPr>
        <w:t xml:space="preserve">2026</w:t>
      </w:r>
    </w:p>
    <w:p>
      <w:r>
        <w:br w:type="page"/>
      </w:r>
    </w:p>
    <w:p>
      <w:pPr>
        <w:pStyle w:val="Heading1"/>
        <w:pageBreakBefore/>
        <w:spacing w:after="280" w:before="0"/>
      </w:pPr>
      <w:r>
        <w:rPr>
          <w:rFonts w:ascii="Calibri" w:cs="Calibri" w:eastAsia="Calibri" w:hAnsi="Calibri"/>
          <w:b/>
          <w:bCs/>
          <w:color w:val="132A45"/>
          <w:sz w:val="30"/>
          <w:szCs w:val="30"/>
        </w:rPr>
        <w:t xml:space="preserve">Índice</w:t>
      </w:r>
    </w:p>
    <w:p>
      <w:pPr>
        <w:tabs>
          <w:tab w:val="right" w:pos="9026" w:leader="dot"/>
        </w:tabs>
        <w:spacing w:after="120" w:line="264"/>
      </w:pPr>
      <w:r>
        <w:rPr>
          <w:rFonts w:ascii="Calibri" w:cs="Calibri" w:eastAsia="Calibri" w:hAnsi="Calibri"/>
          <w:b/>
          <w:bCs/>
          <w:color w:val="132A45"/>
          <w:sz w:val="20"/>
          <w:szCs w:val="20"/>
        </w:rPr>
        <w:t xml:space="preserve">Resumen Ejecutivo</w:t>
      </w:r>
      <w:r>
        <w:rPr>
          <w:rFonts w:ascii="Calibri" w:cs="Calibri" w:eastAsia="Calibri" w:hAnsi="Calibri"/>
          <w:color w:val="595959"/>
          <w:sz w:val="20"/>
          <w:szCs w:val="20"/>
        </w:rPr>
        <w:t xml:space="preserve">	3</w:t>
      </w:r>
    </w:p>
    <w:p>
      <w:pPr>
        <w:tabs>
          <w:tab w:val="right" w:pos="9026" w:leader="dot"/>
        </w:tabs>
        <w:spacing w:after="120" w:line="264"/>
      </w:pPr>
      <w:r>
        <w:rPr>
          <w:rFonts w:ascii="Calibri" w:cs="Calibri" w:eastAsia="Calibri" w:hAnsi="Calibri"/>
          <w:b/>
          <w:bCs/>
          <w:color w:val="132A45"/>
          <w:sz w:val="20"/>
          <w:szCs w:val="20"/>
        </w:rPr>
        <w:t xml:space="preserve">1. Metodología de esta Investigación</w:t>
      </w:r>
      <w:r>
        <w:rPr>
          <w:rFonts w:ascii="Calibri" w:cs="Calibri" w:eastAsia="Calibri" w:hAnsi="Calibri"/>
          <w:color w:val="595959"/>
          <w:sz w:val="20"/>
          <w:szCs w:val="20"/>
        </w:rPr>
        <w:t xml:space="preserve">	4</w:t>
      </w:r>
    </w:p>
    <w:p>
      <w:pPr>
        <w:tabs>
          <w:tab w:val="right" w:pos="9026" w:leader="dot"/>
        </w:tabs>
        <w:spacing w:after="120" w:line="264"/>
      </w:pPr>
      <w:r>
        <w:rPr>
          <w:rFonts w:ascii="Calibri" w:cs="Calibri" w:eastAsia="Calibri" w:hAnsi="Calibri"/>
          <w:b/>
          <w:bCs/>
          <w:color w:val="132A45"/>
          <w:sz w:val="20"/>
          <w:szCs w:val="20"/>
        </w:rPr>
        <w:t xml:space="preserve">2. Diagnóstico: Por Qué Cartagena, Por Qué Ahora</w:t>
      </w:r>
      <w:r>
        <w:rPr>
          <w:rFonts w:ascii="Calibri" w:cs="Calibri" w:eastAsia="Calibri" w:hAnsi="Calibri"/>
          <w:color w:val="595959"/>
          <w:sz w:val="20"/>
          <w:szCs w:val="20"/>
        </w:rPr>
        <w:t xml:space="preserve">	5</w:t>
      </w:r>
    </w:p>
    <w:p>
      <w:pPr>
        <w:tabs>
          <w:tab w:val="right" w:pos="9026" w:leader="dot"/>
        </w:tabs>
        <w:spacing w:after="120" w:line="264"/>
      </w:pPr>
      <w:r>
        <w:rPr>
          <w:rFonts w:ascii="Calibri" w:cs="Calibri" w:eastAsia="Calibri" w:hAnsi="Calibri"/>
          <w:b/>
          <w:bCs/>
          <w:color w:val="132A45"/>
          <w:sz w:val="20"/>
          <w:szCs w:val="20"/>
        </w:rPr>
        <w:t xml:space="preserve">3. Lo que Ya Existe: Panorama Honesto</w:t>
      </w:r>
      <w:r>
        <w:rPr>
          <w:rFonts w:ascii="Calibri" w:cs="Calibri" w:eastAsia="Calibri" w:hAnsi="Calibri"/>
          <w:color w:val="595959"/>
          <w:sz w:val="20"/>
          <w:szCs w:val="20"/>
        </w:rPr>
        <w:t xml:space="preserve">	6</w:t>
      </w:r>
    </w:p>
    <w:p>
      <w:pPr>
        <w:tabs>
          <w:tab w:val="right" w:pos="9026" w:leader="dot"/>
        </w:tabs>
        <w:spacing w:after="120" w:line="264"/>
      </w:pPr>
      <w:r>
        <w:rPr>
          <w:rFonts w:ascii="Calibri" w:cs="Calibri" w:eastAsia="Calibri" w:hAnsi="Calibri"/>
          <w:b/>
          <w:bCs/>
          <w:color w:val="132A45"/>
          <w:sz w:val="20"/>
          <w:szCs w:val="20"/>
        </w:rPr>
        <w:t xml:space="preserve">4. El Espacio Real de Innovación</w:t>
      </w:r>
      <w:r>
        <w:rPr>
          <w:rFonts w:ascii="Calibri" w:cs="Calibri" w:eastAsia="Calibri" w:hAnsi="Calibri"/>
          <w:color w:val="595959"/>
          <w:sz w:val="20"/>
          <w:szCs w:val="20"/>
        </w:rPr>
        <w:t xml:space="preserve">	8</w:t>
      </w:r>
    </w:p>
    <w:p>
      <w:pPr>
        <w:tabs>
          <w:tab w:val="right" w:pos="9026" w:leader="dot"/>
        </w:tabs>
        <w:spacing w:after="120" w:line="264"/>
      </w:pPr>
      <w:r>
        <w:rPr>
          <w:rFonts w:ascii="Calibri" w:cs="Calibri" w:eastAsia="Calibri" w:hAnsi="Calibri"/>
          <w:b/>
          <w:bCs/>
          <w:color w:val="132A45"/>
          <w:sz w:val="20"/>
          <w:szCs w:val="20"/>
        </w:rPr>
        <w:t xml:space="preserve">5. La Propuesta: Caribe Seguro</w:t>
      </w:r>
      <w:r>
        <w:rPr>
          <w:rFonts w:ascii="Calibri" w:cs="Calibri" w:eastAsia="Calibri" w:hAnsi="Calibri"/>
          <w:color w:val="595959"/>
          <w:sz w:val="20"/>
          <w:szCs w:val="20"/>
        </w:rPr>
        <w:t xml:space="preserve">	9</w:t>
      </w:r>
    </w:p>
    <w:p>
      <w:pPr>
        <w:tabs>
          <w:tab w:val="right" w:pos="9026" w:leader="dot"/>
        </w:tabs>
        <w:spacing w:after="120" w:line="264"/>
      </w:pPr>
      <w:r>
        <w:rPr>
          <w:rFonts w:ascii="Calibri" w:cs="Calibri" w:eastAsia="Calibri" w:hAnsi="Calibri"/>
          <w:b/>
          <w:bCs/>
          <w:color w:val="132A45"/>
          <w:sz w:val="20"/>
          <w:szCs w:val="20"/>
        </w:rPr>
        <w:t xml:space="preserve">6. Arquitectura General del Ecosistema</w:t>
      </w:r>
      <w:r>
        <w:rPr>
          <w:rFonts w:ascii="Calibri" w:cs="Calibri" w:eastAsia="Calibri" w:hAnsi="Calibri"/>
          <w:color w:val="595959"/>
          <w:sz w:val="20"/>
          <w:szCs w:val="20"/>
        </w:rPr>
        <w:t xml:space="preserve">	10</w:t>
      </w:r>
    </w:p>
    <w:p>
      <w:pPr>
        <w:tabs>
          <w:tab w:val="right" w:pos="9026" w:leader="dot"/>
        </w:tabs>
        <w:spacing w:after="120" w:line="264"/>
      </w:pPr>
      <w:r>
        <w:rPr>
          <w:rFonts w:ascii="Calibri" w:cs="Calibri" w:eastAsia="Calibri" w:hAnsi="Calibri"/>
          <w:b/>
          <w:bCs/>
          <w:color w:val="132A45"/>
          <w:sz w:val="20"/>
          <w:szCs w:val="20"/>
        </w:rPr>
        <w:t xml:space="preserve">7. Componente Insignia: Índice de Protección Senda-Caribe (IPSC)</w:t>
      </w:r>
      <w:r>
        <w:rPr>
          <w:rFonts w:ascii="Calibri" w:cs="Calibri" w:eastAsia="Calibri" w:hAnsi="Calibri"/>
          <w:color w:val="595959"/>
          <w:sz w:val="20"/>
          <w:szCs w:val="20"/>
        </w:rPr>
        <w:t xml:space="preserve">	12</w:t>
      </w:r>
    </w:p>
    <w:p>
      <w:pPr>
        <w:tabs>
          <w:tab w:val="right" w:pos="9026" w:leader="dot"/>
        </w:tabs>
        <w:spacing w:after="120" w:line="264"/>
      </w:pPr>
      <w:r>
        <w:rPr>
          <w:rFonts w:ascii="Calibri" w:cs="Calibri" w:eastAsia="Calibri" w:hAnsi="Calibri"/>
          <w:b/>
          <w:bCs/>
          <w:color w:val="132A45"/>
          <w:sz w:val="20"/>
          <w:szCs w:val="20"/>
        </w:rPr>
        <w:t xml:space="preserve">8. Sistema de Señales de Deterioro (No de Predicción)</w:t>
      </w:r>
      <w:r>
        <w:rPr>
          <w:rFonts w:ascii="Calibri" w:cs="Calibri" w:eastAsia="Calibri" w:hAnsi="Calibri"/>
          <w:color w:val="595959"/>
          <w:sz w:val="20"/>
          <w:szCs w:val="20"/>
        </w:rPr>
        <w:t xml:space="preserve">	14</w:t>
      </w:r>
    </w:p>
    <w:p>
      <w:pPr>
        <w:tabs>
          <w:tab w:val="right" w:pos="9026" w:leader="dot"/>
        </w:tabs>
        <w:spacing w:after="120" w:line="264"/>
      </w:pPr>
      <w:r>
        <w:rPr>
          <w:rFonts w:ascii="Calibri" w:cs="Calibri" w:eastAsia="Calibri" w:hAnsi="Calibri"/>
          <w:b/>
          <w:bCs/>
          <w:color w:val="132A45"/>
          <w:sz w:val="20"/>
          <w:szCs w:val="20"/>
        </w:rPr>
        <w:t xml:space="preserve">9. Observatorio Caribe Seguro</w:t>
      </w:r>
      <w:r>
        <w:rPr>
          <w:rFonts w:ascii="Calibri" w:cs="Calibri" w:eastAsia="Calibri" w:hAnsi="Calibri"/>
          <w:color w:val="595959"/>
          <w:sz w:val="20"/>
          <w:szCs w:val="20"/>
        </w:rPr>
        <w:t xml:space="preserve">	15</w:t>
      </w:r>
    </w:p>
    <w:p>
      <w:pPr>
        <w:tabs>
          <w:tab w:val="right" w:pos="9026" w:leader="dot"/>
        </w:tabs>
        <w:spacing w:after="120" w:line="264"/>
      </w:pPr>
      <w:r>
        <w:rPr>
          <w:rFonts w:ascii="Calibri" w:cs="Calibri" w:eastAsia="Calibri" w:hAnsi="Calibri"/>
          <w:b/>
          <w:bCs/>
          <w:color w:val="132A45"/>
          <w:sz w:val="20"/>
          <w:szCs w:val="20"/>
        </w:rPr>
        <w:t xml:space="preserve">10. Mapa Caribe Seguro y Certificación Territorial</w:t>
      </w:r>
      <w:r>
        <w:rPr>
          <w:rFonts w:ascii="Calibri" w:cs="Calibri" w:eastAsia="Calibri" w:hAnsi="Calibri"/>
          <w:color w:val="595959"/>
          <w:sz w:val="20"/>
          <w:szCs w:val="20"/>
        </w:rPr>
        <w:t xml:space="preserve">	16</w:t>
      </w:r>
    </w:p>
    <w:p>
      <w:pPr>
        <w:tabs>
          <w:tab w:val="right" w:pos="9026" w:leader="dot"/>
        </w:tabs>
        <w:spacing w:after="120" w:line="264"/>
      </w:pPr>
      <w:r>
        <w:rPr>
          <w:rFonts w:ascii="Calibri" w:cs="Calibri" w:eastAsia="Calibri" w:hAnsi="Calibri"/>
          <w:b/>
          <w:bCs/>
          <w:color w:val="132A45"/>
          <w:sz w:val="20"/>
          <w:szCs w:val="20"/>
        </w:rPr>
        <w:t xml:space="preserve">11. Privacidad y Seguridad de Datos por Diseño</w:t>
      </w:r>
      <w:r>
        <w:rPr>
          <w:rFonts w:ascii="Calibri" w:cs="Calibri" w:eastAsia="Calibri" w:hAnsi="Calibri"/>
          <w:color w:val="595959"/>
          <w:sz w:val="20"/>
          <w:szCs w:val="20"/>
        </w:rPr>
        <w:t xml:space="preserve">	17</w:t>
      </w:r>
    </w:p>
    <w:p>
      <w:pPr>
        <w:tabs>
          <w:tab w:val="right" w:pos="9026" w:leader="dot"/>
        </w:tabs>
        <w:spacing w:after="120" w:line="264"/>
      </w:pPr>
      <w:r>
        <w:rPr>
          <w:rFonts w:ascii="Calibri" w:cs="Calibri" w:eastAsia="Calibri" w:hAnsi="Calibri"/>
          <w:b/>
          <w:bCs/>
          <w:color w:val="132A45"/>
          <w:sz w:val="20"/>
          <w:szCs w:val="20"/>
        </w:rPr>
        <w:t xml:space="preserve">12. Relevancia Política y de Cooperación</w:t>
      </w:r>
      <w:r>
        <w:rPr>
          <w:rFonts w:ascii="Calibri" w:cs="Calibri" w:eastAsia="Calibri" w:hAnsi="Calibri"/>
          <w:color w:val="595959"/>
          <w:sz w:val="20"/>
          <w:szCs w:val="20"/>
        </w:rPr>
        <w:t xml:space="preserve">	18</w:t>
      </w:r>
    </w:p>
    <w:p>
      <w:pPr>
        <w:tabs>
          <w:tab w:val="right" w:pos="9026" w:leader="dot"/>
        </w:tabs>
        <w:spacing w:after="120" w:line="264"/>
      </w:pPr>
      <w:r>
        <w:rPr>
          <w:rFonts w:ascii="Calibri" w:cs="Calibri" w:eastAsia="Calibri" w:hAnsi="Calibri"/>
          <w:b/>
          <w:bCs/>
          <w:color w:val="132A45"/>
          <w:sz w:val="20"/>
          <w:szCs w:val="20"/>
        </w:rPr>
        <w:t xml:space="preserve">13. Hoja de Ruta por Fases</w:t>
      </w:r>
      <w:r>
        <w:rPr>
          <w:rFonts w:ascii="Calibri" w:cs="Calibri" w:eastAsia="Calibri" w:hAnsi="Calibri"/>
          <w:color w:val="595959"/>
          <w:sz w:val="20"/>
          <w:szCs w:val="20"/>
        </w:rPr>
        <w:t xml:space="preserve">	19</w:t>
      </w:r>
    </w:p>
    <w:p>
      <w:pPr>
        <w:tabs>
          <w:tab w:val="right" w:pos="9026" w:leader="dot"/>
        </w:tabs>
        <w:spacing w:after="120" w:line="264"/>
      </w:pPr>
      <w:r>
        <w:rPr>
          <w:rFonts w:ascii="Calibri" w:cs="Calibri" w:eastAsia="Calibri" w:hAnsi="Calibri"/>
          <w:b/>
          <w:bCs/>
          <w:color w:val="132A45"/>
          <w:sz w:val="20"/>
          <w:szCs w:val="20"/>
        </w:rPr>
        <w:t xml:space="preserve">14. Tablero de Impacto: Reglas de Medición</w:t>
      </w:r>
      <w:r>
        <w:rPr>
          <w:rFonts w:ascii="Calibri" w:cs="Calibri" w:eastAsia="Calibri" w:hAnsi="Calibri"/>
          <w:color w:val="595959"/>
          <w:sz w:val="20"/>
          <w:szCs w:val="20"/>
        </w:rPr>
        <w:t xml:space="preserve">	20</w:t>
      </w:r>
    </w:p>
    <w:p>
      <w:pPr>
        <w:tabs>
          <w:tab w:val="right" w:pos="9026" w:leader="dot"/>
        </w:tabs>
        <w:spacing w:after="120" w:line="264"/>
      </w:pPr>
      <w:r>
        <w:rPr>
          <w:rFonts w:ascii="Calibri" w:cs="Calibri" w:eastAsia="Calibri" w:hAnsi="Calibri"/>
          <w:b/>
          <w:bCs/>
          <w:color w:val="132A45"/>
          <w:sz w:val="20"/>
          <w:szCs w:val="20"/>
        </w:rPr>
        <w:t xml:space="preserve">15. Riesgos Éticos y Límites del Sistema</w:t>
      </w:r>
      <w:r>
        <w:rPr>
          <w:rFonts w:ascii="Calibri" w:cs="Calibri" w:eastAsia="Calibri" w:hAnsi="Calibri"/>
          <w:color w:val="595959"/>
          <w:sz w:val="20"/>
          <w:szCs w:val="20"/>
        </w:rPr>
        <w:t xml:space="preserve">	21</w:t>
      </w:r>
    </w:p>
    <w:p>
      <w:pPr>
        <w:tabs>
          <w:tab w:val="right" w:pos="9026" w:leader="dot"/>
        </w:tabs>
        <w:spacing w:after="120" w:line="264"/>
      </w:pPr>
      <w:r>
        <w:rPr>
          <w:rFonts w:ascii="Calibri" w:cs="Calibri" w:eastAsia="Calibri" w:hAnsi="Calibri"/>
          <w:b/>
          <w:bCs/>
          <w:color w:val="132A45"/>
          <w:sz w:val="20"/>
          <w:szCs w:val="20"/>
        </w:rPr>
        <w:t xml:space="preserve">16. Conclusión y Próximo Paso Inmediato</w:t>
      </w:r>
      <w:r>
        <w:rPr>
          <w:rFonts w:ascii="Calibri" w:cs="Calibri" w:eastAsia="Calibri" w:hAnsi="Calibri"/>
          <w:color w:val="595959"/>
          <w:sz w:val="20"/>
          <w:szCs w:val="20"/>
        </w:rPr>
        <w:t xml:space="preserve">	22</w:t>
      </w:r>
    </w:p>
    <w:p>
      <w:pPr>
        <w:tabs>
          <w:tab w:val="right" w:pos="9026" w:leader="dot"/>
        </w:tabs>
        <w:spacing w:after="120" w:line="264"/>
      </w:pPr>
      <w:r>
        <w:rPr>
          <w:rFonts w:ascii="Calibri" w:cs="Calibri" w:eastAsia="Calibri" w:hAnsi="Calibri"/>
          <w:b/>
          <w:bCs/>
          <w:color w:val="132A45"/>
          <w:sz w:val="20"/>
          <w:szCs w:val="20"/>
        </w:rPr>
        <w:t xml:space="preserve">Fuentes Consultadas</w:t>
      </w:r>
      <w:r>
        <w:rPr>
          <w:rFonts w:ascii="Calibri" w:cs="Calibri" w:eastAsia="Calibri" w:hAnsi="Calibri"/>
          <w:color w:val="595959"/>
          <w:sz w:val="20"/>
          <w:szCs w:val="20"/>
        </w:rPr>
        <w:t xml:space="preserve">	23</w:t>
      </w:r>
    </w:p>
    <w:p>
      <w:r>
        <w:br w:type="page"/>
      </w:r>
    </w:p>
    <w:p>
      <w:pPr>
        <w:pStyle w:val="Heading1"/>
        <w:pageBreakBefore/>
        <w:spacing w:after="240" w:before="0" w:line="264"/>
      </w:pPr>
      <w:r>
        <w:rPr>
          <w:rFonts w:ascii="Calibri" w:cs="Calibri" w:eastAsia="Calibri" w:hAnsi="Calibri"/>
          <w:b/>
          <w:bCs/>
          <w:color w:val="132A45"/>
          <w:sz w:val="30"/>
          <w:szCs w:val="30"/>
        </w:rPr>
        <w:t xml:space="preserve">Resumen Ejecutivo</w:t>
      </w:r>
    </w:p>
    <w:p>
      <w:pPr>
        <w:spacing w:after="160" w:line="276"/>
        <w:jc w:val="both"/>
      </w:pPr>
      <w:r>
        <w:rPr>
          <w:rFonts w:ascii="Calibri" w:cs="Calibri" w:eastAsia="Calibri" w:hAnsi="Calibri"/>
          <w:color w:val="1A1A1A"/>
          <w:sz w:val="21"/>
          <w:szCs w:val="21"/>
        </w:rPr>
        <w:t xml:space="preserve">Este documento responde a una pregunta concreta: ¿cómo llevar la plataforma digital que ya tiene Fundación Senda Mujer —Senda Universal, SendaAcademia, SENDA EVAL, Portal de Beneficiarias, Senda SOS— a una arquitectura que sea genuinamente distinta a lo que existe en Colombia, con relevancia política real, sin caer en la promesa vacía de “nadie ha hecho esto antes”.</w:t>
      </w:r>
    </w:p>
    <w:p>
      <w:pPr>
        <w:spacing w:after="160" w:line="276"/>
        <w:jc w:val="both"/>
      </w:pPr>
      <w:r>
        <w:rPr>
          <w:rFonts w:ascii="Calibri" w:cs="Calibri" w:eastAsia="Calibri" w:hAnsi="Calibri"/>
          <w:color w:val="1A1A1A"/>
          <w:sz w:val="21"/>
          <w:szCs w:val="21"/>
        </w:rPr>
        <w:t xml:space="preserve">La respuesta que este documento desarrolla no es construir otra aplicación de denuncia ni otro mapa de casos. Ya existen soluciones sólidas para eso, en Colombia y en el mundo, y se documentan en el capítulo 2. La respuesta es construir la capa que hoy no existe en ningún sistema colombiano identificado en esta investigación: un sistema que mida, de manera longitudinal y por mujer, si una intervención concreta produjo más protección real, y que agregue esa evidencia en un observatorio territorial capaz de dialogar con la política pública.</w:t>
      </w:r>
    </w:p>
    <w:p>
      <w:pPr>
        <w:spacing w:after="160" w:line="276"/>
        <w:jc w:val="both"/>
      </w:pPr>
      <w:r>
        <w:rPr>
          <w:rFonts w:ascii="Calibri" w:cs="Calibri" w:eastAsia="Calibri" w:hAnsi="Calibri"/>
          <w:color w:val="1A1A1A"/>
          <w:sz w:val="21"/>
          <w:szCs w:val="21"/>
        </w:rPr>
        <w:t xml:space="preserve">A esa arquitectura la llamamos CARIBE SEGURO. No sustituye a Senda Universal, a SendaAcademia ni a los demás módulos ya construidos: los conecta bajo un mismo motor de medición de impacto, y añade tres piezas que hoy no existen en el ecosistema —un Índice de Protección individual y longitudinal, un Observatorio territorial propio del Caribe colombiano, y un modelo de certificación para instituciones y negocios aliados—.</w:t>
      </w:r>
    </w:p>
    <w:p>
      <w:pPr>
        <w:spacing w:after="160" w:line="276"/>
        <w:jc w:val="both"/>
      </w:pPr>
      <w:r>
        <w:rPr>
          <w:rFonts w:ascii="Calibri" w:cs="Calibri" w:eastAsia="Calibri" w:hAnsi="Calibri"/>
          <w:color w:val="1A1A1A"/>
          <w:sz w:val="21"/>
          <w:szCs w:val="21"/>
        </w:rPr>
        <w:t xml:space="preserve">La investigación que sustenta este documento identificó, además, una ventana política concreta y vigente: en 2025-2026 Colombia puso en marcha, desde la Cancillería y la Agencia Presidencial de Cooperación Internacional (APC Colombia), el Observatorio de Mujeres, Paz y Seguridad para América Latina y el Caribe, dentro de su nueva Política Exterior Feminista y de la línea de Cooperación Internacional Feminista de la Estrategia Nacional de Cooperación Internacional 2023-2026. Es, hasta donde esta investigación pudo verificar, la primera vez que el Estado colombiano crea explícitamente un instrumento de esta naturaleza con alcance regional Caribe, lo que abre una puerta de interlocución concreta para una fundación con sede en Cartagena que decida construir evidencia territorial propia.</w:t>
      </w:r>
    </w:p>
    <w:p>
      <w:pPr>
        <w:pBdr>
          <w:left w:val="single" w:color="C9A227" w:sz="16" w:space="10"/>
        </w:pBdr>
        <w:shd w:fill="FFF8E1" w:val="clear"/>
        <w:spacing w:after="200" w:before="120" w:line="264"/>
        <w:ind w:left="360" w:right="360"/>
      </w:pPr>
      <w:r>
        <w:rPr>
          <w:rFonts w:ascii="Calibri" w:cs="Calibri" w:eastAsia="Calibri" w:hAnsi="Calibri"/>
          <w:b/>
          <w:bCs/>
          <w:color w:val="8A6D00"/>
          <w:sz w:val="20"/>
          <w:szCs w:val="20"/>
        </w:rPr>
        <w:t xml:space="preserve">Límite ético / advertencia. </w:t>
      </w:r>
      <w:r>
        <w:rPr>
          <w:rFonts w:ascii="Calibri" w:cs="Calibri" w:eastAsia="Calibri" w:hAnsi="Calibri"/>
          <w:color w:val="5C4A00"/>
          <w:sz w:val="20"/>
          <w:szCs w:val="20"/>
        </w:rPr>
        <w:t xml:space="preserve">Este documento evita deliberadamente la afirmación de que “nadie en Colombia o en el mundo ha hecho esto”. Esa es una afirmación que ninguna investigación puntual puede sostener con certeza absoluta. En su lugar, el capítulo 2 documenta con fuentes verificables qué existe hoy, y el capítulo 3 delimita con precisión cuál es el espacio que, según la evidencia recopilada, permanece efectivamente vacío en Colombia.</w:t>
      </w:r>
    </w:p>
    <w:p>
      <w:pPr>
        <w:pStyle w:val="Heading1"/>
        <w:pageBreakBefore/>
        <w:spacing w:after="240" w:before="0" w:line="264"/>
      </w:pPr>
      <w:r>
        <w:rPr>
          <w:rFonts w:ascii="Calibri" w:cs="Calibri" w:eastAsia="Calibri" w:hAnsi="Calibri"/>
          <w:b/>
          <w:bCs/>
          <w:color w:val="132A45"/>
          <w:sz w:val="30"/>
          <w:szCs w:val="30"/>
        </w:rPr>
        <w:t xml:space="preserve">1. Metodología de esta Investigación</w:t>
      </w:r>
    </w:p>
    <w:p>
      <w:pPr>
        <w:spacing w:after="160" w:line="276"/>
        <w:jc w:val="both"/>
      </w:pPr>
      <w:r>
        <w:rPr>
          <w:rFonts w:ascii="Calibri" w:cs="Calibri" w:eastAsia="Calibri" w:hAnsi="Calibri"/>
          <w:color w:val="1A1A1A"/>
          <w:sz w:val="21"/>
          <w:szCs w:val="21"/>
        </w:rPr>
        <w:t xml:space="preserve">Para evitar el riesgo de diseñar una arquitectura ambiciosa sobre supuestos no verificados, esta investigación combinó tres fuentes: (i) revisión de sistemas de información y observatorios de violencia de género activos en Colombia a nivel nacional, distrital y municipal; (ii) revisión de la agenda de política exterior y cooperación internacional feminista del Estado colombiano vigente en 2025-2026; y (iii) revisión de cifras recientes de violencia contra la mujer en Cartagena y Bolívar, provenientes de fuentes oficiales (Instituto Nacional de Medicina Legal y Ciencias Forenses, Defensoría del Pueblo, Alcaldía de Cartagena) y de prensa verificable. Todas las fuentes citadas en este documento se listan en el capítulo final, con su referencia completa.</w:t>
      </w:r>
    </w:p>
    <w:p>
      <w:pPr>
        <w:spacing w:after="160" w:line="276"/>
        <w:jc w:val="both"/>
      </w:pPr>
      <w:r>
        <w:rPr>
          <w:rFonts w:ascii="Calibri" w:cs="Calibri" w:eastAsia="Calibri" w:hAnsi="Calibri"/>
          <w:color w:val="1A1A1A"/>
          <w:sz w:val="21"/>
          <w:szCs w:val="21"/>
        </w:rPr>
        <w:t xml:space="preserve">Esta investigación no sustituye una revisión académica exhaustiva de literatura científica ni un estudio de mercado formal de tecnología cívica en violencia de género. Es una investigación aplicada, suficiente para fundamentar decisiones de diseño institucional y tecnológico, pero que la Fundación debería complementar, en la fase de diseño detallado, con la revisión de literatura académica especializada y con la consulta directa a las entidades mencionadas en este documento.</w:t>
      </w:r>
    </w:p>
    <w:p>
      <w:pPr>
        <w:pStyle w:val="Heading1"/>
        <w:pageBreakBefore/>
        <w:spacing w:after="240" w:before="0" w:line="264"/>
      </w:pPr>
      <w:r>
        <w:rPr>
          <w:rFonts w:ascii="Calibri" w:cs="Calibri" w:eastAsia="Calibri" w:hAnsi="Calibri"/>
          <w:b/>
          <w:bCs/>
          <w:color w:val="132A45"/>
          <w:sz w:val="30"/>
          <w:szCs w:val="30"/>
        </w:rPr>
        <w:t xml:space="preserve">2. Diagnóstico: Por Qué Cartagena, Por Qué Ahora</w:t>
      </w:r>
    </w:p>
    <w:p>
      <w:pPr>
        <w:spacing w:after="160" w:line="276"/>
        <w:jc w:val="both"/>
      </w:pPr>
      <w:r>
        <w:rPr>
          <w:rFonts w:ascii="Calibri" w:cs="Calibri" w:eastAsia="Calibri" w:hAnsi="Calibri"/>
          <w:color w:val="1A1A1A"/>
          <w:sz w:val="21"/>
          <w:szCs w:val="21"/>
        </w:rPr>
        <w:t xml:space="preserve">La pertinencia de este proyecto no se sostiene en una intuición, sino en tres hallazgos concretos de esta investigación, específicos de Cartagena y Bolívar.</w:t>
      </w:r>
    </w:p>
    <w:p>
      <w:pPr>
        <w:pStyle w:val="Heading2"/>
        <w:spacing w:after="140" w:before="320" w:line="264"/>
      </w:pPr>
      <w:r>
        <w:rPr>
          <w:rFonts w:ascii="Calibri" w:cs="Calibri" w:eastAsia="Calibri" w:hAnsi="Calibri"/>
          <w:b/>
          <w:bCs/>
          <w:color w:val="0E6E6E"/>
          <w:sz w:val="25"/>
          <w:szCs w:val="25"/>
        </w:rPr>
        <w:t xml:space="preserve">2.1 Un problema que crece y que el propio sistema de datos no logra capturar del todo</w:t>
      </w:r>
    </w:p>
    <w:p>
      <w:pPr>
        <w:spacing w:after="160" w:line="276"/>
        <w:jc w:val="both"/>
      </w:pPr>
      <w:r>
        <w:rPr>
          <w:rFonts w:ascii="Calibri" w:cs="Calibri" w:eastAsia="Calibri" w:hAnsi="Calibri"/>
          <w:color w:val="1A1A1A"/>
          <w:sz w:val="21"/>
          <w:szCs w:val="21"/>
        </w:rPr>
        <w:t xml:space="preserve">Según cifras recogidas por la prensa a partir del Instituto Nacional de Medicina Legal y Ciencias Forenses, durante 2025 fueron asesinadas 16 mujeres en Cartagena, pero las autoridades solo tipificaron 2 de esos casos como feminicidio, atribuyendo el resto a riñas, sicariato o hechos violentos no clasificados bajo esa figura penal. El mismo Instituto reportó, para Cartagena, 453 casos de violencia de pareja, 261 presuntos delitos sexuales y 123 reportes de violencia entre otros familiares acumulados en sus expedientes. A nivel nacional, el Observatorio de Feminicidios de Colombia contabilizó 621 feminicidios hasta septiembre de 2025, de los cuales 71 víctimas eran mujeres afrodescendientes, negras, raizales o palenqueras, lo que la organización World Vision Colombia describió como evidencia de que el racismo estructural se entrelaza con la violencia machista, con especial incidencia en territorios como el Caribe y el Pacífico.</w:t>
      </w:r>
    </w:p>
    <w:p>
      <w:pPr>
        <w:spacing w:after="160" w:line="276"/>
        <w:jc w:val="both"/>
      </w:pPr>
      <w:r>
        <w:rPr>
          <w:rFonts w:ascii="Calibri" w:cs="Calibri" w:eastAsia="Calibri" w:hAnsi="Calibri"/>
          <w:color w:val="1A1A1A"/>
          <w:sz w:val="21"/>
          <w:szCs w:val="21"/>
        </w:rPr>
        <w:t xml:space="preserve">Este hallazgo —la brecha entre los asesinatos de mujeres y su tipificación efectiva como feminicidio— es, para efectos de este documento, el argumento más sólido a favor de un sistema propio de medición: si el sistema oficial de tipificación penal no captura la magnitud real del fenómeno en Cartagena, una fundación territorial con capacidad de seguimiento longitudinal por mujer puede producir una capa de evidencia que hoy no existe, sin que ello implique sustituir ni cuestionar la función de la Fiscalía General de la Nación.</w:t>
      </w:r>
    </w:p>
    <w:p>
      <w:pPr>
        <w:pStyle w:val="Heading2"/>
        <w:spacing w:after="140" w:before="320" w:line="264"/>
      </w:pPr>
      <w:r>
        <w:rPr>
          <w:rFonts w:ascii="Calibri" w:cs="Calibri" w:eastAsia="Calibri" w:hAnsi="Calibri"/>
          <w:b/>
          <w:bCs/>
          <w:color w:val="0E6E6E"/>
          <w:sz w:val="25"/>
          <w:szCs w:val="25"/>
        </w:rPr>
        <w:t xml:space="preserve">2.2 Un ecosistema institucional local activo, pero fragmentado</w:t>
      </w:r>
    </w:p>
    <w:p>
      <w:pPr>
        <w:spacing w:after="160" w:line="276"/>
        <w:jc w:val="both"/>
      </w:pPr>
      <w:r>
        <w:rPr>
          <w:rFonts w:ascii="Calibri" w:cs="Calibri" w:eastAsia="Calibri" w:hAnsi="Calibri"/>
          <w:color w:val="1A1A1A"/>
          <w:sz w:val="21"/>
          <w:szCs w:val="21"/>
        </w:rPr>
        <w:t xml:space="preserve">Cartagena cuenta desde marzo de 2024 con la Casa Refugio Violeta, la primera casa refugio de la ciudad para mujeres víctimas de violencia basada en género, operada por la Alcaldía Distrital, con atención psicosocial, jurídica, pedagógica, nutricional e interdisciplinaria, y que en su primer año atendió a 41 mujeres y 54 niños de sus núcleos familiares. La Defensoría del Pueblo reportó 481 casos de violencia basada en género en Bolívar durante 2023, de los cuales 4 fueron feminicidios. Adicionalmente, existe una Mesa Estratégica para la Prevención de Feminicidios y Violencias de Género en Cartagena y Bolívar, liderada según fuentes de prensa por la funcionaria Juliana Aray. Estos actores constituyen, en conjunto, una red institucional real con la que Fundación Senda Mujer puede y debe articularse, en línea con el modelo de derivación segura desarrollado en el capítulo décimo del proyecto institucional de la Fundación, y no un vacío institucional que deba llenarse desde cero.</w:t>
      </w:r>
    </w:p>
    <w:p>
      <w:pPr>
        <w:pStyle w:val="Heading2"/>
        <w:spacing w:after="140" w:before="320" w:line="264"/>
      </w:pPr>
      <w:r>
        <w:rPr>
          <w:rFonts w:ascii="Calibri" w:cs="Calibri" w:eastAsia="Calibri" w:hAnsi="Calibri"/>
          <w:b/>
          <w:bCs/>
          <w:color w:val="0E6E6E"/>
          <w:sz w:val="25"/>
          <w:szCs w:val="25"/>
        </w:rPr>
        <w:t xml:space="preserve">2.3 Una ventana de política exterior y cooperación que coincide con esta oportunidad</w:t>
      </w:r>
    </w:p>
    <w:p>
      <w:pPr>
        <w:spacing w:after="160" w:line="276"/>
        <w:jc w:val="both"/>
      </w:pPr>
      <w:r>
        <w:rPr>
          <w:rFonts w:ascii="Calibri" w:cs="Calibri" w:eastAsia="Calibri" w:hAnsi="Calibri"/>
          <w:color w:val="1A1A1A"/>
          <w:sz w:val="21"/>
          <w:szCs w:val="21"/>
        </w:rPr>
        <w:t xml:space="preserve">La Estrategia Nacional de Cooperación Internacional de Colombia (ENCI) 2023-2026 adoptó, según información de APC Colombia, la línea de Cooperación Internacional Feminista como marco político para la acción, y ha ejecutado intercambios de buenas prácticas en acceso a la justicia temprana para mujeres víctimas de violencia basada en género en varios departamentos. En paralelo, el Ministerio de Relaciones Exteriores puso en marcha el Observatorio de Mujeres, Paz y Seguridad para América Latina y el Caribe, en el marco de la Política Exterior Feminista de Colombia y del plan de acción nacional para la Resolución 1325 del Consejo de Seguridad de Naciones Unidas. Esta coincidencia temporal —una fundación caribeña construyendo evidencia territorial propia, justo cuando el Estado colombiano crea su primer observatorio regional de este tipo— es la ventana de oportunidad política que sustenta la relevancia de este proyecto, más allá de su valor social directo.</w:t>
      </w:r>
    </w:p>
    <w:p>
      <w:pPr>
        <w:pStyle w:val="Heading1"/>
        <w:pageBreakBefore/>
        <w:spacing w:after="240" w:before="0" w:line="264"/>
      </w:pPr>
      <w:r>
        <w:rPr>
          <w:rFonts w:ascii="Calibri" w:cs="Calibri" w:eastAsia="Calibri" w:hAnsi="Calibri"/>
          <w:b/>
          <w:bCs/>
          <w:color w:val="132A45"/>
          <w:sz w:val="30"/>
          <w:szCs w:val="30"/>
        </w:rPr>
        <w:t xml:space="preserve">3. Lo que Ya Existe: Panorama Honesto</w:t>
      </w:r>
    </w:p>
    <w:p>
      <w:pPr>
        <w:spacing w:after="160" w:line="276"/>
        <w:jc w:val="both"/>
      </w:pPr>
      <w:r>
        <w:rPr>
          <w:rFonts w:ascii="Calibri" w:cs="Calibri" w:eastAsia="Calibri" w:hAnsi="Calibri"/>
          <w:color w:val="1A1A1A"/>
          <w:sz w:val="21"/>
          <w:szCs w:val="21"/>
        </w:rPr>
        <w:t xml:space="preserve">Antes de proponer algo nuevo, esta investigación identificó lo que ya existe, en Colombia y en el mundo, para no duplicar esfuerzos ni prometer innovación donde solo hay reinvención. La Tabla 1 sintetiza los sistemas identificados con mayor relevancia para este proyecto.</w:t>
      </w:r>
    </w:p>
    <w:p>
      <w:pPr>
        <w:spacing w:after="40" w:before="200"/>
      </w:pPr>
      <w:r>
        <w:rPr>
          <w:rFonts w:ascii="Calibri" w:cs="Calibri" w:eastAsia="Calibri" w:hAnsi="Calibri"/>
          <w:b/>
          <w:bCs/>
          <w:i/>
          <w:iCs/>
          <w:sz w:val="20"/>
          <w:szCs w:val="20"/>
        </w:rPr>
        <w:t xml:space="preserve">Tabla 1. </w:t>
      </w:r>
      <w:r>
        <w:rPr>
          <w:rFonts w:ascii="Calibri" w:cs="Calibri" w:eastAsia="Calibri" w:hAnsi="Calibri"/>
          <w:i/>
          <w:iCs/>
          <w:sz w:val="20"/>
          <w:szCs w:val="20"/>
        </w:rPr>
        <w:t xml:space="preserve">Sistemas de información y plataformas de violencia de género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900"/>
        <w:gridCol w:w="2350"/>
      </w:tblGrid>
      <w:tr>
        <w:trPr>
          <w:tblHeader/>
        </w:trPr>
        <w:tc>
          <w:tcPr>
            <w:tcW w:type="dxa" w:w="26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Sistema</w:t>
            </w:r>
          </w:p>
        </w:tc>
        <w:tc>
          <w:tcPr>
            <w:tcW w:type="dxa" w:w="15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Alcance</w:t>
            </w:r>
          </w:p>
        </w:tc>
        <w:tc>
          <w:tcPr>
            <w:tcW w:type="dxa" w:w="29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Qué hace bien</w:t>
            </w:r>
          </w:p>
        </w:tc>
        <w:tc>
          <w:tcPr>
            <w:tcW w:type="dxa" w:w="23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Lo que no cubre</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SIVIGE (Ministerio de Salud, Colombia)</w:t>
            </w:r>
          </w:p>
        </w:tc>
        <w:tc>
          <w:tcPr>
            <w:tcW w:type="dxa" w:w="15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Nacional</w:t>
            </w:r>
          </w:p>
        </w:tc>
        <w:tc>
          <w:tcPr>
            <w:tcW w:type="dxa" w:w="2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Armoniza e integra estadísticas oficiales de violencias de género entre sectores</w:t>
            </w:r>
          </w:p>
        </w:tc>
        <w:tc>
          <w:tcPr>
            <w:tcW w:type="dxa" w:w="23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No hace seguimiento longitudinal individual ni mide resultado de una intervención específica</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Observatorio Colombiano de las Mujeres / ICDE</w:t>
            </w:r>
          </w:p>
        </w:tc>
        <w:tc>
          <w:tcPr>
            <w:tcW w:type="dxa" w:w="15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Nacional</w:t>
            </w:r>
          </w:p>
        </w:tc>
        <w:tc>
          <w:tcPr>
            <w:tcW w:type="dxa" w:w="2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Insumos técnicos territoriales para toma de decisiones basada en evidencia</w:t>
            </w:r>
          </w:p>
        </w:tc>
        <w:tc>
          <w:tcPr>
            <w:tcW w:type="dxa" w:w="23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No es una herramienta de gestión de caso ni de seguimiento por persona</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OMEG — Observatorio de Mujeres y Equidad de Género (Bogotá)</w:t>
            </w:r>
          </w:p>
        </w:tc>
        <w:tc>
          <w:tcPr>
            <w:tcW w:type="dxa" w:w="15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Distrital (Bogotá)</w:t>
            </w:r>
          </w:p>
        </w:tc>
        <w:tc>
          <w:tcPr>
            <w:tcW w:type="dxa" w:w="2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Boletines mensuales, desagregación por localidad, investigaciones propias</w:t>
            </w:r>
          </w:p>
        </w:tc>
        <w:tc>
          <w:tcPr>
            <w:tcW w:type="dxa" w:w="23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Alcance exclusivamente distrital; no existe un equivalente para Cartagena o el Caribe</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Observatorio de Violencia contra la Mujer (Medicina Legal)</w:t>
            </w:r>
          </w:p>
        </w:tc>
        <w:tc>
          <w:tcPr>
            <w:tcW w:type="dxa" w:w="15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Nacional</w:t>
            </w:r>
          </w:p>
        </w:tc>
        <w:tc>
          <w:tcPr>
            <w:tcW w:type="dxa" w:w="2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Cifras forenses oficiales de referencia</w:t>
            </w:r>
          </w:p>
        </w:tc>
        <w:tc>
          <w:tcPr>
            <w:tcW w:type="dxa" w:w="23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Reporta agregados, no seguimiento de caso ni de trayectoria de protección</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Casa Refugio Violeta (Cartagena)</w:t>
            </w:r>
          </w:p>
        </w:tc>
        <w:tc>
          <w:tcPr>
            <w:tcW w:type="dxa" w:w="15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Municipal (Cartagena)</w:t>
            </w:r>
          </w:p>
        </w:tc>
        <w:tc>
          <w:tcPr>
            <w:tcW w:type="dxa" w:w="2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Atención presencial interdisciplinaria real, con ruta de ingreso y seguimiento de 6 a 12 meses</w:t>
            </w:r>
          </w:p>
        </w:tc>
        <w:tc>
          <w:tcPr>
            <w:tcW w:type="dxa" w:w="23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No cuenta con una capa digital propia de medición de impacto ni de datos abiertos</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Safecity (India, y otros países)</w:t>
            </w:r>
          </w:p>
        </w:tc>
        <w:tc>
          <w:tcPr>
            <w:tcW w:type="dxa" w:w="15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Internacional</w:t>
            </w:r>
          </w:p>
        </w:tc>
        <w:tc>
          <w:tcPr>
            <w:tcW w:type="dxa" w:w="2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Convierte denuncias anónimas en mapas de riesgo comunitario</w:t>
            </w:r>
          </w:p>
        </w:tc>
        <w:tc>
          <w:tcPr>
            <w:tcW w:type="dxa" w:w="23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No hace gestión de caso ni seguimiento longitudinal individual</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Bright Sky (Vodafone Foundation / Hestia)</w:t>
            </w:r>
          </w:p>
        </w:tc>
        <w:tc>
          <w:tcPr>
            <w:tcW w:type="dxa" w:w="15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Internacional</w:t>
            </w:r>
          </w:p>
        </w:tc>
        <w:tc>
          <w:tcPr>
            <w:tcW w:type="dxa" w:w="2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Evaluación de seguridad, información y directorio de servicios</w:t>
            </w:r>
          </w:p>
        </w:tc>
        <w:tc>
          <w:tcPr>
            <w:tcW w:type="dxa" w:w="23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No integra observatorio territorial ni certificación institucional</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GBVIMS (agencias de Naciones Unidas)</w:t>
            </w:r>
          </w:p>
        </w:tc>
        <w:tc>
          <w:tcPr>
            <w:tcW w:type="dxa" w:w="15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Internacional (contextos humanitarios)</w:t>
            </w:r>
          </w:p>
        </w:tc>
        <w:tc>
          <w:tcPr>
            <w:tcW w:type="dxa" w:w="2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Estándar de gestión segura de datos de casos entre agencias</w:t>
            </w:r>
          </w:p>
        </w:tc>
        <w:tc>
          <w:tcPr>
            <w:tcW w:type="dxa" w:w="23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Orientado a coordinación interagencial humanitaria, no a una fundación territorial individual</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Chayn</w:t>
            </w:r>
          </w:p>
        </w:tc>
        <w:tc>
          <w:tcPr>
            <w:tcW w:type="dxa" w:w="15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Internacional</w:t>
            </w:r>
          </w:p>
        </w:tc>
        <w:tc>
          <w:tcPr>
            <w:tcW w:type="dxa" w:w="2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Metodología propia para medir profundidad de impacto desde la perspectiva de la sobreviviente</w:t>
            </w:r>
          </w:p>
        </w:tc>
        <w:tc>
          <w:tcPr>
            <w:tcW w:type="dxa" w:w="23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No integra observatorio territorial ni motor de inteligencia artificial de orientación</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Plataforma de gestión de casos de VCM en Chile (hoja de ruta, Banco Mundial)</w:t>
            </w:r>
          </w:p>
        </w:tc>
        <w:tc>
          <w:tcPr>
            <w:tcW w:type="dxa" w:w="15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Nacional (Chile)</w:t>
            </w:r>
          </w:p>
        </w:tc>
        <w:tc>
          <w:tcPr>
            <w:tcW w:type="dxa" w:w="2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Documenta el problema de sistemas institucionales desconectados y propone integración</w:t>
            </w:r>
          </w:p>
        </w:tc>
        <w:tc>
          <w:tcPr>
            <w:tcW w:type="dxa" w:w="23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Es una hoja de ruta de política pública, no una plataforma operativa de una organización de sociedad civil</w:t>
            </w:r>
          </w:p>
        </w:tc>
      </w:tr>
    </w:tbl>
    <w:p>
      <w:pPr>
        <w:spacing w:after="200"/>
      </w:pPr>
    </w:p>
    <w:p>
      <w:pPr>
        <w:spacing w:after="160" w:line="276"/>
        <w:jc w:val="both"/>
      </w:pPr>
      <w:r>
        <w:rPr>
          <w:rFonts w:ascii="Calibri" w:cs="Calibri" w:eastAsia="Calibri" w:hAnsi="Calibri"/>
          <w:color w:val="1A1A1A"/>
          <w:sz w:val="21"/>
          <w:szCs w:val="21"/>
        </w:rPr>
        <w:t xml:space="preserve">La conclusión de esta comparación es clara: existen piezas excelentes para la denuncia comunitaria (Safecity), la evaluación y orientación individual (Bright Sky), la coordinación interagencial de datos (GBVIMS) y la medición de profundidad de impacto (Chayn); y existen observatorios oficiales robustos a nivel nacional y, en el caso de Bogotá, a nivel distrital. Lo que esta investigación no encontró es una organización colombiana, y en particular ninguna con sede en el Caribe colombiano, que integre estas cinco piezas en un solo sistema: seguimiento individual longitudinal, continuidad de caso entre instituciones, inteligencia territorial propia, medición de resultado (no solo de actividad) y traducción de esa evidencia en incidencia de política pública.</w:t>
      </w:r>
    </w:p>
    <w:p>
      <w:pPr>
        <w:pStyle w:val="Heading1"/>
        <w:pageBreakBefore/>
        <w:spacing w:after="240" w:before="0" w:line="264"/>
      </w:pPr>
      <w:r>
        <w:rPr>
          <w:rFonts w:ascii="Calibri" w:cs="Calibri" w:eastAsia="Calibri" w:hAnsi="Calibri"/>
          <w:b/>
          <w:bCs/>
          <w:color w:val="132A45"/>
          <w:sz w:val="30"/>
          <w:szCs w:val="30"/>
        </w:rPr>
        <w:t xml:space="preserve">4. El Espacio Real de Innovación</w:t>
      </w:r>
    </w:p>
    <w:p>
      <w:pPr>
        <w:spacing w:after="160" w:line="276"/>
        <w:jc w:val="both"/>
      </w:pPr>
      <w:r>
        <w:rPr>
          <w:rFonts w:ascii="Calibri" w:cs="Calibri" w:eastAsia="Calibri" w:hAnsi="Calibri"/>
          <w:color w:val="1A1A1A"/>
          <w:sz w:val="21"/>
          <w:szCs w:val="21"/>
        </w:rPr>
        <w:t xml:space="preserve">A partir del panorama del capítulo anterior, este documento delimita con precisión el espacio que Fundación Senda Mujer puede ocupar de manera genuinamente diferenciada, sin superponerse a lo que ya existe.</w:t>
      </w:r>
    </w:p>
    <w:p>
      <w:pPr>
        <w:pStyle w:val="ListParagraph"/>
        <w:numPr>
          <w:ilvl w:val="0"/>
          <w:numId w:val="2"/>
        </w:numPr>
        <w:spacing w:after="100" w:line="264"/>
      </w:pPr>
      <w:r>
        <w:rPr>
          <w:rFonts w:ascii="Calibri" w:cs="Calibri" w:eastAsia="Calibri" w:hAnsi="Calibri"/>
          <w:color w:val="1A1A1A"/>
          <w:sz w:val="21"/>
          <w:szCs w:val="21"/>
        </w:rPr>
        <w:t xml:space="preserve">No existe, para Cartagena ni para el departamento de Bolívar, un equivalente al OMEG de Bogotá: un observatorio territorial propio, con boletines periódicos y desagregación local.</w:t>
      </w:r>
    </w:p>
    <w:p>
      <w:pPr>
        <w:pStyle w:val="ListParagraph"/>
        <w:numPr>
          <w:ilvl w:val="0"/>
          <w:numId w:val="2"/>
        </w:numPr>
        <w:spacing w:after="100" w:line="264"/>
      </w:pPr>
      <w:r>
        <w:rPr>
          <w:rFonts w:ascii="Calibri" w:cs="Calibri" w:eastAsia="Calibri" w:hAnsi="Calibri"/>
          <w:color w:val="1A1A1A"/>
          <w:sz w:val="21"/>
          <w:szCs w:val="21"/>
        </w:rPr>
        <w:t xml:space="preserve">No se identificó, en el ecosistema colombiano revisado, un índice de protección individual y longitudinal —es decir, que siga a la misma mujer en el tiempo y mida si su situación de protección mejoró— aplicado por una organización de sociedad civil.</w:t>
      </w:r>
    </w:p>
    <w:p>
      <w:pPr>
        <w:pStyle w:val="ListParagraph"/>
        <w:numPr>
          <w:ilvl w:val="0"/>
          <w:numId w:val="2"/>
        </w:numPr>
        <w:spacing w:after="100" w:line="264"/>
      </w:pPr>
      <w:r>
        <w:rPr>
          <w:rFonts w:ascii="Calibri" w:cs="Calibri" w:eastAsia="Calibri" w:hAnsi="Calibri"/>
          <w:color w:val="1A1A1A"/>
          <w:sz w:val="21"/>
          <w:szCs w:val="21"/>
        </w:rPr>
        <w:t xml:space="preserve">No se identificó una plataforma que combine gestión de caso, triaje asistido por inteligencia artificial con supervisión humana, formación certificada (SendaAcademia) y observatorio territorial bajo una misma arquitectura de datos.</w:t>
      </w:r>
    </w:p>
    <w:p>
      <w:pPr>
        <w:pStyle w:val="ListParagraph"/>
        <w:numPr>
          <w:ilvl w:val="0"/>
          <w:numId w:val="2"/>
        </w:numPr>
        <w:spacing w:after="100" w:line="264"/>
      </w:pPr>
      <w:r>
        <w:rPr>
          <w:rFonts w:ascii="Calibri" w:cs="Calibri" w:eastAsia="Calibri" w:hAnsi="Calibri"/>
          <w:color w:val="1A1A1A"/>
          <w:sz w:val="21"/>
          <w:szCs w:val="21"/>
        </w:rPr>
        <w:t xml:space="preserve">No se identificó, en Cartagena, un modelo de certificación territorial para hoteles, colegios, empresas o instituciones en materia de prevención de violencia de género, similar al que sí existen en otros ámbitos (por ejemplo, sellos de turismo sostenible), pero enfocado en protección de las mujeres.</w:t>
      </w:r>
    </w:p>
    <w:p>
      <w:pPr>
        <w:pStyle w:val="ListParagraph"/>
        <w:numPr>
          <w:ilvl w:val="0"/>
          <w:numId w:val="2"/>
        </w:numPr>
        <w:spacing w:after="100" w:line="264"/>
      </w:pPr>
      <w:r>
        <w:rPr>
          <w:rFonts w:ascii="Calibri" w:cs="Calibri" w:eastAsia="Calibri" w:hAnsi="Calibri"/>
          <w:color w:val="1A1A1A"/>
          <w:sz w:val="21"/>
          <w:szCs w:val="21"/>
        </w:rPr>
        <w:t xml:space="preserve">Existe, en cambio, una ventana política y de cooperación (capítulo 2.3) que ningún actor territorial del Caribe colombiano parece estar aprovechando todavía de manera explícita mediante un sistema de datos propio.</w:t>
      </w:r>
    </w:p>
    <w:p>
      <w:pPr>
        <w:pBdr>
          <w:left w:val="single" w:color="0E6E6E" w:sz="16" w:space="10"/>
        </w:pBdr>
        <w:spacing w:after="200" w:before="120" w:line="276"/>
        <w:ind w:left="720" w:right="720"/>
      </w:pPr>
      <w:r>
        <w:rPr>
          <w:rFonts w:ascii="Calibri" w:cs="Calibri" w:eastAsia="Calibri" w:hAnsi="Calibri"/>
          <w:i/>
          <w:iCs/>
          <w:color w:val="132A45"/>
          <w:sz w:val="22"/>
          <w:szCs w:val="22"/>
        </w:rPr>
        <w:t xml:space="preserve">El espacio de innovación de Fundación Senda Mujer no es inventar una nueva pieza aislada. Es construir, por primera vez en el Caribe colombiano y posiblemente en el país, la integración de las piezas que hoy existen por separado, sobre una plataforma que la Fundación ya tiene construida en un 60-70%.</w:t>
      </w:r>
    </w:p>
    <w:p>
      <w:pPr>
        <w:pStyle w:val="Heading1"/>
        <w:pageBreakBefore/>
        <w:spacing w:after="240" w:before="0" w:line="264"/>
      </w:pPr>
      <w:r>
        <w:rPr>
          <w:rFonts w:ascii="Calibri" w:cs="Calibri" w:eastAsia="Calibri" w:hAnsi="Calibri"/>
          <w:b/>
          <w:bCs/>
          <w:color w:val="132A45"/>
          <w:sz w:val="30"/>
          <w:szCs w:val="30"/>
        </w:rPr>
        <w:t xml:space="preserve">5. La Propuesta: Caribe Seguro</w:t>
      </w:r>
    </w:p>
    <w:p>
      <w:pPr>
        <w:spacing w:after="160" w:line="276"/>
        <w:jc w:val="both"/>
      </w:pPr>
      <w:r>
        <w:rPr>
          <w:rFonts w:ascii="Calibri" w:cs="Calibri" w:eastAsia="Calibri" w:hAnsi="Calibri"/>
          <w:color w:val="1A1A1A"/>
          <w:sz w:val="21"/>
          <w:szCs w:val="21"/>
        </w:rPr>
        <w:t xml:space="preserve">Caribe Seguro no es una aplicación nueva ni un reemplazo de lo que Fundación Senda Mujer ya construyó. Es la capa superior que conecta, bajo un mismo propósito de medición de impacto, los módulos que ya existen —Senda Universal, SendaAcademia, SENDA EVAL, Senda SOS, Portal de Beneficiarias, SendaBot— y añade tres piezas nuevas: un motor de medición longitudinal (Senda Impact), un observatorio territorial propio (Observatorio Caribe Seguro) y un modelo de certificación institucional (Caribe Seguro Certified).</w:t>
      </w:r>
    </w:p>
    <w:p>
      <w:pPr>
        <w:pStyle w:val="Heading2"/>
        <w:spacing w:after="140" w:before="320" w:line="264"/>
      </w:pPr>
      <w:r>
        <w:rPr>
          <w:rFonts w:ascii="Calibri" w:cs="Calibri" w:eastAsia="Calibri" w:hAnsi="Calibri"/>
          <w:b/>
          <w:bCs/>
          <w:color w:val="0E6E6E"/>
          <w:sz w:val="25"/>
          <w:szCs w:val="25"/>
        </w:rPr>
        <w:t xml:space="preserve">5.1 Relación jerárquica con la marca y el proyecto institucional</w:t>
      </w:r>
    </w:p>
    <w:p>
      <w:pPr>
        <w:spacing w:after="160" w:line="276"/>
        <w:jc w:val="both"/>
      </w:pPr>
      <w:r>
        <w:rPr>
          <w:rFonts w:ascii="Calibri" w:cs="Calibri" w:eastAsia="Calibri" w:hAnsi="Calibri"/>
          <w:color w:val="1A1A1A"/>
          <w:sz w:val="21"/>
          <w:szCs w:val="21"/>
        </w:rPr>
        <w:t xml:space="preserve">Fundación Senda Mujer es la organización, con el objeto social, los siete programas y el marco jurídico desarrollados en el proyecto institucional ya elaborado. Caribe Seguro es su programa insignia de innovación tecnológica y de datos, presentado ante cooperantes, alcaldías y aliados como la traducción operativa de esos siete programas en un sistema medible. No se trata de sustituir la identidad de Senda Mujer por la de Caribe Seguro, sino de que Caribe Seguro sea, de cara a cooperación internacional y política pública, el nombre bajo el cual se presenta la capacidad técnica y de evidencia de la Fundación.</w:t>
      </w:r>
    </w:p>
    <w:p>
      <w:pPr>
        <w:pStyle w:val="Heading2"/>
        <w:spacing w:after="140" w:before="320" w:line="264"/>
      </w:pPr>
      <w:r>
        <w:rPr>
          <w:rFonts w:ascii="Calibri" w:cs="Calibri" w:eastAsia="Calibri" w:hAnsi="Calibri"/>
          <w:b/>
          <w:bCs/>
          <w:color w:val="0E6E6E"/>
          <w:sz w:val="25"/>
          <w:szCs w:val="25"/>
        </w:rPr>
        <w:t xml:space="preserve">5.2 Tesis central</w:t>
      </w:r>
    </w:p>
    <w:p>
      <w:pPr>
        <w:pBdr>
          <w:left w:val="single" w:color="0E6E6E" w:sz="16" w:space="10"/>
        </w:pBdr>
        <w:spacing w:after="200" w:before="120" w:line="276"/>
        <w:ind w:left="720" w:right="720"/>
      </w:pPr>
      <w:r>
        <w:rPr>
          <w:rFonts w:ascii="Calibri" w:cs="Calibri" w:eastAsia="Calibri" w:hAnsi="Calibri"/>
          <w:i/>
          <w:iCs/>
          <w:color w:val="132A45"/>
          <w:sz w:val="22"/>
          <w:szCs w:val="22"/>
        </w:rPr>
        <w:t xml:space="preserve">No basta con saber cuántas mujeres atendimos. Necesitamos poder demostrar, con datos propios y verificables, si una intervención concreta hizo que una mujer estuviera más protegida, y agregar esa evidencia en un observatorio que dialogue con la política pública del Caribe colombiano.</w:t>
      </w:r>
    </w:p>
    <w:p>
      <w:pPr>
        <w:pStyle w:val="Heading1"/>
        <w:pageBreakBefore/>
        <w:spacing w:after="240" w:before="0" w:line="264"/>
      </w:pPr>
      <w:r>
        <w:rPr>
          <w:rFonts w:ascii="Calibri" w:cs="Calibri" w:eastAsia="Calibri" w:hAnsi="Calibri"/>
          <w:b/>
          <w:bCs/>
          <w:color w:val="132A45"/>
          <w:sz w:val="30"/>
          <w:szCs w:val="30"/>
        </w:rPr>
        <w:t xml:space="preserve">6. Arquitectura General del Ecosistema</w:t>
      </w:r>
    </w:p>
    <w:p>
      <w:pPr>
        <w:spacing w:after="160" w:line="276"/>
        <w:jc w:val="both"/>
      </w:pPr>
      <w:r>
        <w:rPr>
          <w:rFonts w:ascii="Calibri" w:cs="Calibri" w:eastAsia="Calibri" w:hAnsi="Calibri"/>
          <w:color w:val="1A1A1A"/>
          <w:sz w:val="21"/>
          <w:szCs w:val="21"/>
        </w:rPr>
        <w:t xml:space="preserve">La arquitectura se organiza en cuatro capas: la capa de acceso (lo que la mujer usa), la capa de intervención profesional (lo que el equipo humano gestiona), la capa de medición (lo que mide si algo cambió) y la capa de evidencia territorial (lo que se comparte, siempre de forma agregada y anónima, con aliados y tomadores de decisión). La Tabla 2 presenta el mapa completo de los módulos, distinguiendo los que ya están construidos de los que este blueprint propone añadir.</w:t>
      </w:r>
    </w:p>
    <w:p>
      <w:pPr>
        <w:spacing w:after="40" w:before="200"/>
      </w:pPr>
      <w:r>
        <w:rPr>
          <w:rFonts w:ascii="Calibri" w:cs="Calibri" w:eastAsia="Calibri" w:hAnsi="Calibri"/>
          <w:b/>
          <w:bCs/>
          <w:i/>
          <w:iCs/>
          <w:sz w:val="20"/>
          <w:szCs w:val="20"/>
        </w:rPr>
        <w:t xml:space="preserve">Tabla 2. </w:t>
      </w:r>
      <w:r>
        <w:rPr>
          <w:rFonts w:ascii="Calibri" w:cs="Calibri" w:eastAsia="Calibri" w:hAnsi="Calibri"/>
          <w:i/>
          <w:iCs/>
          <w:sz w:val="20"/>
          <w:szCs w:val="20"/>
        </w:rPr>
        <w:t xml:space="preserve">Arquitectura de módulos de Caribe Seguro sobre la plataforma existente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2450"/>
        <w:gridCol w:w="1900"/>
        <w:gridCol w:w="3450"/>
      </w:tblGrid>
      <w:tr>
        <w:trPr>
          <w:tblHeader/>
        </w:trPr>
        <w:tc>
          <w:tcPr>
            <w:tcW w:type="dxa" w:w="15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Capa</w:t>
            </w:r>
          </w:p>
        </w:tc>
        <w:tc>
          <w:tcPr>
            <w:tcW w:type="dxa" w:w="24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Módulo</w:t>
            </w:r>
          </w:p>
        </w:tc>
        <w:tc>
          <w:tcPr>
            <w:tcW w:type="dxa" w:w="19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Estado</w:t>
            </w:r>
          </w:p>
        </w:tc>
        <w:tc>
          <w:tcPr>
            <w:tcW w:type="dxa" w:w="34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Función</w:t>
            </w:r>
          </w:p>
        </w:tc>
      </w:tr>
      <w:tr>
        <w:tc>
          <w:tcPr>
            <w:tcW w:type="dxa" w:w="1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Acceso</w:t>
            </w:r>
          </w:p>
        </w:tc>
        <w:tc>
          <w:tcPr>
            <w:tcW w:type="dxa" w:w="2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Sitio web institucional</w:t>
            </w:r>
          </w:p>
        </w:tc>
        <w:tc>
          <w:tcPr>
            <w:tcW w:type="dxa" w:w="1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Existente</w:t>
            </w:r>
          </w:p>
        </w:tc>
        <w:tc>
          <w:tcPr>
            <w:tcW w:type="dxa" w:w="3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Puerta de entrada pública e información institucional</w:t>
            </w:r>
          </w:p>
        </w:tc>
      </w:tr>
      <w:tr>
        <w:tc>
          <w:tcPr>
            <w:tcW w:type="dxa" w:w="1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Acceso</w:t>
            </w:r>
          </w:p>
        </w:tc>
        <w:tc>
          <w:tcPr>
            <w:tcW w:type="dxa" w:w="2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Senda Universal / SendaWizard</w:t>
            </w:r>
          </w:p>
        </w:tc>
        <w:tc>
          <w:tcPr>
            <w:tcW w:type="dxa" w:w="1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Existente</w:t>
            </w:r>
          </w:p>
        </w:tc>
        <w:tc>
          <w:tcPr>
            <w:tcW w:type="dxa" w:w="3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Diagnóstico guiado de derechos y rutas</w:t>
            </w:r>
          </w:p>
        </w:tc>
      </w:tr>
      <w:tr>
        <w:tc>
          <w:tcPr>
            <w:tcW w:type="dxa" w:w="1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Acceso</w:t>
            </w:r>
          </w:p>
        </w:tc>
        <w:tc>
          <w:tcPr>
            <w:tcW w:type="dxa" w:w="2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SendaBot (rebautizado Senda AI)</w:t>
            </w:r>
          </w:p>
        </w:tc>
        <w:tc>
          <w:tcPr>
            <w:tcW w:type="dxa" w:w="1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Existente, a reforzar</w:t>
            </w:r>
          </w:p>
        </w:tc>
        <w:tc>
          <w:tcPr>
            <w:tcW w:type="dxa" w:w="3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Orientación conversacional con supervisión humana</w:t>
            </w:r>
          </w:p>
        </w:tc>
      </w:tr>
      <w:tr>
        <w:tc>
          <w:tcPr>
            <w:tcW w:type="dxa" w:w="1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Acceso</w:t>
            </w:r>
          </w:p>
        </w:tc>
        <w:tc>
          <w:tcPr>
            <w:tcW w:type="dxa" w:w="2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Senda SOS</w:t>
            </w:r>
          </w:p>
        </w:tc>
        <w:tc>
          <w:tcPr>
            <w:tcW w:type="dxa" w:w="1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Existente</w:t>
            </w:r>
          </w:p>
        </w:tc>
        <w:tc>
          <w:tcPr>
            <w:tcW w:type="dxa" w:w="3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Botón de pánico y modo camuflaje</w:t>
            </w:r>
          </w:p>
        </w:tc>
      </w:tr>
      <w:tr>
        <w:tc>
          <w:tcPr>
            <w:tcW w:type="dxa" w:w="1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Detección</w:t>
            </w:r>
          </w:p>
        </w:tc>
        <w:tc>
          <w:tcPr>
            <w:tcW w:type="dxa" w:w="2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SENDA EVAL</w:t>
            </w:r>
          </w:p>
        </w:tc>
        <w:tc>
          <w:tcPr>
            <w:tcW w:type="dxa" w:w="1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Existente, a rediseñar</w:t>
            </w:r>
          </w:p>
        </w:tc>
        <w:tc>
          <w:tcPr>
            <w:tcW w:type="dxa" w:w="3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Triaje que alimenta el nuevo Índice de Protección</w:t>
            </w:r>
          </w:p>
        </w:tc>
      </w:tr>
      <w:tr>
        <w:tc>
          <w:tcPr>
            <w:tcW w:type="dxa" w:w="1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Prevención / formación</w:t>
            </w:r>
          </w:p>
        </w:tc>
        <w:tc>
          <w:tcPr>
            <w:tcW w:type="dxa" w:w="2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SendaAcademia</w:t>
            </w:r>
          </w:p>
        </w:tc>
        <w:tc>
          <w:tcPr>
            <w:tcW w:type="dxa" w:w="1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Existente</w:t>
            </w:r>
          </w:p>
        </w:tc>
        <w:tc>
          <w:tcPr>
            <w:tcW w:type="dxa" w:w="3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Formación certificada, incluida una futura certificación Caribe Seguro para profesionales</w:t>
            </w:r>
          </w:p>
        </w:tc>
      </w:tr>
      <w:tr>
        <w:tc>
          <w:tcPr>
            <w:tcW w:type="dxa" w:w="1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Acompañamiento</w:t>
            </w:r>
          </w:p>
        </w:tc>
        <w:tc>
          <w:tcPr>
            <w:tcW w:type="dxa" w:w="2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Portal de Beneficiarias</w:t>
            </w:r>
          </w:p>
        </w:tc>
        <w:tc>
          <w:tcPr>
            <w:tcW w:type="dxa" w:w="1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Existente, a reforzar en seguridad</w:t>
            </w:r>
          </w:p>
        </w:tc>
        <w:tc>
          <w:tcPr>
            <w:tcW w:type="dxa" w:w="3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Seguimiento individual de metas, citas y proyectos productivos</w:t>
            </w:r>
          </w:p>
        </w:tc>
      </w:tr>
      <w:tr>
        <w:tc>
          <w:tcPr>
            <w:tcW w:type="dxa" w:w="1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Gestión</w:t>
            </w:r>
          </w:p>
        </w:tc>
        <w:tc>
          <w:tcPr>
            <w:tcW w:type="dxa" w:w="2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Portal Profesional / Admin</w:t>
            </w:r>
          </w:p>
        </w:tc>
        <w:tc>
          <w:tcPr>
            <w:tcW w:type="dxa" w:w="1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Existente</w:t>
            </w:r>
          </w:p>
        </w:tc>
        <w:tc>
          <w:tcPr>
            <w:tcW w:type="dxa" w:w="3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Gestión de expedientes y agenda del equipo</w:t>
            </w:r>
          </w:p>
        </w:tc>
      </w:tr>
      <w:tr>
        <w:tc>
          <w:tcPr>
            <w:tcW w:type="dxa" w:w="1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Medición (nuevo)</w:t>
            </w:r>
          </w:p>
        </w:tc>
        <w:tc>
          <w:tcPr>
            <w:tcW w:type="dxa" w:w="2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Senda Impact Engine</w:t>
            </w:r>
          </w:p>
        </w:tc>
        <w:tc>
          <w:tcPr>
            <w:tcW w:type="dxa" w:w="1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Propuesto</w:t>
            </w:r>
          </w:p>
        </w:tc>
        <w:tc>
          <w:tcPr>
            <w:tcW w:type="dxa" w:w="3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Motor que calcula el Índice de Protección y agrega resultados</w:t>
            </w:r>
          </w:p>
        </w:tc>
      </w:tr>
      <w:tr>
        <w:tc>
          <w:tcPr>
            <w:tcW w:type="dxa" w:w="1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Medición (nuevo)</w:t>
            </w:r>
          </w:p>
        </w:tc>
        <w:tc>
          <w:tcPr>
            <w:tcW w:type="dxa" w:w="2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Índice de Protección Senda-Caribe (IPSC)</w:t>
            </w:r>
          </w:p>
        </w:tc>
        <w:tc>
          <w:tcPr>
            <w:tcW w:type="dxa" w:w="1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Propuesto</w:t>
            </w:r>
          </w:p>
        </w:tc>
        <w:tc>
          <w:tcPr>
            <w:tcW w:type="dxa" w:w="3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Índice individual y longitudinal por dimensiones (capítulo 7)</w:t>
            </w:r>
          </w:p>
        </w:tc>
      </w:tr>
      <w:tr>
        <w:tc>
          <w:tcPr>
            <w:tcW w:type="dxa" w:w="1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Alerta (nuevo)</w:t>
            </w:r>
          </w:p>
        </w:tc>
        <w:tc>
          <w:tcPr>
            <w:tcW w:type="dxa" w:w="2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Sistema de Señales de Deterioro</w:t>
            </w:r>
          </w:p>
        </w:tc>
        <w:tc>
          <w:tcPr>
            <w:tcW w:type="dxa" w:w="1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Propuesto</w:t>
            </w:r>
          </w:p>
        </w:tc>
        <w:tc>
          <w:tcPr>
            <w:tcW w:type="dxa" w:w="3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Alertas de acompañamiento prioritario, nunca predicción de feminicidio (capítulo 8)</w:t>
            </w:r>
          </w:p>
        </w:tc>
      </w:tr>
      <w:tr>
        <w:tc>
          <w:tcPr>
            <w:tcW w:type="dxa" w:w="1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Evidencia territorial (nuevo)</w:t>
            </w:r>
          </w:p>
        </w:tc>
        <w:tc>
          <w:tcPr>
            <w:tcW w:type="dxa" w:w="2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Observatorio Caribe Seguro</w:t>
            </w:r>
          </w:p>
        </w:tc>
        <w:tc>
          <w:tcPr>
            <w:tcW w:type="dxa" w:w="1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Propuesto</w:t>
            </w:r>
          </w:p>
        </w:tc>
        <w:tc>
          <w:tcPr>
            <w:tcW w:type="dxa" w:w="3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Boletines y tablero público de datos agregados (capítulo 9)</w:t>
            </w:r>
          </w:p>
        </w:tc>
      </w:tr>
      <w:tr>
        <w:tc>
          <w:tcPr>
            <w:tcW w:type="dxa" w:w="1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Evidencia territorial (nuevo)</w:t>
            </w:r>
          </w:p>
        </w:tc>
        <w:tc>
          <w:tcPr>
            <w:tcW w:type="dxa" w:w="2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Mapa Caribe Seguro</w:t>
            </w:r>
          </w:p>
        </w:tc>
        <w:tc>
          <w:tcPr>
            <w:tcW w:type="dxa" w:w="1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Propuesto</w:t>
            </w:r>
          </w:p>
        </w:tc>
        <w:tc>
          <w:tcPr>
            <w:tcW w:type="dxa" w:w="3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Servicios disponibles y brechas territoriales, sin ubicación de víctimas</w:t>
            </w:r>
          </w:p>
        </w:tc>
      </w:tr>
      <w:tr>
        <w:tc>
          <w:tcPr>
            <w:tcW w:type="dxa" w:w="1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Incidencia (nuevo)</w:t>
            </w:r>
          </w:p>
        </w:tc>
        <w:tc>
          <w:tcPr>
            <w:tcW w:type="dxa" w:w="2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Caribe Seguro Certified</w:t>
            </w:r>
          </w:p>
        </w:tc>
        <w:tc>
          <w:tcPr>
            <w:tcW w:type="dxa" w:w="19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Propuesto</w:t>
            </w:r>
          </w:p>
        </w:tc>
        <w:tc>
          <w:tcPr>
            <w:tcW w:type="dxa" w:w="34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Certificación de instituciones y negocios aliados (capítulo 10)</w:t>
            </w:r>
          </w:p>
        </w:tc>
      </w:tr>
      <w:tr>
        <w:tc>
          <w:tcPr>
            <w:tcW w:type="dxa" w:w="1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Incidencia (nuevo)</w:t>
            </w:r>
          </w:p>
        </w:tc>
        <w:tc>
          <w:tcPr>
            <w:tcW w:type="dxa" w:w="2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Senda Policy Lab</w:t>
            </w:r>
          </w:p>
        </w:tc>
        <w:tc>
          <w:tcPr>
            <w:tcW w:type="dxa" w:w="19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Propuesto, fase 3</w:t>
            </w:r>
          </w:p>
        </w:tc>
        <w:tc>
          <w:tcPr>
            <w:tcW w:type="dxa" w:w="34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Convenios con universidades y alcaldías para evaluación de política pública</w:t>
            </w:r>
          </w:p>
        </w:tc>
      </w:tr>
    </w:tbl>
    <w:p>
      <w:pPr>
        <w:spacing w:after="200"/>
      </w:pPr>
    </w:p>
    <w:p>
      <w:pPr>
        <w:spacing w:after="160" w:line="276"/>
        <w:jc w:val="both"/>
      </w:pPr>
      <w:r>
        <w:rPr>
          <w:rFonts w:ascii="Calibri" w:cs="Calibri" w:eastAsia="Calibri" w:hAnsi="Calibri"/>
          <w:color w:val="1A1A1A"/>
          <w:sz w:val="21"/>
          <w:szCs w:val="21"/>
        </w:rPr>
        <w:t xml:space="preserve">Es importante subrayar que ocho de los catorce componentes de esta arquitectura ya existen en la plataforma actual de la Fundación. El trabajo que este blueprint propone no es partir de cero, sino conectar lo existente a un motor de medición común y añadir las piezas de observatorio, alerta y certificación que hoy faltan.</w:t>
      </w:r>
    </w:p>
    <w:p>
      <w:pPr>
        <w:pStyle w:val="Heading1"/>
        <w:pageBreakBefore/>
        <w:spacing w:after="240" w:before="0" w:line="264"/>
      </w:pPr>
      <w:r>
        <w:rPr>
          <w:rFonts w:ascii="Calibri" w:cs="Calibri" w:eastAsia="Calibri" w:hAnsi="Calibri"/>
          <w:b/>
          <w:bCs/>
          <w:color w:val="132A45"/>
          <w:sz w:val="30"/>
          <w:szCs w:val="30"/>
        </w:rPr>
        <w:t xml:space="preserve">7. Componente Insignia: Índice de Protección Senda-Caribe (IPSC)</w:t>
      </w:r>
    </w:p>
    <w:p>
      <w:pPr>
        <w:spacing w:after="160" w:line="276"/>
        <w:jc w:val="both"/>
      </w:pPr>
      <w:r>
        <w:rPr>
          <w:rFonts w:ascii="Calibri" w:cs="Calibri" w:eastAsia="Calibri" w:hAnsi="Calibri"/>
          <w:color w:val="1A1A1A"/>
          <w:sz w:val="21"/>
          <w:szCs w:val="21"/>
        </w:rPr>
        <w:t xml:space="preserve">El Índice de Protección Senda-Caribe es la pieza central de diferenciación de este proyecto. Su propósito no es diagnosticar ni predecir violencia, sino medir, de manera longitudinal, si el acompañamiento que la Fundación ofrece está produciendo un cambio real en la situación de protección de cada mujer.</w:t>
      </w:r>
    </w:p>
    <w:p>
      <w:pPr>
        <w:pBdr>
          <w:left w:val="single" w:color="C9A227" w:sz="16" w:space="10"/>
        </w:pBdr>
        <w:shd w:fill="FFF8E1" w:val="clear"/>
        <w:spacing w:after="200" w:before="120" w:line="264"/>
        <w:ind w:left="360" w:right="360"/>
      </w:pPr>
      <w:r>
        <w:rPr>
          <w:rFonts w:ascii="Calibri" w:cs="Calibri" w:eastAsia="Calibri" w:hAnsi="Calibri"/>
          <w:b/>
          <w:bCs/>
          <w:color w:val="8A6D00"/>
          <w:sz w:val="20"/>
          <w:szCs w:val="20"/>
        </w:rPr>
        <w:t xml:space="preserve">Límite ético / advertencia. </w:t>
      </w:r>
      <w:r>
        <w:rPr>
          <w:rFonts w:ascii="Calibri" w:cs="Calibri" w:eastAsia="Calibri" w:hAnsi="Calibri"/>
          <w:color w:val="5C4A00"/>
          <w:sz w:val="20"/>
          <w:szCs w:val="20"/>
        </w:rPr>
        <w:t xml:space="preserve">El IPSC es una herramienta de seguimiento de programa, no un instrumento clínico ni forense. No sustituye una valoración de riesgo de feminicidio realizada por un profesional competente ni por las entidades legalmente encargadas de esa valoración (por ejemplo, Medicina Legal). Su uso debe quedar expresamente acotado en el consentimiento informado desarrollado en el Anexo H del proyecto institucional de la Fundación.</w:t>
      </w:r>
    </w:p>
    <w:p>
      <w:pPr>
        <w:pStyle w:val="Heading2"/>
        <w:spacing w:after="140" w:before="320" w:line="264"/>
      </w:pPr>
      <w:r>
        <w:rPr>
          <w:rFonts w:ascii="Calibri" w:cs="Calibri" w:eastAsia="Calibri" w:hAnsi="Calibri"/>
          <w:b/>
          <w:bCs/>
          <w:color w:val="0E6E6E"/>
          <w:sz w:val="25"/>
          <w:szCs w:val="25"/>
        </w:rPr>
        <w:t xml:space="preserve">7.1 Dimensiones propuestas</w:t>
      </w:r>
    </w:p>
    <w:p>
      <w:pPr>
        <w:spacing w:after="160" w:line="276"/>
        <w:jc w:val="both"/>
      </w:pPr>
      <w:r>
        <w:rPr>
          <w:rFonts w:ascii="Calibri" w:cs="Calibri" w:eastAsia="Calibri" w:hAnsi="Calibri"/>
          <w:color w:val="1A1A1A"/>
          <w:sz w:val="21"/>
          <w:szCs w:val="21"/>
        </w:rPr>
        <w:t xml:space="preserve">Con base en la revisión de metodologías existentes —en particular el enfoque de Chayn de distinguir alcance (reach) y profundidad (depth) del impacto—, se proponen diez dimensiones, que deberán validarse formalmente con el equipo de psicología, trabajo social y derecho de la Fundación antes de su implementación.</w:t>
      </w:r>
    </w:p>
    <w:p>
      <w:pPr>
        <w:spacing w:after="40" w:before="200"/>
      </w:pPr>
      <w:r>
        <w:rPr>
          <w:rFonts w:ascii="Calibri" w:cs="Calibri" w:eastAsia="Calibri" w:hAnsi="Calibri"/>
          <w:b/>
          <w:bCs/>
          <w:i/>
          <w:iCs/>
          <w:sz w:val="20"/>
          <w:szCs w:val="20"/>
        </w:rPr>
        <w:t xml:space="preserve">Tabla 3. </w:t>
      </w:r>
      <w:r>
        <w:rPr>
          <w:rFonts w:ascii="Calibri" w:cs="Calibri" w:eastAsia="Calibri" w:hAnsi="Calibri"/>
          <w:i/>
          <w:iCs/>
          <w:sz w:val="20"/>
          <w:szCs w:val="20"/>
        </w:rPr>
        <w:t xml:space="preserve">Dimensiones propuestas del Índice de Protección Senda-Caribe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Dimensión</w:t>
            </w:r>
          </w:p>
        </w:tc>
        <w:tc>
          <w:tcPr>
            <w:tcW w:type="dxa" w:w="67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Qué mide (ejemplo de pregunta base)</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Seguridad física</w:t>
            </w:r>
          </w:p>
        </w:tc>
        <w:tc>
          <w:tcPr>
            <w:tcW w:type="dxa" w:w="67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¿La mujer cuenta hoy con un lugar seguro para pasar la noche?</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Seguridad digital</w:t>
            </w:r>
          </w:p>
        </w:tc>
        <w:tc>
          <w:tcPr>
            <w:tcW w:type="dxa" w:w="67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¿Sabe identificar y protegerse de formas de violencia facilitada por tecnología?</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Autonomía económica</w:t>
            </w:r>
          </w:p>
        </w:tc>
        <w:tc>
          <w:tcPr>
            <w:tcW w:type="dxa" w:w="67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¿Cuenta con una fuente de ingresos propia o en desarrollo?</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Red de apoyo</w:t>
            </w:r>
          </w:p>
        </w:tc>
        <w:tc>
          <w:tcPr>
            <w:tcW w:type="dxa" w:w="67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¿Tiene al menos una persona o institución a quien acudir en caso de riesgo?</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Acceso a justicia</w:t>
            </w:r>
          </w:p>
        </w:tc>
        <w:tc>
          <w:tcPr>
            <w:tcW w:type="dxa" w:w="67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¿Conoce y ha podido activar, si lo desea, una ruta de denuncia o medida de protección?</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Acceso a salud</w:t>
            </w:r>
          </w:p>
        </w:tc>
        <w:tc>
          <w:tcPr>
            <w:tcW w:type="dxa" w:w="67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¿Tiene acceso efectivo a los servicios de salud física y sexual y reproductiva que requiere?</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Bienestar psicosocial</w:t>
            </w:r>
          </w:p>
        </w:tc>
        <w:tc>
          <w:tcPr>
            <w:tcW w:type="dxa" w:w="67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¿Cómo describe su propio bienestar emocional en las últimas semanas?</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Conocimiento de derechos</w:t>
            </w:r>
          </w:p>
        </w:tc>
        <w:tc>
          <w:tcPr>
            <w:tcW w:type="dxa" w:w="67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¿Puede nombrar al menos las rutas y derechos básicos que la asisten?</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Capacidad de respuesta</w:t>
            </w:r>
          </w:p>
        </w:tc>
        <w:tc>
          <w:tcPr>
            <w:tcW w:type="dxa" w:w="67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¿Sabría qué hacer, concretamente, ante una nueva situación de riesgo?</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Continuidad del acompañamiento</w:t>
            </w:r>
          </w:p>
        </w:tc>
        <w:tc>
          <w:tcPr>
            <w:tcW w:type="dxa" w:w="67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¿Ha mantenido contacto sostenido con la Fundación o con la red de apoyo activada?</w:t>
            </w:r>
          </w:p>
        </w:tc>
      </w:tr>
    </w:tbl>
    <w:p>
      <w:pPr>
        <w:spacing w:after="200"/>
      </w:pPr>
    </w:p>
    <w:p>
      <w:pPr>
        <w:pStyle w:val="Heading2"/>
        <w:spacing w:after="140" w:before="320" w:line="264"/>
      </w:pPr>
      <w:r>
        <w:rPr>
          <w:rFonts w:ascii="Calibri" w:cs="Calibri" w:eastAsia="Calibri" w:hAnsi="Calibri"/>
          <w:b/>
          <w:bCs/>
          <w:color w:val="0E6E6E"/>
          <w:sz w:val="25"/>
          <w:szCs w:val="25"/>
        </w:rPr>
        <w:t xml:space="preserve">7.2 Cómo se mide, y cómo se comunica</w:t>
      </w:r>
    </w:p>
    <w:p>
      <w:pPr>
        <w:spacing w:after="160" w:line="276"/>
        <w:jc w:val="both"/>
      </w:pPr>
      <w:r>
        <w:rPr>
          <w:rFonts w:ascii="Calibri" w:cs="Calibri" w:eastAsia="Calibri" w:hAnsi="Calibri"/>
          <w:color w:val="1A1A1A"/>
          <w:sz w:val="21"/>
          <w:szCs w:val="21"/>
        </w:rPr>
        <w:t xml:space="preserve">Cada dimensión se mide en una escala simple (por ejemplo, de 0 a 10), a partir de instrumentos breves aplicados en el ingreso (Programa 1 — Mujer Acompañada) y en momentos de seguimiento definidos por el equipo profesional (por ejemplo, a 30, 90 y 180 días), nunca de forma automática ni exclusivamente algorítmica. El resultado se comunica siempre como una trayectoria —el cambio entre dos momentos— y no como una etiqueta fija sobre la persona. La comunicación pública del Índice, en el Observatorio del capítulo 9, se hace exclusivamente de forma agregada y anonimizada; en ningún caso se publican resultados individuales identificables.</w:t>
      </w:r>
    </w:p>
    <w:p>
      <w:pPr>
        <w:pStyle w:val="Heading2"/>
        <w:spacing w:after="140" w:before="320" w:line="264"/>
      </w:pPr>
      <w:r>
        <w:rPr>
          <w:rFonts w:ascii="Calibri" w:cs="Calibri" w:eastAsia="Calibri" w:hAnsi="Calibri"/>
          <w:b/>
          <w:bCs/>
          <w:color w:val="0E6E6E"/>
          <w:sz w:val="25"/>
          <w:szCs w:val="25"/>
        </w:rPr>
        <w:t xml:space="preserve">7.3 Salvaguardas éticas obligatorias</w:t>
      </w:r>
    </w:p>
    <w:p>
      <w:pPr>
        <w:pStyle w:val="ListParagraph"/>
        <w:numPr>
          <w:ilvl w:val="0"/>
          <w:numId w:val="2"/>
        </w:numPr>
        <w:spacing w:after="100" w:line="264"/>
      </w:pPr>
      <w:r>
        <w:rPr>
          <w:rFonts w:ascii="Calibri" w:cs="Calibri" w:eastAsia="Calibri" w:hAnsi="Calibri"/>
          <w:color w:val="1A1A1A"/>
          <w:sz w:val="21"/>
          <w:szCs w:val="21"/>
        </w:rPr>
        <w:t xml:space="preserve">El IPSC nunca se presenta como una predicción de violencia futura ni como una calificación de riesgo de feminicidio.</w:t>
      </w:r>
    </w:p>
    <w:p>
      <w:pPr>
        <w:pStyle w:val="ListParagraph"/>
        <w:numPr>
          <w:ilvl w:val="0"/>
          <w:numId w:val="2"/>
        </w:numPr>
        <w:spacing w:after="100" w:line="264"/>
      </w:pPr>
      <w:r>
        <w:rPr>
          <w:rFonts w:ascii="Calibri" w:cs="Calibri" w:eastAsia="Calibri" w:hAnsi="Calibri"/>
          <w:color w:val="1A1A1A"/>
          <w:sz w:val="21"/>
          <w:szCs w:val="21"/>
        </w:rPr>
        <w:t xml:space="preserve">Toda variación relevante del índice de una mujer debe ser revisada por un profesional humano antes de comunicarse a la propia usuaria, para evitar interpretaciones dañinas de una cifra fuera de contexto.</w:t>
      </w:r>
    </w:p>
    <w:p>
      <w:pPr>
        <w:pStyle w:val="ListParagraph"/>
        <w:numPr>
          <w:ilvl w:val="0"/>
          <w:numId w:val="2"/>
        </w:numPr>
        <w:spacing w:after="100" w:line="264"/>
      </w:pPr>
      <w:r>
        <w:rPr>
          <w:rFonts w:ascii="Calibri" w:cs="Calibri" w:eastAsia="Calibri" w:hAnsi="Calibri"/>
          <w:color w:val="1A1A1A"/>
          <w:sz w:val="21"/>
          <w:szCs w:val="21"/>
        </w:rPr>
        <w:t xml:space="preserve">La participación en la medición es voluntaria y revocable, conforme al consentimiento informado desarrollado en el Anexo H del proyecto institucional.</w:t>
      </w:r>
    </w:p>
    <w:p>
      <w:pPr>
        <w:pStyle w:val="ListParagraph"/>
        <w:numPr>
          <w:ilvl w:val="0"/>
          <w:numId w:val="2"/>
        </w:numPr>
        <w:spacing w:after="100" w:line="264"/>
      </w:pPr>
      <w:r>
        <w:rPr>
          <w:rFonts w:ascii="Calibri" w:cs="Calibri" w:eastAsia="Calibri" w:hAnsi="Calibri"/>
          <w:color w:val="1A1A1A"/>
          <w:sz w:val="21"/>
          <w:szCs w:val="21"/>
        </w:rPr>
        <w:t xml:space="preserve">Los datos individuales del IPSC se tratan como datos sensibles bajo la Ley 1581 de 2012, con cifrado y control de acceso, conforme se desarrolla en el capítulo 11 de este documento.</w:t>
      </w:r>
    </w:p>
    <w:p>
      <w:pPr>
        <w:pStyle w:val="Heading1"/>
        <w:pageBreakBefore/>
        <w:spacing w:after="240" w:before="0" w:line="264"/>
      </w:pPr>
      <w:r>
        <w:rPr>
          <w:rFonts w:ascii="Calibri" w:cs="Calibri" w:eastAsia="Calibri" w:hAnsi="Calibri"/>
          <w:b/>
          <w:bCs/>
          <w:color w:val="132A45"/>
          <w:sz w:val="30"/>
          <w:szCs w:val="30"/>
        </w:rPr>
        <w:t xml:space="preserve">8. Sistema de Señales de Deterioro (No de Predicción)</w:t>
      </w:r>
    </w:p>
    <w:p>
      <w:pPr>
        <w:spacing w:after="160" w:line="276"/>
        <w:jc w:val="both"/>
      </w:pPr>
      <w:r>
        <w:rPr>
          <w:rFonts w:ascii="Calibri" w:cs="Calibri" w:eastAsia="Calibri" w:hAnsi="Calibri"/>
          <w:color w:val="1A1A1A"/>
          <w:sz w:val="21"/>
          <w:szCs w:val="21"/>
        </w:rPr>
        <w:t xml:space="preserve">Un segundo componente diferenciador es un sistema que identifique cuándo la situación de una mujer parece estar deteriorándose, para priorizar la atención humana, sin que ello implique nunca afirmar que un hecho de violencia va a ocurrir.</w:t>
      </w:r>
    </w:p>
    <w:p>
      <w:pPr>
        <w:pBdr>
          <w:left w:val="single" w:color="C9A227" w:sz="16" w:space="10"/>
        </w:pBdr>
        <w:shd w:fill="FFF8E1" w:val="clear"/>
        <w:spacing w:after="200" w:before="120" w:line="264"/>
        <w:ind w:left="360" w:right="360"/>
      </w:pPr>
      <w:r>
        <w:rPr>
          <w:rFonts w:ascii="Calibri" w:cs="Calibri" w:eastAsia="Calibri" w:hAnsi="Calibri"/>
          <w:b/>
          <w:bCs/>
          <w:color w:val="8A6D00"/>
          <w:sz w:val="20"/>
          <w:szCs w:val="20"/>
        </w:rPr>
        <w:t xml:space="preserve">Límite ético / advertencia. </w:t>
      </w:r>
      <w:r>
        <w:rPr>
          <w:rFonts w:ascii="Calibri" w:cs="Calibri" w:eastAsia="Calibri" w:hAnsi="Calibri"/>
          <w:color w:val="5C4A00"/>
          <w:sz w:val="20"/>
          <w:szCs w:val="20"/>
        </w:rPr>
        <w:t xml:space="preserve">Este documento adopta, de manera expresa, el mismo límite ético señalado en la investigación previa de la Fundación: la inteligencia artificial nunca debe presentarse como capaz de predecir un feminicidio o un episodio de violencia. Esa promesa es éticamente problemática y, según la evidencia revisada, no está respaldada por ningún estándar científico o profesional que esta investigación haya podido verificar. El sistema aquí propuesto identifica señales de deterioro en las dimensiones del IPSC, no probabilidades de violencia futura.</w:t>
      </w:r>
    </w:p>
    <w:p>
      <w:pPr>
        <w:pStyle w:val="Heading2"/>
        <w:spacing w:after="140" w:before="320" w:line="264"/>
      </w:pPr>
      <w:r>
        <w:rPr>
          <w:rFonts w:ascii="Calibri" w:cs="Calibri" w:eastAsia="Calibri" w:hAnsi="Calibri"/>
          <w:b/>
          <w:bCs/>
          <w:color w:val="0E6E6E"/>
          <w:sz w:val="25"/>
          <w:szCs w:val="25"/>
        </w:rPr>
        <w:t xml:space="preserve">8.1 Señales que activan revisión prioritaria</w:t>
      </w:r>
    </w:p>
    <w:p>
      <w:pPr>
        <w:pStyle w:val="ListParagraph"/>
        <w:numPr>
          <w:ilvl w:val="0"/>
          <w:numId w:val="2"/>
        </w:numPr>
        <w:spacing w:after="100" w:line="264"/>
      </w:pPr>
      <w:r>
        <w:rPr>
          <w:rFonts w:ascii="Calibri" w:cs="Calibri" w:eastAsia="Calibri" w:hAnsi="Calibri"/>
          <w:color w:val="1A1A1A"/>
          <w:sz w:val="21"/>
          <w:szCs w:val="21"/>
        </w:rPr>
        <w:t xml:space="preserve">Disminución significativa en la dimensión de red de apoyo entre dos mediciones.</w:t>
      </w:r>
    </w:p>
    <w:p>
      <w:pPr>
        <w:pStyle w:val="ListParagraph"/>
        <w:numPr>
          <w:ilvl w:val="0"/>
          <w:numId w:val="2"/>
        </w:numPr>
        <w:spacing w:after="100" w:line="264"/>
      </w:pPr>
      <w:r>
        <w:rPr>
          <w:rFonts w:ascii="Calibri" w:cs="Calibri" w:eastAsia="Calibri" w:hAnsi="Calibri"/>
          <w:color w:val="1A1A1A"/>
          <w:sz w:val="21"/>
          <w:szCs w:val="21"/>
        </w:rPr>
        <w:t xml:space="preserve">Aumento reportado de control coercitivo, aislamiento o vigilancia digital por parte de un tercero.</w:t>
      </w:r>
    </w:p>
    <w:p>
      <w:pPr>
        <w:pStyle w:val="ListParagraph"/>
        <w:numPr>
          <w:ilvl w:val="0"/>
          <w:numId w:val="2"/>
        </w:numPr>
        <w:spacing w:after="100" w:line="264"/>
      </w:pPr>
      <w:r>
        <w:rPr>
          <w:rFonts w:ascii="Calibri" w:cs="Calibri" w:eastAsia="Calibri" w:hAnsi="Calibri"/>
          <w:color w:val="1A1A1A"/>
          <w:sz w:val="21"/>
          <w:szCs w:val="21"/>
        </w:rPr>
        <w:t xml:space="preserve">Interrupción abrupta del contacto con la Fundación tras un patrón previo de seguimiento sostenido.</w:t>
      </w:r>
    </w:p>
    <w:p>
      <w:pPr>
        <w:pStyle w:val="ListParagraph"/>
        <w:numPr>
          <w:ilvl w:val="0"/>
          <w:numId w:val="2"/>
        </w:numPr>
        <w:spacing w:after="100" w:line="264"/>
      </w:pPr>
      <w:r>
        <w:rPr>
          <w:rFonts w:ascii="Calibri" w:cs="Calibri" w:eastAsia="Calibri" w:hAnsi="Calibri"/>
          <w:color w:val="1A1A1A"/>
          <w:sz w:val="21"/>
          <w:szCs w:val="21"/>
        </w:rPr>
        <w:t xml:space="preserve">Disminución simultánea en tres o más dimensiones del IPSC entre dos mediciones consecutivas.</w:t>
      </w:r>
    </w:p>
    <w:p>
      <w:pPr>
        <w:pStyle w:val="Heading2"/>
        <w:spacing w:after="140" w:before="320" w:line="264"/>
      </w:pPr>
      <w:r>
        <w:rPr>
          <w:rFonts w:ascii="Calibri" w:cs="Calibri" w:eastAsia="Calibri" w:hAnsi="Calibri"/>
          <w:b/>
          <w:bCs/>
          <w:color w:val="0E6E6E"/>
          <w:sz w:val="25"/>
          <w:szCs w:val="25"/>
        </w:rPr>
        <w:t xml:space="preserve">8.2 Niveles de alerta y respuesta</w:t>
      </w:r>
    </w:p>
    <w:p>
      <w:pPr>
        <w:spacing w:after="40" w:before="200"/>
      </w:pPr>
      <w:r>
        <w:rPr>
          <w:rFonts w:ascii="Calibri" w:cs="Calibri" w:eastAsia="Calibri" w:hAnsi="Calibri"/>
          <w:b/>
          <w:bCs/>
          <w:i/>
          <w:iCs/>
          <w:sz w:val="20"/>
          <w:szCs w:val="20"/>
        </w:rPr>
        <w:t xml:space="preserve">Tabla 4. </w:t>
      </w:r>
      <w:r>
        <w:rPr>
          <w:rFonts w:ascii="Calibri" w:cs="Calibri" w:eastAsia="Calibri" w:hAnsi="Calibri"/>
          <w:i/>
          <w:iCs/>
          <w:sz w:val="20"/>
          <w:szCs w:val="20"/>
        </w:rPr>
        <w:t xml:space="preserve">Niveles de alerta del sistema de señales de deterioro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Nivel</w:t>
            </w:r>
          </w:p>
        </w:tc>
        <w:tc>
          <w:tcPr>
            <w:tcW w:type="dxa" w:w="32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Significado</w:t>
            </w:r>
          </w:p>
        </w:tc>
        <w:tc>
          <w:tcPr>
            <w:tcW w:type="dxa" w:w="35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Acción</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Alerta amarilla — Acompañamiento</w:t>
            </w:r>
          </w:p>
        </w:tc>
        <w:tc>
          <w:tcPr>
            <w:tcW w:type="dxa" w:w="32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Se detecta una señal de deterioro en una o dos dimensiones</w:t>
            </w:r>
          </w:p>
        </w:tc>
        <w:tc>
          <w:tcPr>
            <w:tcW w:type="dxa" w:w="3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El caso se prioriza en la agenda del equipo profesional dentro de las siguientes 72 horas</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Alerta roja — Revisión prioritaria</w:t>
            </w:r>
          </w:p>
        </w:tc>
        <w:tc>
          <w:tcPr>
            <w:tcW w:type="dxa" w:w="32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Se detectan múltiples señales simultáneas o pérdida de contacto tras patrón de riesgo previo</w:t>
            </w:r>
          </w:p>
        </w:tc>
        <w:tc>
          <w:tcPr>
            <w:tcW w:type="dxa" w:w="3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Revisión inmediata por parte de la coordinación del Espacio Seguro, con activación del protocolo de manejo de crisis del capítulo 13 del proyecto institucional</w:t>
            </w:r>
          </w:p>
        </w:tc>
      </w:tr>
    </w:tbl>
    <w:p>
      <w:pPr>
        <w:spacing w:after="200"/>
      </w:pPr>
    </w:p>
    <w:p>
      <w:pPr>
        <w:spacing w:after="160" w:line="276"/>
        <w:jc w:val="both"/>
      </w:pPr>
      <w:r>
        <w:rPr>
          <w:rFonts w:ascii="Calibri" w:cs="Calibri" w:eastAsia="Calibri" w:hAnsi="Calibri"/>
          <w:color w:val="1A1A1A"/>
          <w:sz w:val="21"/>
          <w:szCs w:val="21"/>
        </w:rPr>
        <w:t xml:space="preserve">En ambos niveles, la decisión final sobre cómo actuar corresponde siempre a una persona del equipo profesional, nunca al sistema automatizado. El sistema organiza y prioriza información; no sustituye el criterio clínico ni social.</w:t>
      </w:r>
    </w:p>
    <w:p>
      <w:pPr>
        <w:pStyle w:val="Heading1"/>
        <w:pageBreakBefore/>
        <w:spacing w:after="240" w:before="0" w:line="264"/>
      </w:pPr>
      <w:r>
        <w:rPr>
          <w:rFonts w:ascii="Calibri" w:cs="Calibri" w:eastAsia="Calibri" w:hAnsi="Calibri"/>
          <w:b/>
          <w:bCs/>
          <w:color w:val="132A45"/>
          <w:sz w:val="30"/>
          <w:szCs w:val="30"/>
        </w:rPr>
        <w:t xml:space="preserve">9. Observatorio Caribe Seguro</w:t>
      </w:r>
    </w:p>
    <w:p>
      <w:pPr>
        <w:spacing w:after="160" w:line="276"/>
        <w:jc w:val="both"/>
      </w:pPr>
      <w:r>
        <w:rPr>
          <w:rFonts w:ascii="Calibri" w:cs="Calibri" w:eastAsia="Calibri" w:hAnsi="Calibri"/>
          <w:color w:val="1A1A1A"/>
          <w:sz w:val="21"/>
          <w:szCs w:val="21"/>
        </w:rPr>
        <w:t xml:space="preserve">El Observatorio Caribe Seguro traduce la medición individual del IPSC en evidencia territorial pública, siguiendo el modelo del OMEG de Bogotá —hoy sin equivalente en Cartagena o en el departamento de Bolívar, según la revisión del capítulo 3— pero centrado en resultado (outcome/impact) y no solo en actividad.</w:t>
      </w:r>
    </w:p>
    <w:p>
      <w:pPr>
        <w:pStyle w:val="Heading2"/>
        <w:spacing w:after="140" w:before="320" w:line="264"/>
      </w:pPr>
      <w:r>
        <w:rPr>
          <w:rFonts w:ascii="Calibri" w:cs="Calibri" w:eastAsia="Calibri" w:hAnsi="Calibri"/>
          <w:b/>
          <w:bCs/>
          <w:color w:val="0E6E6E"/>
          <w:sz w:val="25"/>
          <w:szCs w:val="25"/>
        </w:rPr>
        <w:t xml:space="preserve">9.1 Reglas de publicación</w:t>
      </w:r>
    </w:p>
    <w:p>
      <w:pPr>
        <w:pStyle w:val="ListParagraph"/>
        <w:numPr>
          <w:ilvl w:val="0"/>
          <w:numId w:val="2"/>
        </w:numPr>
        <w:spacing w:after="100" w:line="264"/>
      </w:pPr>
      <w:r>
        <w:rPr>
          <w:rFonts w:ascii="Calibri" w:cs="Calibri" w:eastAsia="Calibri" w:hAnsi="Calibri"/>
          <w:color w:val="1A1A1A"/>
          <w:sz w:val="21"/>
          <w:szCs w:val="21"/>
        </w:rPr>
        <w:t xml:space="preserve">Solo se publican datos agregados; nunca información que permita identificar a una mujer o su ubicación.</w:t>
      </w:r>
    </w:p>
    <w:p>
      <w:pPr>
        <w:pStyle w:val="ListParagraph"/>
        <w:numPr>
          <w:ilvl w:val="0"/>
          <w:numId w:val="2"/>
        </w:numPr>
        <w:spacing w:after="100" w:line="264"/>
      </w:pPr>
      <w:r>
        <w:rPr>
          <w:rFonts w:ascii="Calibri" w:cs="Calibri" w:eastAsia="Calibri" w:hAnsi="Calibri"/>
          <w:color w:val="1A1A1A"/>
          <w:sz w:val="21"/>
          <w:szCs w:val="21"/>
        </w:rPr>
        <w:t xml:space="preserve">Los boletines periódicos siguen la lógica de output (qué se hizo), outcome (qué cambió) e impact (qué se transformó), evitando reducir el reporte a un conteo de personas atendidas.</w:t>
      </w:r>
    </w:p>
    <w:p>
      <w:pPr>
        <w:pStyle w:val="ListParagraph"/>
        <w:numPr>
          <w:ilvl w:val="0"/>
          <w:numId w:val="2"/>
        </w:numPr>
        <w:spacing w:after="100" w:line="264"/>
      </w:pPr>
      <w:r>
        <w:rPr>
          <w:rFonts w:ascii="Calibri" w:cs="Calibri" w:eastAsia="Calibri" w:hAnsi="Calibri"/>
          <w:color w:val="1A1A1A"/>
          <w:sz w:val="21"/>
          <w:szCs w:val="21"/>
        </w:rPr>
        <w:t xml:space="preserve">Toda cifra publicada debe ser generada automáticamente por el sistema a partir de datos reales; el equipo de comunicaciones nunca estima ni redondea cifras de impacto para fines de comunicación.</w:t>
      </w:r>
    </w:p>
    <w:p>
      <w:pPr>
        <w:pStyle w:val="Heading2"/>
        <w:spacing w:after="140" w:before="320" w:line="264"/>
      </w:pPr>
      <w:r>
        <w:rPr>
          <w:rFonts w:ascii="Calibri" w:cs="Calibri" w:eastAsia="Calibri" w:hAnsi="Calibri"/>
          <w:b/>
          <w:bCs/>
          <w:color w:val="0E6E6E"/>
          <w:sz w:val="25"/>
          <w:szCs w:val="25"/>
        </w:rPr>
        <w:t xml:space="preserve">9.2 Ejemplo ilustrativo de tablero (NO son datos reales)</w:t>
      </w:r>
    </w:p>
    <w:p>
      <w:pPr>
        <w:pBdr>
          <w:left w:val="single" w:color="C9A227" w:sz="16" w:space="10"/>
        </w:pBdr>
        <w:shd w:fill="FFF8E1" w:val="clear"/>
        <w:spacing w:after="200" w:before="120" w:line="264"/>
        <w:ind w:left="360" w:right="360"/>
      </w:pPr>
      <w:r>
        <w:rPr>
          <w:rFonts w:ascii="Calibri" w:cs="Calibri" w:eastAsia="Calibri" w:hAnsi="Calibri"/>
          <w:b/>
          <w:bCs/>
          <w:color w:val="8A6D00"/>
          <w:sz w:val="20"/>
          <w:szCs w:val="20"/>
        </w:rPr>
        <w:t xml:space="preserve">Límite ético / advertencia. </w:t>
      </w:r>
      <w:r>
        <w:rPr>
          <w:rFonts w:ascii="Calibri" w:cs="Calibri" w:eastAsia="Calibri" w:hAnsi="Calibri"/>
          <w:color w:val="5C4A00"/>
          <w:sz w:val="20"/>
          <w:szCs w:val="20"/>
        </w:rPr>
        <w:t xml:space="preserve">Las cifras que siguen son un ejemplo puramente ilustrativo del formato del tablero. No deben publicarse, comunicarse a cooperantes ni usarse en ninguna pieza institucional hasta que el sistema las genere a partir de datos reales de la operación de la Fundación.</w:t>
      </w:r>
    </w:p>
    <w:p>
      <w:pPr>
        <w:spacing w:after="40" w:before="200"/>
      </w:pPr>
      <w:r>
        <w:rPr>
          <w:rFonts w:ascii="Calibri" w:cs="Calibri" w:eastAsia="Calibri" w:hAnsi="Calibri"/>
          <w:b/>
          <w:bCs/>
          <w:i/>
          <w:iCs/>
          <w:sz w:val="20"/>
          <w:szCs w:val="20"/>
        </w:rPr>
        <w:t xml:space="preserve">Tabla 5. </w:t>
      </w:r>
      <w:r>
        <w:rPr>
          <w:rFonts w:ascii="Calibri" w:cs="Calibri" w:eastAsia="Calibri" w:hAnsi="Calibri"/>
          <w:i/>
          <w:iCs/>
          <w:sz w:val="20"/>
          <w:szCs w:val="20"/>
        </w:rPr>
        <w:t xml:space="preserve">Formato ilustrativo del tablero público del Observatorio (datos de 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Indicador</w:t>
            </w:r>
          </w:p>
        </w:tc>
        <w:tc>
          <w:tcPr>
            <w:tcW w:type="dxa" w:w="46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Valor de ejemplo</w:t>
            </w:r>
          </w:p>
        </w:tc>
      </w:tr>
      <w:tr>
        <w:tc>
          <w:tcPr>
            <w:tcW w:type="dxa" w:w="47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Mujeres acompañadas</w:t>
            </w:r>
          </w:p>
        </w:tc>
        <w:tc>
          <w:tcPr>
            <w:tcW w:type="dxa" w:w="46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[dato real del sistema]</w:t>
            </w:r>
          </w:p>
        </w:tc>
      </w:tr>
      <w:tr>
        <w:tc>
          <w:tcPr>
            <w:tcW w:type="dxa" w:w="47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Rutas institucionales activadas</w:t>
            </w:r>
          </w:p>
        </w:tc>
        <w:tc>
          <w:tcPr>
            <w:tcW w:type="dxa" w:w="46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[dato real del sistema]</w:t>
            </w:r>
          </w:p>
        </w:tc>
      </w:tr>
      <w:tr>
        <w:tc>
          <w:tcPr>
            <w:tcW w:type="dxa" w:w="47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Planes de protección completados</w:t>
            </w:r>
          </w:p>
        </w:tc>
        <w:tc>
          <w:tcPr>
            <w:tcW w:type="dxa" w:w="46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[dato real del sistema]</w:t>
            </w:r>
          </w:p>
        </w:tc>
      </w:tr>
      <w:tr>
        <w:tc>
          <w:tcPr>
            <w:tcW w:type="dxa" w:w="47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Mejora promedio del Índice de Protección (90 días)</w:t>
            </w:r>
          </w:p>
        </w:tc>
        <w:tc>
          <w:tcPr>
            <w:tcW w:type="dxa" w:w="46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[dato real del sistema]</w:t>
            </w:r>
          </w:p>
        </w:tc>
      </w:tr>
      <w:tr>
        <w:tc>
          <w:tcPr>
            <w:tcW w:type="dxa" w:w="47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Tiempo promedio hasta primera orientación</w:t>
            </w:r>
          </w:p>
        </w:tc>
        <w:tc>
          <w:tcPr>
            <w:tcW w:type="dxa" w:w="46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[dato real del sistema]</w:t>
            </w:r>
          </w:p>
        </w:tc>
      </w:tr>
      <w:tr>
        <w:tc>
          <w:tcPr>
            <w:tcW w:type="dxa" w:w="47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Municipios con presencia activa</w:t>
            </w:r>
          </w:p>
        </w:tc>
        <w:tc>
          <w:tcPr>
            <w:tcW w:type="dxa" w:w="46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[dato real del sistema]</w:t>
            </w:r>
          </w:p>
        </w:tc>
      </w:tr>
    </w:tbl>
    <w:p>
      <w:pPr>
        <w:spacing w:after="200"/>
      </w:pPr>
    </w:p>
    <w:p>
      <w:pPr>
        <w:pStyle w:val="Heading1"/>
        <w:pageBreakBefore/>
        <w:spacing w:after="240" w:before="0" w:line="264"/>
      </w:pPr>
      <w:r>
        <w:rPr>
          <w:rFonts w:ascii="Calibri" w:cs="Calibri" w:eastAsia="Calibri" w:hAnsi="Calibri"/>
          <w:b/>
          <w:bCs/>
          <w:color w:val="132A45"/>
          <w:sz w:val="30"/>
          <w:szCs w:val="30"/>
        </w:rPr>
        <w:t xml:space="preserve">10. Mapa Caribe Seguro y Certificación Territorial</w:t>
      </w:r>
    </w:p>
    <w:p>
      <w:pPr>
        <w:pStyle w:val="Heading2"/>
        <w:spacing w:after="140" w:before="320" w:line="264"/>
      </w:pPr>
      <w:r>
        <w:rPr>
          <w:rFonts w:ascii="Calibri" w:cs="Calibri" w:eastAsia="Calibri" w:hAnsi="Calibri"/>
          <w:b/>
          <w:bCs/>
          <w:color w:val="0E6E6E"/>
          <w:sz w:val="25"/>
          <w:szCs w:val="25"/>
        </w:rPr>
        <w:t xml:space="preserve">10.1 Mapa Caribe Seguro</w:t>
      </w:r>
    </w:p>
    <w:p>
      <w:pPr>
        <w:spacing w:after="160" w:line="276"/>
        <w:jc w:val="both"/>
      </w:pPr>
      <w:r>
        <w:rPr>
          <w:rFonts w:ascii="Calibri" w:cs="Calibri" w:eastAsia="Calibri" w:hAnsi="Calibri"/>
          <w:color w:val="1A1A1A"/>
          <w:sz w:val="21"/>
          <w:szCs w:val="21"/>
        </w:rPr>
        <w:t xml:space="preserve">El mapa territorial combina tres capas: los servicios efectivamente disponibles (salud, justicia, protección, psicología, educación), la necesidad relativa identificada por barrio o corregimiento a partir de datos agregados del IPSC, y la capacidad institucional real de respuesta. El resultado no es un mapa de “dónde ocurren más casos”, que ya existe en fuentes oficiales, sino un mapa de “dónde hay más necesidad y menos capacidad de respuesta”, que es la información que resulta más útil para decisiones de política pública y de focalización de recursos. Bajo ninguna circunstancia el mapa mostrará la ubicación de una mujer atendida ni datos que permitan inferirla.</w:t>
      </w:r>
    </w:p>
    <w:p>
      <w:pPr>
        <w:pStyle w:val="Heading2"/>
        <w:spacing w:after="140" w:before="320" w:line="264"/>
      </w:pPr>
      <w:r>
        <w:rPr>
          <w:rFonts w:ascii="Calibri" w:cs="Calibri" w:eastAsia="Calibri" w:hAnsi="Calibri"/>
          <w:b/>
          <w:bCs/>
          <w:color w:val="0E6E6E"/>
          <w:sz w:val="25"/>
          <w:szCs w:val="25"/>
        </w:rPr>
        <w:t xml:space="preserve">10.2 Caribe Seguro Certified</w:t>
      </w:r>
    </w:p>
    <w:p>
      <w:pPr>
        <w:spacing w:after="160" w:line="276"/>
        <w:jc w:val="both"/>
      </w:pPr>
      <w:r>
        <w:rPr>
          <w:rFonts w:ascii="Calibri" w:cs="Calibri" w:eastAsia="Calibri" w:hAnsi="Calibri"/>
          <w:color w:val="1A1A1A"/>
          <w:sz w:val="21"/>
          <w:szCs w:val="21"/>
        </w:rPr>
        <w:t xml:space="preserve">Se propone un modelo de certificación de cuatro niveles para hoteles, colegios, universidades, empresas y otras instituciones de Cartagena y el Caribe, evaluando protocolos, capacitación del personal, conocimiento de rutas, accesibilidad y prevención digital, con recertificación anual. Este componente diversifica adicionalmente las fuentes de financiación descritas en el capítulo 14 del proyecto institucional, mediante una tarifa de certificación y auditoría.</w:t>
      </w:r>
    </w:p>
    <w:p>
      <w:pPr>
        <w:spacing w:after="40" w:before="200"/>
      </w:pPr>
      <w:r>
        <w:rPr>
          <w:rFonts w:ascii="Calibri" w:cs="Calibri" w:eastAsia="Calibri" w:hAnsi="Calibri"/>
          <w:b/>
          <w:bCs/>
          <w:i/>
          <w:iCs/>
          <w:sz w:val="20"/>
          <w:szCs w:val="20"/>
        </w:rPr>
        <w:t xml:space="preserve">Tabla 6. </w:t>
      </w:r>
      <w:r>
        <w:rPr>
          <w:rFonts w:ascii="Calibri" w:cs="Calibri" w:eastAsia="Calibri" w:hAnsi="Calibri"/>
          <w:i/>
          <w:iCs/>
          <w:sz w:val="20"/>
          <w:szCs w:val="20"/>
        </w:rPr>
        <w:t xml:space="preserve">Niveles de la certificación Caribe Seguro Certified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5250"/>
      </w:tblGrid>
      <w:tr>
        <w:trPr>
          <w:tblHeader/>
        </w:trPr>
        <w:tc>
          <w:tcPr>
            <w:tcW w:type="dxa" w:w="14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Nivel</w:t>
            </w:r>
          </w:p>
        </w:tc>
        <w:tc>
          <w:tcPr>
            <w:tcW w:type="dxa" w:w="27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Denominación</w:t>
            </w:r>
          </w:p>
        </w:tc>
        <w:tc>
          <w:tcPr>
            <w:tcW w:type="dxa" w:w="52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Criterio central</w:t>
            </w:r>
          </w:p>
        </w:tc>
      </w:tr>
      <w:tr>
        <w:tc>
          <w:tcPr>
            <w:tcW w:type="dxa" w:w="14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1</w:t>
            </w:r>
          </w:p>
        </w:tc>
        <w:tc>
          <w:tcPr>
            <w:tcW w:type="dxa" w:w="27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Espacio sensibilizado</w:t>
            </w:r>
          </w:p>
        </w:tc>
        <w:tc>
          <w:tcPr>
            <w:tcW w:type="dxa" w:w="52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El personal ha recibido formación básica en prevención de violencia de género</w:t>
            </w:r>
          </w:p>
        </w:tc>
      </w:tr>
      <w:tr>
        <w:tc>
          <w:tcPr>
            <w:tcW w:type="dxa" w:w="14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2</w:t>
            </w:r>
          </w:p>
        </w:tc>
        <w:tc>
          <w:tcPr>
            <w:tcW w:type="dxa" w:w="27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Espacio preparado</w:t>
            </w:r>
          </w:p>
        </w:tc>
        <w:tc>
          <w:tcPr>
            <w:tcW w:type="dxa" w:w="52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Existen protocolos escritos y rutas de derivación conocidas por el personal</w:t>
            </w:r>
          </w:p>
        </w:tc>
      </w:tr>
      <w:tr>
        <w:tc>
          <w:tcPr>
            <w:tcW w:type="dxa" w:w="14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3</w:t>
            </w:r>
          </w:p>
        </w:tc>
        <w:tc>
          <w:tcPr>
            <w:tcW w:type="dxa" w:w="27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Espacio protector</w:t>
            </w:r>
          </w:p>
        </w:tc>
        <w:tc>
          <w:tcPr>
            <w:tcW w:type="dxa" w:w="52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Se han realizado simulacros o casos prácticos y existe un responsable designado</w:t>
            </w:r>
          </w:p>
        </w:tc>
      </w:tr>
      <w:tr>
        <w:tc>
          <w:tcPr>
            <w:tcW w:type="dxa" w:w="14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4</w:t>
            </w:r>
          </w:p>
        </w:tc>
        <w:tc>
          <w:tcPr>
            <w:tcW w:type="dxa" w:w="27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Caribe Seguro</w:t>
            </w:r>
          </w:p>
        </w:tc>
        <w:tc>
          <w:tcPr>
            <w:tcW w:type="dxa" w:w="52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Auditoría externa satisfactoria y renovación anual sostenida por al menos dos ciclos</w:t>
            </w:r>
          </w:p>
        </w:tc>
      </w:tr>
    </w:tbl>
    <w:p>
      <w:pPr>
        <w:spacing w:after="200"/>
      </w:pPr>
    </w:p>
    <w:p>
      <w:pPr>
        <w:pStyle w:val="Heading1"/>
        <w:pageBreakBefore/>
        <w:spacing w:after="240" w:before="0" w:line="264"/>
      </w:pPr>
      <w:r>
        <w:rPr>
          <w:rFonts w:ascii="Calibri" w:cs="Calibri" w:eastAsia="Calibri" w:hAnsi="Calibri"/>
          <w:b/>
          <w:bCs/>
          <w:color w:val="132A45"/>
          <w:sz w:val="30"/>
          <w:szCs w:val="30"/>
        </w:rPr>
        <w:t xml:space="preserve">11. Privacidad y Seguridad de Datos por Diseño</w:t>
      </w:r>
    </w:p>
    <w:p>
      <w:pPr>
        <w:spacing w:after="160" w:line="276"/>
        <w:jc w:val="both"/>
      </w:pPr>
      <w:r>
        <w:rPr>
          <w:rFonts w:ascii="Calibri" w:cs="Calibri" w:eastAsia="Calibri" w:hAnsi="Calibri"/>
          <w:color w:val="1A1A1A"/>
          <w:sz w:val="21"/>
          <w:szCs w:val="21"/>
        </w:rPr>
        <w:t xml:space="preserve">Una plataforma que mide protección frente a la violencia puede, si falla en su seguridad, convertirse ella misma en un riesgo para las mujeres que atiende. Por ello, este blueprint trata la privacidad como parte del producto, no como un aviso legal al final del proceso.</w:t>
      </w:r>
    </w:p>
    <w:p>
      <w:pPr>
        <w:pBdr>
          <w:left w:val="single" w:color="C9A227" w:sz="16" w:space="10"/>
        </w:pBdr>
        <w:shd w:fill="FFF8E1" w:val="clear"/>
        <w:spacing w:after="200" w:before="120" w:line="264"/>
        <w:ind w:left="360" w:right="360"/>
      </w:pPr>
      <w:r>
        <w:rPr>
          <w:rFonts w:ascii="Calibri" w:cs="Calibri" w:eastAsia="Calibri" w:hAnsi="Calibri"/>
          <w:b/>
          <w:bCs/>
          <w:color w:val="8A6D00"/>
          <w:sz w:val="20"/>
          <w:szCs w:val="20"/>
        </w:rPr>
        <w:t xml:space="preserve">Límite ético / advertencia. </w:t>
      </w:r>
      <w:r>
        <w:rPr>
          <w:rFonts w:ascii="Calibri" w:cs="Calibri" w:eastAsia="Calibri" w:hAnsi="Calibri"/>
          <w:color w:val="5C4A00"/>
          <w:sz w:val="20"/>
          <w:szCs w:val="20"/>
        </w:rPr>
        <w:t xml:space="preserve">Esta investigación identificó una inconsistencia que ya había sido señalada en un análisis previo del ecosistema de la Fundación, y que aquí se reitera con firmeza: la documentación técnica de la plataforma describe el uso de localStorage para mantener sesiones del Portal de Beneficiarias, y en el mismo documento se afirma que “los expedientes están cifrados de extremo a extremo”. Estas dos afirmaciones no son automáticamente equivalentes: que una sesión persista en el navegador con expiración temporizada no implica, por sí solo, que los datos viajen y se almacenen con cifrado de extremo a extremo. Antes de comunicar públicamente “confidencialidad absoluta” o “cifrado de extremo a extremo”, la Fundación debería encargar una auditoría de seguridad técnica independiente que verifique esa afirmación, dado que se trata de datos de salud, violencia sexual e identificación personal. Esto es especialmente crítico si la Fundación aspira a presentar Caribe Seguro ante cooperantes internacionales, que habitualmente exigen evidencia técnica y no solo declaraciones.</w:t>
      </w:r>
    </w:p>
    <w:p>
      <w:pPr>
        <w:pStyle w:val="Heading2"/>
        <w:spacing w:after="140" w:before="320" w:line="264"/>
      </w:pPr>
      <w:r>
        <w:rPr>
          <w:rFonts w:ascii="Calibri" w:cs="Calibri" w:eastAsia="Calibri" w:hAnsi="Calibri"/>
          <w:b/>
          <w:bCs/>
          <w:color w:val="0E6E6E"/>
          <w:sz w:val="25"/>
          <w:szCs w:val="25"/>
        </w:rPr>
        <w:t xml:space="preserve">11.1 Principios de privacidad por diseño</w:t>
      </w:r>
    </w:p>
    <w:p>
      <w:pPr>
        <w:pStyle w:val="ListParagraph"/>
        <w:numPr>
          <w:ilvl w:val="0"/>
          <w:numId w:val="2"/>
        </w:numPr>
        <w:spacing w:after="100" w:line="264"/>
      </w:pPr>
      <w:r>
        <w:rPr>
          <w:rFonts w:ascii="Calibri" w:cs="Calibri" w:eastAsia="Calibri" w:hAnsi="Calibri"/>
          <w:color w:val="1A1A1A"/>
          <w:sz w:val="21"/>
          <w:szCs w:val="21"/>
        </w:rPr>
        <w:t xml:space="preserve">Minimización: recolectar solo el dato estrictamente necesario para cada función, y no el máximo posible “por si acaso”.</w:t>
      </w:r>
    </w:p>
    <w:p>
      <w:pPr>
        <w:pStyle w:val="ListParagraph"/>
        <w:numPr>
          <w:ilvl w:val="0"/>
          <w:numId w:val="2"/>
        </w:numPr>
        <w:spacing w:after="100" w:line="264"/>
      </w:pPr>
      <w:r>
        <w:rPr>
          <w:rFonts w:ascii="Calibri" w:cs="Calibri" w:eastAsia="Calibri" w:hAnsi="Calibri"/>
          <w:color w:val="1A1A1A"/>
          <w:sz w:val="21"/>
          <w:szCs w:val="21"/>
        </w:rPr>
        <w:t xml:space="preserve">Cifrado en tránsito y en reposo, verificado mediante auditoría externa, no solo declarado.</w:t>
      </w:r>
    </w:p>
    <w:p>
      <w:pPr>
        <w:pStyle w:val="ListParagraph"/>
        <w:numPr>
          <w:ilvl w:val="0"/>
          <w:numId w:val="2"/>
        </w:numPr>
        <w:spacing w:after="100" w:line="264"/>
      </w:pPr>
      <w:r>
        <w:rPr>
          <w:rFonts w:ascii="Calibri" w:cs="Calibri" w:eastAsia="Calibri" w:hAnsi="Calibri"/>
          <w:color w:val="1A1A1A"/>
          <w:sz w:val="21"/>
          <w:szCs w:val="21"/>
        </w:rPr>
        <w:t xml:space="preserve">Separación entre datos de identidad y datos analíticos usados para el Observatorio, de manera que la agregación territorial nunca permita reconstruir la identidad de una mujer.</w:t>
      </w:r>
    </w:p>
    <w:p>
      <w:pPr>
        <w:pStyle w:val="ListParagraph"/>
        <w:numPr>
          <w:ilvl w:val="0"/>
          <w:numId w:val="2"/>
        </w:numPr>
        <w:spacing w:after="100" w:line="264"/>
      </w:pPr>
      <w:r>
        <w:rPr>
          <w:rFonts w:ascii="Calibri" w:cs="Calibri" w:eastAsia="Calibri" w:hAnsi="Calibri"/>
          <w:color w:val="1A1A1A"/>
          <w:sz w:val="21"/>
          <w:szCs w:val="21"/>
        </w:rPr>
        <w:t xml:space="preserve">Control de acceso granular por rol (trabajo social, psicología, dirección, auditor externo), con registro de auditoría de cada acceso.</w:t>
      </w:r>
    </w:p>
    <w:p>
      <w:pPr>
        <w:pStyle w:val="ListParagraph"/>
        <w:numPr>
          <w:ilvl w:val="0"/>
          <w:numId w:val="2"/>
        </w:numPr>
        <w:spacing w:after="100" w:line="264"/>
      </w:pPr>
      <w:r>
        <w:rPr>
          <w:rFonts w:ascii="Calibri" w:cs="Calibri" w:eastAsia="Calibri" w:hAnsi="Calibri"/>
          <w:color w:val="1A1A1A"/>
          <w:sz w:val="21"/>
          <w:szCs w:val="21"/>
        </w:rPr>
        <w:t xml:space="preserve">Consentimiento informado explícito y revocable, conforme al Anexo H del proyecto institucional, aplicado de manera uniforme en todos los módulos que recojan datos, no solo en el Portal de Beneficiarias.</w:t>
      </w:r>
    </w:p>
    <w:p>
      <w:pPr>
        <w:pStyle w:val="ListParagraph"/>
        <w:numPr>
          <w:ilvl w:val="0"/>
          <w:numId w:val="2"/>
        </w:numPr>
        <w:spacing w:after="100" w:line="264"/>
      </w:pPr>
      <w:r>
        <w:rPr>
          <w:rFonts w:ascii="Calibri" w:cs="Calibri" w:eastAsia="Calibri" w:hAnsi="Calibri"/>
          <w:color w:val="1A1A1A"/>
          <w:sz w:val="21"/>
          <w:szCs w:val="21"/>
        </w:rPr>
        <w:t xml:space="preserve">Protocolo de borrado de datos ante solicitud de la usuaria, en ejercicio de sus derechos de acceso, rectificación, cancelación y oposición (derechos ARCO) bajo la Ley 1581 de 2012.</w:t>
      </w:r>
    </w:p>
    <w:p>
      <w:pPr>
        <w:pStyle w:val="ListParagraph"/>
        <w:numPr>
          <w:ilvl w:val="0"/>
          <w:numId w:val="2"/>
        </w:numPr>
        <w:spacing w:after="100" w:line="264"/>
      </w:pPr>
      <w:r>
        <w:rPr>
          <w:rFonts w:ascii="Calibri" w:cs="Calibri" w:eastAsia="Calibri" w:hAnsi="Calibri"/>
          <w:color w:val="1A1A1A"/>
          <w:sz w:val="21"/>
          <w:szCs w:val="21"/>
        </w:rPr>
        <w:t xml:space="preserve">Modo discreto y protocolo de evaluación de amenazas digitales para usuarias en riesgo, en línea con la Guía de prevención y atención de violencia de género facilitada por la tecnología de ONU Mujeres para América Latina y el Caribe (2025).</w:t>
      </w:r>
    </w:p>
    <w:p>
      <w:pPr>
        <w:pStyle w:val="Heading2"/>
        <w:spacing w:after="140" w:before="320" w:line="264"/>
      </w:pPr>
      <w:r>
        <w:rPr>
          <w:rFonts w:ascii="Calibri" w:cs="Calibri" w:eastAsia="Calibri" w:hAnsi="Calibri"/>
          <w:b/>
          <w:bCs/>
          <w:color w:val="0E6E6E"/>
          <w:sz w:val="25"/>
          <w:szCs w:val="25"/>
        </w:rPr>
        <w:t xml:space="preserve">11.2 Gobernanza de acceso entre instituciones</w:t>
      </w:r>
    </w:p>
    <w:p>
      <w:pPr>
        <w:spacing w:after="160" w:line="276"/>
        <w:jc w:val="both"/>
      </w:pPr>
      <w:r>
        <w:rPr>
          <w:rFonts w:ascii="Calibri" w:cs="Calibri" w:eastAsia="Calibri" w:hAnsi="Calibri"/>
          <w:color w:val="1A1A1A"/>
          <w:sz w:val="21"/>
          <w:szCs w:val="21"/>
        </w:rPr>
        <w:t xml:space="preserve">Cuando Caribe Seguro comparta información de caso con otras instituciones (Casa Refugio Violeta, Comisarías de Familia, ICBF, entre otras), el acceso debe ser segmentado por permisos: ninguna institución externa debe tener acceso a la totalidad del expediente de una mujer, sino únicamente a la información estrictamente necesaria para la función que le corresponde, replicando el principio identificado en la literatura internacional revisada (Banco Mundial, GBVIMS) sobre plataformas integradas de gestión de casos.</w:t>
      </w:r>
    </w:p>
    <w:p>
      <w:pPr>
        <w:pStyle w:val="Heading1"/>
        <w:pageBreakBefore/>
        <w:spacing w:after="240" w:before="0" w:line="264"/>
      </w:pPr>
      <w:r>
        <w:rPr>
          <w:rFonts w:ascii="Calibri" w:cs="Calibri" w:eastAsia="Calibri" w:hAnsi="Calibri"/>
          <w:b/>
          <w:bCs/>
          <w:color w:val="132A45"/>
          <w:sz w:val="30"/>
          <w:szCs w:val="30"/>
        </w:rPr>
        <w:t xml:space="preserve">12. Relevancia Política y de Cooperación</w:t>
      </w:r>
    </w:p>
    <w:p>
      <w:pPr>
        <w:spacing w:after="160" w:line="276"/>
        <w:jc w:val="both"/>
      </w:pPr>
      <w:r>
        <w:rPr>
          <w:rFonts w:ascii="Calibri" w:cs="Calibri" w:eastAsia="Calibri" w:hAnsi="Calibri"/>
          <w:color w:val="1A1A1A"/>
          <w:sz w:val="21"/>
          <w:szCs w:val="21"/>
        </w:rPr>
        <w:t xml:space="preserve">Este capítulo traduce la investigación del capítulo 2 en una hoja de ruta concreta de interlocución institucional, evitando presentar la relevancia política como una aspiración genérica.</w:t>
      </w:r>
    </w:p>
    <w:p>
      <w:pPr>
        <w:spacing w:after="40" w:before="200"/>
      </w:pPr>
      <w:r>
        <w:rPr>
          <w:rFonts w:ascii="Calibri" w:cs="Calibri" w:eastAsia="Calibri" w:hAnsi="Calibri"/>
          <w:b/>
          <w:bCs/>
          <w:i/>
          <w:iCs/>
          <w:sz w:val="20"/>
          <w:szCs w:val="20"/>
        </w:rPr>
        <w:t xml:space="preserve">Tabla 7. </w:t>
      </w:r>
      <w:r>
        <w:rPr>
          <w:rFonts w:ascii="Calibri" w:cs="Calibri" w:eastAsia="Calibri" w:hAnsi="Calibri"/>
          <w:i/>
          <w:iCs/>
          <w:sz w:val="20"/>
          <w:szCs w:val="20"/>
        </w:rPr>
        <w:t xml:space="preserve">Actores y ventanas de cooperación identificadas para Caribe Seguro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Actor</w:t>
            </w:r>
          </w:p>
        </w:tc>
        <w:tc>
          <w:tcPr>
            <w:tcW w:type="dxa" w:w="55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Por qué es relevante para Caribe Seguro</w:t>
            </w:r>
          </w:p>
        </w:tc>
      </w:tr>
      <w:tr>
        <w:tc>
          <w:tcPr>
            <w:tcW w:type="dxa" w:w="38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Observatorio de Mujeres, Paz y Seguridad para América Latina y el Caribe (Cancillería de Colombia)</w:t>
            </w:r>
          </w:p>
        </w:tc>
        <w:tc>
          <w:tcPr>
            <w:tcW w:type="dxa" w:w="5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Primer instrumento estatal colombiano de este tipo con alcance regional Caribe; interlocutor natural para un observatorio territorial propio de Cartagena</w:t>
            </w:r>
          </w:p>
        </w:tc>
      </w:tr>
      <w:tr>
        <w:tc>
          <w:tcPr>
            <w:tcW w:type="dxa" w:w="38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APC Colombia — línea de Cooperación Internacional Feminista (ENCI 2023-2026)</w:t>
            </w:r>
          </w:p>
        </w:tc>
        <w:tc>
          <w:tcPr>
            <w:tcW w:type="dxa" w:w="5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Ha financiado intercambios de buenas prácticas en atención temprana a víctimas de VBG en varios departamentos; posible vía de acceso a cooperación técnica y financiera</w:t>
            </w:r>
          </w:p>
        </w:tc>
      </w:tr>
      <w:tr>
        <w:tc>
          <w:tcPr>
            <w:tcW w:type="dxa" w:w="38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Mesa Estratégica para la Prevención de Feminicidios y Violencias de Género en Cartagena y Bolívar</w:t>
            </w:r>
          </w:p>
        </w:tc>
        <w:tc>
          <w:tcPr>
            <w:tcW w:type="dxa" w:w="5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Espacio de articulación territorial ya activo en la ciudad, con el que Caribe Seguro debería buscar una silla desde el inicio</w:t>
            </w:r>
          </w:p>
        </w:tc>
      </w:tr>
      <w:tr>
        <w:tc>
          <w:tcPr>
            <w:tcW w:type="dxa" w:w="38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Alcaldía Distrital de Cartagena — Casa Refugio Violeta y Secretaría de Participación y Desarrollo Social</w:t>
            </w:r>
          </w:p>
        </w:tc>
        <w:tc>
          <w:tcPr>
            <w:tcW w:type="dxa" w:w="5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Operador del único refugio existente en la ciudad; aliado natural para pilotar el IPSC y el Observatorio</w:t>
            </w:r>
          </w:p>
        </w:tc>
      </w:tr>
      <w:tr>
        <w:tc>
          <w:tcPr>
            <w:tcW w:type="dxa" w:w="38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ONU Mujeres — Oficina Regional para las Américas y el Caribe</w:t>
            </w:r>
          </w:p>
        </w:tc>
        <w:tc>
          <w:tcPr>
            <w:tcW w:type="dxa" w:w="5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Autora de la guía de referencia sobre violencia facilitada por tecnología para la región; interlocutor técnico natural para el componente de seguridad digital</w:t>
            </w:r>
          </w:p>
        </w:tc>
      </w:tr>
      <w:tr>
        <w:tc>
          <w:tcPr>
            <w:tcW w:type="dxa" w:w="38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Universidades de Cartagena y Bolívar</w:t>
            </w:r>
          </w:p>
        </w:tc>
        <w:tc>
          <w:tcPr>
            <w:tcW w:type="dxa" w:w="5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Aliados naturales para el futuro Senda Policy Lab (capítulo 6) y para la validación metodológica del IPSC</w:t>
            </w:r>
          </w:p>
        </w:tc>
      </w:tr>
    </w:tbl>
    <w:p>
      <w:pPr>
        <w:spacing w:after="200"/>
      </w:pPr>
    </w:p>
    <w:p>
      <w:pPr>
        <w:spacing w:after="160" w:line="276"/>
        <w:jc w:val="both"/>
      </w:pPr>
      <w:r>
        <w:rPr>
          <w:rFonts w:ascii="Calibri" w:cs="Calibri" w:eastAsia="Calibri" w:hAnsi="Calibri"/>
          <w:color w:val="1A1A1A"/>
          <w:sz w:val="21"/>
          <w:szCs w:val="21"/>
        </w:rPr>
        <w:t xml:space="preserve">La recomendación de este documento es que la primera conversación externa de la Fundación no sea con un cooperante internacional, sino con la Mesa Estratégica de Cartagena y Bolívar y con la Secretaría de Participación y Desarrollo Social del Distrito, para validar el diseño del Índice de Protección con quienes ya operan la Casa Refugio Violeta, antes de presentar el proyecto a cooperación internacional.</w:t>
      </w:r>
    </w:p>
    <w:p>
      <w:pPr>
        <w:pStyle w:val="Heading1"/>
        <w:pageBreakBefore/>
        <w:spacing w:after="240" w:before="0" w:line="264"/>
      </w:pPr>
      <w:r>
        <w:rPr>
          <w:rFonts w:ascii="Calibri" w:cs="Calibri" w:eastAsia="Calibri" w:hAnsi="Calibri"/>
          <w:b/>
          <w:bCs/>
          <w:color w:val="132A45"/>
          <w:sz w:val="30"/>
          <w:szCs w:val="30"/>
        </w:rPr>
        <w:t xml:space="preserve">13. Hoja de Ruta por Fases</w:t>
      </w:r>
    </w:p>
    <w:p>
      <w:pPr>
        <w:spacing w:after="160" w:line="276"/>
        <w:jc w:val="both"/>
      </w:pPr>
      <w:r>
        <w:rPr>
          <w:rFonts w:ascii="Calibri" w:cs="Calibri" w:eastAsia="Calibri" w:hAnsi="Calibri"/>
          <w:color w:val="1A1A1A"/>
          <w:sz w:val="21"/>
          <w:szCs w:val="21"/>
        </w:rPr>
        <w:t xml:space="preserve">Consistente con la estrategia de “empezar pequeño” ya adoptada en el proyecto institucional de la Fundación (capítulo 12.4), Caribe Seguro se implementa en tres fases, evitando construir simultáneamente los catorce componentes de la arquitectura.</w:t>
      </w:r>
    </w:p>
    <w:p>
      <w:pPr>
        <w:spacing w:after="40" w:before="200"/>
      </w:pPr>
      <w:r>
        <w:rPr>
          <w:rFonts w:ascii="Calibri" w:cs="Calibri" w:eastAsia="Calibri" w:hAnsi="Calibri"/>
          <w:b/>
          <w:bCs/>
          <w:i/>
          <w:iCs/>
          <w:sz w:val="20"/>
          <w:szCs w:val="20"/>
        </w:rPr>
        <w:t xml:space="preserve">Tabla 8. </w:t>
      </w:r>
      <w:r>
        <w:rPr>
          <w:rFonts w:ascii="Calibri" w:cs="Calibri" w:eastAsia="Calibri" w:hAnsi="Calibri"/>
          <w:i/>
          <w:iCs/>
          <w:sz w:val="20"/>
          <w:szCs w:val="20"/>
        </w:rPr>
        <w:t xml:space="preserve">Fases de implementación de Caribe Seguro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50"/>
      </w:tblGrid>
      <w:tr>
        <w:trPr>
          <w:tblHeader/>
        </w:trPr>
        <w:tc>
          <w:tcPr>
            <w:tcW w:type="dxa" w:w="26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Fase</w:t>
            </w:r>
          </w:p>
        </w:tc>
        <w:tc>
          <w:tcPr>
            <w:tcW w:type="dxa" w:w="25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Duración estimada</w:t>
            </w:r>
          </w:p>
        </w:tc>
        <w:tc>
          <w:tcPr>
            <w:tcW w:type="dxa" w:w="42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Alcance</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Fase 1 — MVP interno</w:t>
            </w:r>
          </w:p>
        </w:tc>
        <w:tc>
          <w:tcPr>
            <w:tcW w:type="dxa" w:w="25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3 a 4 meses</w:t>
            </w:r>
          </w:p>
        </w:tc>
        <w:tc>
          <w:tcPr>
            <w:tcW w:type="dxa" w:w="42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Diseño y validación clínica del IPSC con el equipo profesional; instrumentación de SENDA EVAL y del Portal de Beneficiarias para capturar las diez dimensiones; sin publicación externa todavía</w:t>
            </w:r>
          </w:p>
        </w:tc>
      </w:tr>
      <w:tr>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Fase 2 — Observatorio y alertas</w:t>
            </w:r>
          </w:p>
        </w:tc>
        <w:tc>
          <w:tcPr>
            <w:tcW w:type="dxa" w:w="25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4 a 6 meses adicionales</w:t>
            </w:r>
          </w:p>
        </w:tc>
        <w:tc>
          <w:tcPr>
            <w:tcW w:type="dxa" w:w="42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Construcción del Senda Impact Engine, el sistema de señales de deterioro con protocolo de escalación humana, y la primera versión interna del Observatorio Caribe Seguro</w:t>
            </w:r>
          </w:p>
        </w:tc>
      </w:tr>
      <w:tr>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Fase 3 — Territorio y certificación</w:t>
            </w:r>
          </w:p>
        </w:tc>
        <w:tc>
          <w:tcPr>
            <w:tcW w:type="dxa" w:w="25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6 a 12 meses adicionales</w:t>
            </w:r>
          </w:p>
        </w:tc>
        <w:tc>
          <w:tcPr>
            <w:tcW w:type="dxa" w:w="42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Lanzamiento público del Observatorio y el Mapa Caribe Seguro, apertura del programa Caribe Seguro Certified, y primeras conversaciones formales de cooperación con los actores del capítulo 12</w:t>
            </w:r>
          </w:p>
        </w:tc>
      </w:tr>
    </w:tbl>
    <w:p>
      <w:pPr>
        <w:spacing w:after="200"/>
      </w:pPr>
    </w:p>
    <w:p>
      <w:pPr>
        <w:spacing w:after="160" w:line="276"/>
        <w:jc w:val="both"/>
      </w:pPr>
      <w:r>
        <w:rPr>
          <w:rFonts w:ascii="Calibri" w:cs="Calibri" w:eastAsia="Calibri" w:hAnsi="Calibri"/>
          <w:color w:val="1A1A1A"/>
          <w:sz w:val="21"/>
          <w:szCs w:val="21"/>
        </w:rPr>
        <w:t xml:space="preserve">Antes de iniciar la Fase 1, se recomienda resolver dos condiciones previas ya identificadas en el proyecto institucional: la auditoría de seguridad de datos del capítulo 11, y la formalización jurídica de la Fundación (estatutos y registro ante la Cámara de Comercio de Cartagena).</w:t>
      </w:r>
    </w:p>
    <w:p>
      <w:pPr>
        <w:pStyle w:val="Heading1"/>
        <w:pageBreakBefore/>
        <w:spacing w:after="240" w:before="0" w:line="264"/>
      </w:pPr>
      <w:r>
        <w:rPr>
          <w:rFonts w:ascii="Calibri" w:cs="Calibri" w:eastAsia="Calibri" w:hAnsi="Calibri"/>
          <w:b/>
          <w:bCs/>
          <w:color w:val="132A45"/>
          <w:sz w:val="30"/>
          <w:szCs w:val="30"/>
        </w:rPr>
        <w:t xml:space="preserve">14. Tablero de Impacto: Reglas de Medición</w:t>
      </w:r>
    </w:p>
    <w:p>
      <w:pPr>
        <w:spacing w:after="160" w:line="276"/>
        <w:jc w:val="both"/>
      </w:pPr>
      <w:r>
        <w:rPr>
          <w:rFonts w:ascii="Calibri" w:cs="Calibri" w:eastAsia="Calibri" w:hAnsi="Calibri"/>
          <w:color w:val="1A1A1A"/>
          <w:sz w:val="21"/>
          <w:szCs w:val="21"/>
        </w:rPr>
        <w:t xml:space="preserve">Siguiendo la distinción entre actividad y resultado desarrollada en el capítulo 7, el tablero de impacto de Caribe Seguro debe reportar siempre en tres niveles.</w:t>
      </w:r>
    </w:p>
    <w:p>
      <w:pPr>
        <w:spacing w:after="40" w:before="200"/>
      </w:pPr>
      <w:r>
        <w:rPr>
          <w:rFonts w:ascii="Calibri" w:cs="Calibri" w:eastAsia="Calibri" w:hAnsi="Calibri"/>
          <w:b/>
          <w:bCs/>
          <w:i/>
          <w:iCs/>
          <w:sz w:val="20"/>
          <w:szCs w:val="20"/>
        </w:rPr>
        <w:t xml:space="preserve">Tabla 9. </w:t>
      </w:r>
      <w:r>
        <w:rPr>
          <w:rFonts w:ascii="Calibri" w:cs="Calibri" w:eastAsia="Calibri" w:hAnsi="Calibri"/>
          <w:i/>
          <w:iCs/>
          <w:sz w:val="20"/>
          <w:szCs w:val="20"/>
        </w:rPr>
        <w:t xml:space="preserve">Niveles de medición del tablero de impacto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Nivel</w:t>
            </w:r>
          </w:p>
        </w:tc>
        <w:tc>
          <w:tcPr>
            <w:tcW w:type="dxa" w:w="26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Pregunta que responde</w:t>
            </w:r>
          </w:p>
        </w:tc>
        <w:tc>
          <w:tcPr>
            <w:tcW w:type="dxa" w:w="45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Ejemplo</w:t>
            </w:r>
          </w:p>
        </w:tc>
      </w:tr>
      <w:tr>
        <w:tc>
          <w:tcPr>
            <w:tcW w:type="dxa" w:w="22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Output (actividad)</w:t>
            </w:r>
          </w:p>
        </w:tc>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¿Qué hicimos?</w:t>
            </w:r>
          </w:p>
        </w:tc>
        <w:tc>
          <w:tcPr>
            <w:tcW w:type="dxa" w:w="4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Número de mujeres que recibieron orientación inicial</w:t>
            </w:r>
          </w:p>
        </w:tc>
      </w:tr>
      <w:tr>
        <w:tc>
          <w:tcPr>
            <w:tcW w:type="dxa" w:w="22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Outcome (resultado intermedio)</w:t>
            </w:r>
          </w:p>
        </w:tc>
        <w:tc>
          <w:tcPr>
            <w:tcW w:type="dxa" w:w="26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¿Qué cambió?</w:t>
            </w:r>
          </w:p>
        </w:tc>
        <w:tc>
          <w:tcPr>
            <w:tcW w:type="dxa" w:w="45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Número de mujeres que activaron efectivamente una ruta institucional tras la orientación</w:t>
            </w:r>
          </w:p>
        </w:tc>
      </w:tr>
      <w:tr>
        <w:tc>
          <w:tcPr>
            <w:tcW w:type="dxa" w:w="22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Impact (transformación)</w:t>
            </w:r>
          </w:p>
        </w:tc>
        <w:tc>
          <w:tcPr>
            <w:tcW w:type="dxa" w:w="26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¿Qué se transformó?</w:t>
            </w:r>
          </w:p>
        </w:tc>
        <w:tc>
          <w:tcPr>
            <w:tcW w:type="dxa" w:w="45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Mejora promedio del Índice de Protección a 90 días entre quienes completaron un plan de protección</w:t>
            </w:r>
          </w:p>
        </w:tc>
      </w:tr>
    </w:tbl>
    <w:p>
      <w:pPr>
        <w:spacing w:after="200"/>
      </w:pPr>
    </w:p>
    <w:p>
      <w:pPr>
        <w:pBdr>
          <w:left w:val="single" w:color="C9A227" w:sz="16" w:space="10"/>
        </w:pBdr>
        <w:shd w:fill="FFF8E1" w:val="clear"/>
        <w:spacing w:after="200" w:before="120" w:line="264"/>
        <w:ind w:left="360" w:right="360"/>
      </w:pPr>
      <w:r>
        <w:rPr>
          <w:rFonts w:ascii="Calibri" w:cs="Calibri" w:eastAsia="Calibri" w:hAnsi="Calibri"/>
          <w:b/>
          <w:bCs/>
          <w:color w:val="8A6D00"/>
          <w:sz w:val="20"/>
          <w:szCs w:val="20"/>
        </w:rPr>
        <w:t xml:space="preserve">Límite ético / advertencia. </w:t>
      </w:r>
      <w:r>
        <w:rPr>
          <w:rFonts w:ascii="Calibri" w:cs="Calibri" w:eastAsia="Calibri" w:hAnsi="Calibri"/>
          <w:color w:val="5C4A00"/>
          <w:sz w:val="20"/>
          <w:szCs w:val="20"/>
        </w:rPr>
        <w:t xml:space="preserve">Se reitera aquí la regla ya adoptada en la investigación previa de la Fundación: ninguna cifra de impacto se inventa, se estima informalmente ni se redondea con fines de comunicación. Toda cifra pública debe originarse en el propio sistema de datos.</w:t>
      </w:r>
    </w:p>
    <w:p>
      <w:pPr>
        <w:pStyle w:val="Heading1"/>
        <w:pageBreakBefore/>
        <w:spacing w:after="240" w:before="0" w:line="264"/>
      </w:pPr>
      <w:r>
        <w:rPr>
          <w:rFonts w:ascii="Calibri" w:cs="Calibri" w:eastAsia="Calibri" w:hAnsi="Calibri"/>
          <w:b/>
          <w:bCs/>
          <w:color w:val="132A45"/>
          <w:sz w:val="30"/>
          <w:szCs w:val="30"/>
        </w:rPr>
        <w:t xml:space="preserve">15. Riesgos Éticos y Límites del Sistema</w:t>
      </w:r>
    </w:p>
    <w:p>
      <w:pPr>
        <w:spacing w:after="40" w:before="200"/>
      </w:pPr>
      <w:r>
        <w:rPr>
          <w:rFonts w:ascii="Calibri" w:cs="Calibri" w:eastAsia="Calibri" w:hAnsi="Calibri"/>
          <w:b/>
          <w:bCs/>
          <w:i/>
          <w:iCs/>
          <w:sz w:val="20"/>
          <w:szCs w:val="20"/>
        </w:rPr>
        <w:t xml:space="preserve">Tabla 10. </w:t>
      </w:r>
      <w:r>
        <w:rPr>
          <w:rFonts w:ascii="Calibri" w:cs="Calibri" w:eastAsia="Calibri" w:hAnsi="Calibri"/>
          <w:i/>
          <w:iCs/>
          <w:sz w:val="20"/>
          <w:szCs w:val="20"/>
        </w:rPr>
        <w:t xml:space="preserve">Riesgos éticos identificados y medida de mitigación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Riesgo</w:t>
            </w:r>
          </w:p>
        </w:tc>
        <w:tc>
          <w:tcPr>
            <w:tcW w:type="dxa" w:w="5150"/>
            <w:shd w:fill="132A45"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Mitigación</w:t>
            </w:r>
          </w:p>
        </w:tc>
      </w:tr>
      <w:tr>
        <w:tc>
          <w:tcPr>
            <w:tcW w:type="dxa" w:w="42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Sobreprometer capacidades de la inteligencia artificial (predicción de violencia o de feminicidio)</w:t>
            </w:r>
          </w:p>
        </w:tc>
        <w:tc>
          <w:tcPr>
            <w:tcW w:type="dxa" w:w="51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Prohibición expresa en este documento y en el protocolo de comunicaciones; toda pieza pública se revisa contra esta regla antes de publicarse</w:t>
            </w:r>
          </w:p>
        </w:tc>
      </w:tr>
      <w:tr>
        <w:tc>
          <w:tcPr>
            <w:tcW w:type="dxa" w:w="42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Que el Índice de Protección se use, dentro o fuera de la Fundación, como una etiqueta de riesgo sobre la persona en lugar de una medida de resultado del programa</w:t>
            </w:r>
          </w:p>
        </w:tc>
        <w:tc>
          <w:tcPr>
            <w:tcW w:type="dxa" w:w="51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Comunicación exclusivamente en términos de trayectoria y con mediación profesional obligatoria</w:t>
            </w:r>
          </w:p>
        </w:tc>
      </w:tr>
      <w:tr>
        <w:tc>
          <w:tcPr>
            <w:tcW w:type="dxa" w:w="42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Reidentificación de mujeres a partir de datos agregados del Observatorio o del Mapa territorial</w:t>
            </w:r>
          </w:p>
        </w:tc>
        <w:tc>
          <w:tcPr>
            <w:tcW w:type="dxa" w:w="51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Reglas de agregación mínima y revisión previa por un responsable de datos antes de cada publicación</w:t>
            </w:r>
          </w:p>
        </w:tc>
      </w:tr>
      <w:tr>
        <w:tc>
          <w:tcPr>
            <w:tcW w:type="dxa" w:w="42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Declarar niveles de seguridad de datos (cifrado, confidencialidad absoluta) no verificados técnicamente</w:t>
            </w:r>
          </w:p>
        </w:tc>
        <w:tc>
          <w:tcPr>
            <w:tcW w:type="dxa" w:w="51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Auditoría de seguridad externa antes de cualquier comunicación pública de este tipo (capítulo 11)</w:t>
            </w:r>
          </w:p>
        </w:tc>
      </w:tr>
      <w:tr>
        <w:tc>
          <w:tcPr>
            <w:tcW w:type="dxa" w:w="420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Que la certificación territorial se perciba como un sello comercial vacío de contenido</w:t>
            </w:r>
          </w:p>
        </w:tc>
        <w:tc>
          <w:tcPr>
            <w:tcW w:type="dxa" w:w="5150"/>
            <w:shd w:fill="FFFFFF" w:val="clear"/>
            <w:tcMar>
              <w:top w:type="dxa" w:w="60"/>
              <w:left w:type="dxa" w:w="100"/>
              <w:bottom w:type="dxa" w:w="60"/>
              <w:right w:type="dxa" w:w="100"/>
            </w:tcMar>
          </w:tcPr>
          <w:p>
            <w:pPr>
              <w:spacing w:line="250"/>
            </w:pPr>
            <w:r>
              <w:rPr>
                <w:rFonts w:ascii="Calibri" w:cs="Calibri" w:eastAsia="Calibri" w:hAnsi="Calibri"/>
                <w:sz w:val="18"/>
                <w:szCs w:val="18"/>
              </w:rPr>
              <w:t xml:space="preserve">Criterios objetivos, auditoría externa y recertificación anual obligatoria (capítulo 10.2)</w:t>
            </w:r>
          </w:p>
        </w:tc>
      </w:tr>
      <w:tr>
        <w:tc>
          <w:tcPr>
            <w:tcW w:type="dxa" w:w="420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Dependencia de proveedores externos de inteligencia artificial para funciones críticas de orientación</w:t>
            </w:r>
          </w:p>
        </w:tc>
        <w:tc>
          <w:tcPr>
            <w:tcW w:type="dxa" w:w="5150"/>
            <w:shd w:fill="F0F4F5" w:val="clear"/>
            <w:tcMar>
              <w:top w:type="dxa" w:w="60"/>
              <w:left w:type="dxa" w:w="100"/>
              <w:bottom w:type="dxa" w:w="60"/>
              <w:right w:type="dxa" w:w="100"/>
            </w:tcMar>
          </w:tcPr>
          <w:p>
            <w:pPr>
              <w:spacing w:line="250"/>
            </w:pPr>
            <w:r>
              <w:rPr>
                <w:rFonts w:ascii="Calibri" w:cs="Calibri" w:eastAsia="Calibri" w:hAnsi="Calibri"/>
                <w:sz w:val="18"/>
                <w:szCs w:val="18"/>
              </w:rPr>
              <w:t xml:space="preserve">Mantener los algoritmos de respaldo local ya identificados en el análisis previo de la plataforma</w:t>
            </w:r>
          </w:p>
        </w:tc>
      </w:tr>
    </w:tbl>
    <w:p>
      <w:pPr>
        <w:spacing w:after="200"/>
      </w:pPr>
    </w:p>
    <w:p>
      <w:pPr>
        <w:pStyle w:val="Heading1"/>
        <w:pageBreakBefore/>
        <w:spacing w:after="240" w:before="0" w:line="264"/>
      </w:pPr>
      <w:r>
        <w:rPr>
          <w:rFonts w:ascii="Calibri" w:cs="Calibri" w:eastAsia="Calibri" w:hAnsi="Calibri"/>
          <w:b/>
          <w:bCs/>
          <w:color w:val="132A45"/>
          <w:sz w:val="30"/>
          <w:szCs w:val="30"/>
        </w:rPr>
        <w:t xml:space="preserve">16. Conclusión y Próximo Paso Inmediato</w:t>
      </w:r>
    </w:p>
    <w:p>
      <w:pPr>
        <w:spacing w:after="160" w:line="276"/>
        <w:jc w:val="both"/>
      </w:pPr>
      <w:r>
        <w:rPr>
          <w:rFonts w:ascii="Calibri" w:cs="Calibri" w:eastAsia="Calibri" w:hAnsi="Calibri"/>
          <w:color w:val="1A1A1A"/>
          <w:sz w:val="21"/>
          <w:szCs w:val="21"/>
        </w:rPr>
        <w:t xml:space="preserve">Este blueprint no propone construir una plataforma nueva, sino convertir en un sistema coherente de evidencia lo que Fundación Senda Mujer ya construyó, apoyándose en un vacío real y verificado en el ecosistema colombiano de protección a mujeres: la ausencia de un observatorio territorial propio del Caribe, de un índice de protección individual y longitudinal, y de un modelo de certificación institucional, integrados en una sola arquitectura de datos.</w:t>
      </w:r>
    </w:p>
    <w:p>
      <w:pPr>
        <w:spacing w:after="160" w:line="276"/>
        <w:jc w:val="both"/>
      </w:pPr>
      <w:r>
        <w:rPr>
          <w:rFonts w:ascii="Calibri" w:cs="Calibri" w:eastAsia="Calibri" w:hAnsi="Calibri"/>
          <w:color w:val="1A1A1A"/>
          <w:sz w:val="21"/>
          <w:szCs w:val="21"/>
        </w:rPr>
        <w:t xml:space="preserve">El próximo paso recomendado no es técnico, sino metodológico: convocar al equipo de psicología, trabajo social y derecho de la Fundación para validar y ajustar las diez dimensiones del Índice de Protección propuestas en el capítulo 7, antes de escribir una sola línea de código adicional. Un índice mal diseñado, aunque esté bellamente implementado en la plataforma, no producirá evidencia creíble ante cooperantes ni será útil para las propias mujeres acompañadas.</w:t>
      </w:r>
    </w:p>
    <w:p>
      <w:pPr>
        <w:spacing w:after="160" w:line="276"/>
        <w:jc w:val="both"/>
      </w:pPr>
      <w:r>
        <w:rPr>
          <w:rFonts w:ascii="Calibri" w:cs="Calibri" w:eastAsia="Calibri" w:hAnsi="Calibri"/>
          <w:color w:val="1A1A1A"/>
          <w:sz w:val="21"/>
          <w:szCs w:val="21"/>
        </w:rPr>
        <w:t xml:space="preserve">El segundo paso recomendado es encargar la auditoría de seguridad de datos señalada en el capítulo 11, dado que Caribe Seguro solo puede presentarse ante cooperación internacional con un mínimo de evidencia técnica verificable sobre la protección de los datos que administra.</w:t>
      </w:r>
    </w:p>
    <w:p>
      <w:pPr>
        <w:pStyle w:val="Heading1"/>
        <w:pageBreakBefore/>
        <w:spacing w:after="240" w:before="0" w:line="264"/>
      </w:pPr>
      <w:r>
        <w:rPr>
          <w:rFonts w:ascii="Calibri" w:cs="Calibri" w:eastAsia="Calibri" w:hAnsi="Calibri"/>
          <w:b/>
          <w:bCs/>
          <w:color w:val="132A45"/>
          <w:sz w:val="30"/>
          <w:szCs w:val="30"/>
        </w:rPr>
        <w:t xml:space="preserve">Fuentes Consultadas</w:t>
      </w:r>
    </w:p>
    <w:p>
      <w:pPr>
        <w:spacing w:after="160" w:line="276"/>
        <w:jc w:val="both"/>
      </w:pPr>
      <w:r>
        <w:rPr>
          <w:rFonts w:ascii="Calibri" w:cs="Calibri" w:eastAsia="Calibri" w:hAnsi="Calibri"/>
          <w:color w:val="1A1A1A"/>
          <w:sz w:val="21"/>
          <w:szCs w:val="21"/>
        </w:rPr>
        <w:t xml:space="preserve">Esta investigación se apoyó en las siguientes fuentes, consultadas y verificadas durante la elaboración de este documento. Se recomienda a la Fundación verificar la vigencia de cada fuente antes de citarla en materiales dirigidos a cooperantes.</w:t>
      </w:r>
    </w:p>
    <w:p>
      <w:pPr>
        <w:pStyle w:val="ListParagraph"/>
        <w:numPr>
          <w:ilvl w:val="0"/>
          <w:numId w:val="2"/>
        </w:numPr>
        <w:spacing w:after="100" w:line="264"/>
      </w:pPr>
      <w:r>
        <w:rPr>
          <w:rFonts w:ascii="Calibri" w:cs="Calibri" w:eastAsia="Calibri" w:hAnsi="Calibri"/>
          <w:color w:val="1A1A1A"/>
          <w:sz w:val="21"/>
          <w:szCs w:val="21"/>
        </w:rPr>
        <w:t xml:space="preserve">Alcaldía Mayor de Cartagena de Indias. Comunicados sobre la Casa Refugio Violeta (marzo de 2024 a 2025), cartagena.gov.co.</w:t>
      </w:r>
    </w:p>
    <w:p>
      <w:pPr>
        <w:pStyle w:val="ListParagraph"/>
        <w:numPr>
          <w:ilvl w:val="0"/>
          <w:numId w:val="2"/>
        </w:numPr>
        <w:spacing w:after="100" w:line="264"/>
      </w:pPr>
      <w:r>
        <w:rPr>
          <w:rFonts w:ascii="Calibri" w:cs="Calibri" w:eastAsia="Calibri" w:hAnsi="Calibri"/>
          <w:color w:val="1A1A1A"/>
          <w:sz w:val="21"/>
          <w:szCs w:val="21"/>
        </w:rPr>
        <w:t xml:space="preserve">Agencia Presidencial de Cooperación Internacional de Colombia (APC Colombia). Noticias sobre cooperación internacional feminista y la Estrategia Nacional de Cooperación Internacional (ENCI) 2023-2026, apccolombia.gov.co.</w:t>
      </w:r>
    </w:p>
    <w:p>
      <w:pPr>
        <w:pStyle w:val="ListParagraph"/>
        <w:numPr>
          <w:ilvl w:val="0"/>
          <w:numId w:val="2"/>
        </w:numPr>
        <w:spacing w:after="100" w:line="264"/>
      </w:pPr>
      <w:r>
        <w:rPr>
          <w:rFonts w:ascii="Calibri" w:cs="Calibri" w:eastAsia="Calibri" w:hAnsi="Calibri"/>
          <w:color w:val="1A1A1A"/>
          <w:sz w:val="21"/>
          <w:szCs w:val="21"/>
        </w:rPr>
        <w:t xml:space="preserve">Cancillería de Colombia y APC Colombia. Documento sobre el Observatorio de Mujeres, Paz y Seguridad para América Latina y el Caribe, presentado en la Conferencia Regional sobre la Mujer de la CEPAL.</w:t>
      </w:r>
    </w:p>
    <w:p>
      <w:pPr>
        <w:pStyle w:val="ListParagraph"/>
        <w:numPr>
          <w:ilvl w:val="0"/>
          <w:numId w:val="2"/>
        </w:numPr>
        <w:spacing w:after="100" w:line="264"/>
      </w:pPr>
      <w:r>
        <w:rPr>
          <w:rFonts w:ascii="Calibri" w:cs="Calibri" w:eastAsia="Calibri" w:hAnsi="Calibri"/>
          <w:color w:val="1A1A1A"/>
          <w:sz w:val="21"/>
          <w:szCs w:val="21"/>
        </w:rPr>
        <w:t xml:space="preserve">El Espectador. “Así fue el giro feminista de la cooperación internacional colombiana” (2026).</w:t>
      </w:r>
    </w:p>
    <w:p>
      <w:pPr>
        <w:pStyle w:val="ListParagraph"/>
        <w:numPr>
          <w:ilvl w:val="0"/>
          <w:numId w:val="2"/>
        </w:numPr>
        <w:spacing w:after="100" w:line="264"/>
      </w:pPr>
      <w:r>
        <w:rPr>
          <w:rFonts w:ascii="Calibri" w:cs="Calibri" w:eastAsia="Calibri" w:hAnsi="Calibri"/>
          <w:color w:val="1A1A1A"/>
          <w:sz w:val="21"/>
          <w:szCs w:val="21"/>
        </w:rPr>
        <w:t xml:space="preserve">El Tiempo. “Feminicidio de la profesora Beatriz Suárez en Cartagena empaña el día internacional de la eliminación de la violencia contra la mujer” (noviembre de 2025).</w:t>
      </w:r>
    </w:p>
    <w:p>
      <w:pPr>
        <w:pStyle w:val="ListParagraph"/>
        <w:numPr>
          <w:ilvl w:val="0"/>
          <w:numId w:val="2"/>
        </w:numPr>
        <w:spacing w:after="100" w:line="264"/>
      </w:pPr>
      <w:r>
        <w:rPr>
          <w:rFonts w:ascii="Calibri" w:cs="Calibri" w:eastAsia="Calibri" w:hAnsi="Calibri"/>
          <w:color w:val="1A1A1A"/>
          <w:sz w:val="21"/>
          <w:szCs w:val="21"/>
        </w:rPr>
        <w:t xml:space="preserve">Instituto Nacional de Medicina Legal y Ciencias Forenses. Boletines estadísticos mensuales y Observatorio de Violencia contra la Mujer, medicinalegal.gov.co.</w:t>
      </w:r>
    </w:p>
    <w:p>
      <w:pPr>
        <w:pStyle w:val="ListParagraph"/>
        <w:numPr>
          <w:ilvl w:val="0"/>
          <w:numId w:val="2"/>
        </w:numPr>
        <w:spacing w:after="100" w:line="264"/>
      </w:pPr>
      <w:r>
        <w:rPr>
          <w:rFonts w:ascii="Calibri" w:cs="Calibri" w:eastAsia="Calibri" w:hAnsi="Calibri"/>
          <w:color w:val="1A1A1A"/>
          <w:sz w:val="21"/>
          <w:szCs w:val="21"/>
        </w:rPr>
        <w:t xml:space="preserve">Instituto Colombiano de Datos Espaciales (ICDE). Observatorio Colombiano de las Mujeres.</w:t>
      </w:r>
    </w:p>
    <w:p>
      <w:pPr>
        <w:pStyle w:val="ListParagraph"/>
        <w:numPr>
          <w:ilvl w:val="0"/>
          <w:numId w:val="2"/>
        </w:numPr>
        <w:spacing w:after="100" w:line="264"/>
      </w:pPr>
      <w:r>
        <w:rPr>
          <w:rFonts w:ascii="Calibri" w:cs="Calibri" w:eastAsia="Calibri" w:hAnsi="Calibri"/>
          <w:color w:val="1A1A1A"/>
          <w:sz w:val="21"/>
          <w:szCs w:val="21"/>
        </w:rPr>
        <w:t xml:space="preserve">Alcaldía de Medellín — Secretaría de las Mujeres. Sistemas de información u observatorios especializados en mujeres o género (incluye referencia a SIVIGE).</w:t>
      </w:r>
    </w:p>
    <w:p>
      <w:pPr>
        <w:pStyle w:val="ListParagraph"/>
        <w:numPr>
          <w:ilvl w:val="0"/>
          <w:numId w:val="2"/>
        </w:numPr>
        <w:spacing w:after="100" w:line="264"/>
      </w:pPr>
      <w:r>
        <w:rPr>
          <w:rFonts w:ascii="Calibri" w:cs="Calibri" w:eastAsia="Calibri" w:hAnsi="Calibri"/>
          <w:color w:val="1A1A1A"/>
          <w:sz w:val="21"/>
          <w:szCs w:val="21"/>
        </w:rPr>
        <w:t xml:space="preserve">Secretaría Distrital de la Mujer de Bogotá. Observatorio de Mujeres y Equidad de Género (OMEG), boletines de feminicidio y violencias contra las mujeres.</w:t>
      </w:r>
    </w:p>
    <w:p>
      <w:pPr>
        <w:pStyle w:val="ListParagraph"/>
        <w:numPr>
          <w:ilvl w:val="0"/>
          <w:numId w:val="2"/>
        </w:numPr>
        <w:spacing w:after="100" w:line="264"/>
      </w:pPr>
      <w:r>
        <w:rPr>
          <w:rFonts w:ascii="Calibri" w:cs="Calibri" w:eastAsia="Calibri" w:hAnsi="Calibri"/>
          <w:color w:val="1A1A1A"/>
          <w:sz w:val="21"/>
          <w:szCs w:val="21"/>
        </w:rPr>
        <w:t xml:space="preserve">Naciones Unidas — ONU Mujeres, Oficina Regional para las Américas y el Caribe. Guía de prevención y atención: violencia de género facilitada por la tecnología (2025).</w:t>
      </w:r>
    </w:p>
    <w:p>
      <w:pPr>
        <w:pStyle w:val="ListParagraph"/>
        <w:numPr>
          <w:ilvl w:val="0"/>
          <w:numId w:val="2"/>
        </w:numPr>
        <w:spacing w:after="100" w:line="264"/>
      </w:pPr>
      <w:r>
        <w:rPr>
          <w:rFonts w:ascii="Calibri" w:cs="Calibri" w:eastAsia="Calibri" w:hAnsi="Calibri"/>
          <w:color w:val="1A1A1A"/>
          <w:sz w:val="21"/>
          <w:szCs w:val="21"/>
        </w:rPr>
        <w:t xml:space="preserve">ONU Mujeres. Plan Estratégico 2026-2029, unwomen.org.</w:t>
      </w:r>
    </w:p>
    <w:p>
      <w:pPr>
        <w:pStyle w:val="ListParagraph"/>
        <w:numPr>
          <w:ilvl w:val="0"/>
          <w:numId w:val="2"/>
        </w:numPr>
        <w:spacing w:after="100" w:line="264"/>
      </w:pPr>
      <w:r>
        <w:rPr>
          <w:rFonts w:ascii="Calibri" w:cs="Calibri" w:eastAsia="Calibri" w:hAnsi="Calibri"/>
          <w:color w:val="1A1A1A"/>
          <w:sz w:val="21"/>
          <w:szCs w:val="21"/>
        </w:rPr>
        <w:t xml:space="preserve">Red Dot Foundation. Datos de la plataforma Safecity, reddotfoundation.org.</w:t>
      </w:r>
    </w:p>
    <w:p>
      <w:pPr>
        <w:pStyle w:val="ListParagraph"/>
        <w:numPr>
          <w:ilvl w:val="0"/>
          <w:numId w:val="2"/>
        </w:numPr>
        <w:spacing w:after="100" w:line="264"/>
      </w:pPr>
      <w:r>
        <w:rPr>
          <w:rFonts w:ascii="Calibri" w:cs="Calibri" w:eastAsia="Calibri" w:hAnsi="Calibri"/>
          <w:color w:val="1A1A1A"/>
          <w:sz w:val="21"/>
          <w:szCs w:val="21"/>
        </w:rPr>
        <w:t xml:space="preserve">Vodafone Foundation. Información de la aplicación Bright Sky, foundation.vodafone.com.</w:t>
      </w:r>
    </w:p>
    <w:p>
      <w:pPr>
        <w:pStyle w:val="ListParagraph"/>
        <w:numPr>
          <w:ilvl w:val="0"/>
          <w:numId w:val="2"/>
        </w:numPr>
        <w:spacing w:after="100" w:line="264"/>
      </w:pPr>
      <w:r>
        <w:rPr>
          <w:rFonts w:ascii="Calibri" w:cs="Calibri" w:eastAsia="Calibri" w:hAnsi="Calibri"/>
          <w:color w:val="1A1A1A"/>
          <w:sz w:val="21"/>
          <w:szCs w:val="21"/>
        </w:rPr>
        <w:t xml:space="preserve">Fondo de Población de las Naciones Unidas (UNFPA). Evaluación del Gender-Based Violence Information Management System (GBVIMS).</w:t>
      </w:r>
    </w:p>
    <w:p>
      <w:pPr>
        <w:pStyle w:val="ListParagraph"/>
        <w:numPr>
          <w:ilvl w:val="0"/>
          <w:numId w:val="2"/>
        </w:numPr>
        <w:spacing w:after="100" w:line="264"/>
      </w:pPr>
      <w:r>
        <w:rPr>
          <w:rFonts w:ascii="Calibri" w:cs="Calibri" w:eastAsia="Calibri" w:hAnsi="Calibri"/>
          <w:color w:val="1A1A1A"/>
          <w:sz w:val="21"/>
          <w:szCs w:val="21"/>
        </w:rPr>
        <w:t xml:space="preserve">Chayn. Informe de impacto 2023-2024 y sección de investigación, org.chayn.co.</w:t>
      </w:r>
    </w:p>
    <w:p>
      <w:pPr>
        <w:pStyle w:val="ListParagraph"/>
        <w:numPr>
          <w:ilvl w:val="0"/>
          <w:numId w:val="2"/>
        </w:numPr>
        <w:spacing w:after="100" w:line="264"/>
      </w:pPr>
      <w:r>
        <w:rPr>
          <w:rFonts w:ascii="Calibri" w:cs="Calibri" w:eastAsia="Calibri" w:hAnsi="Calibri"/>
          <w:color w:val="1A1A1A"/>
          <w:sz w:val="21"/>
          <w:szCs w:val="21"/>
        </w:rPr>
        <w:t xml:space="preserve">Banco Mundial. “Roadmap for an Integrated Case Management Platform for Survivors of Violence against Women (VAW) in Chile” (2022).</w:t>
      </w:r>
    </w:p>
    <w:p>
      <w:pPr>
        <w:pStyle w:val="ListParagraph"/>
        <w:numPr>
          <w:ilvl w:val="0"/>
          <w:numId w:val="2"/>
        </w:numPr>
        <w:spacing w:after="100" w:line="264"/>
      </w:pPr>
      <w:r>
        <w:rPr>
          <w:rFonts w:ascii="Calibri" w:cs="Calibri" w:eastAsia="Calibri" w:hAnsi="Calibri"/>
          <w:color w:val="1A1A1A"/>
          <w:sz w:val="21"/>
          <w:szCs w:val="21"/>
        </w:rPr>
        <w:t xml:space="preserve">Alcaldía de Barranquilla. Ruta de atención a personas víctimas de violencia basada en género.</w:t>
      </w:r>
    </w:p>
    <w:p>
      <w:pPr>
        <w:pStyle w:val="ListParagraph"/>
        <w:numPr>
          <w:ilvl w:val="0"/>
          <w:numId w:val="2"/>
        </w:numPr>
        <w:spacing w:after="100" w:line="264"/>
      </w:pPr>
      <w:r>
        <w:rPr>
          <w:rFonts w:ascii="Calibri" w:cs="Calibri" w:eastAsia="Calibri" w:hAnsi="Calibri"/>
          <w:color w:val="1A1A1A"/>
          <w:sz w:val="21"/>
          <w:szCs w:val="21"/>
        </w:rPr>
        <w:t xml:space="preserve">Documentos y manual técnico de la propia plataforma de Fundación Senda Mujer, suministrados por la fundadora para efectos de esta investigación.</w:t>
      </w:r>
    </w:p>
    <w:p>
      <w:pPr>
        <w:spacing w:after="160" w:line="276"/>
        <w:jc w:val="both"/>
      </w:pPr>
      <w:r>
        <w:rPr>
          <w:rFonts w:ascii="Calibri" w:cs="Calibri" w:eastAsia="Calibri" w:hAnsi="Calibri"/>
          <w:color w:val="1A1A1A"/>
          <w:sz w:val="21"/>
          <w:szCs w:val="21"/>
        </w:rPr>
        <w:t xml:space="preserve">Este documento se apoya, además, en el proyecto institucional de 85 páginas y en los Estatutos ya elaborados para Fundación Senda Mujer, cuyos capítulos se referencian a lo largo de este blueprint.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8"/>
        <w:szCs w:val="18"/>
      </w:rPr>
      <w:t xml:space="preserve">Página </w:t>
    </w:r>
    <w:r>
      <w:rPr>
        <w:rFonts w:ascii="Calibri" w:cs="Calibri" w:eastAsia="Calibri" w:hAnsi="Calibri"/>
        <w:color w:val="8C8C8C"/>
        <w:sz w:val="18"/>
        <w:szCs w:val="18"/>
      </w:rPr>
      <w:fldChar w:fldCharType="begin"/>
      <w:instrText xml:space="preserve">PAGE</w:instrText>
      <w:fldChar w:fldCharType="separate"/>
      <w:fldChar w:fldCharType="end"/>
    </w:r>
    <w:r>
      <w:rPr>
        <w:rFonts w:ascii="Calibri" w:cs="Calibri" w:eastAsia="Calibri" w:hAnsi="Calibri"/>
        <w:color w:val="8C8C8C"/>
        <w:sz w:val="18"/>
        <w:szCs w:val="18"/>
      </w:rPr>
      <w:t xml:space="preserve"> de </w:t>
    </w:r>
    <w:r>
      <w:rPr>
        <w:rFonts w:ascii="Calibri" w:cs="Calibri" w:eastAsia="Calibri" w:hAnsi="Calibri"/>
        <w:color w:val="8C8C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8C8C"/>
        <w:sz w:val="16"/>
        <w:szCs w:val="16"/>
      </w:rPr>
      <w:t xml:space="preserve">Caribe Seguro — Fundación Senda Mujer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2026-08-31T02:47:34.411Z</dcterms:created>
  <dcterms:modified xsi:type="dcterms:W3CDTF">2026-08-31T02:47:34.412Z</dcterms:modified>
</cp:coreProperties>
</file>

<file path=docProps/custom.xml><?xml version="1.0" encoding="utf-8"?>
<Properties xmlns="http://schemas.openxmlformats.org/officeDocument/2006/custom-properties" xmlns:vt="http://schemas.openxmlformats.org/officeDocument/2006/docPropsVTypes"/>
</file>