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60"/>
        </w:rPr>
        <w:t>MeasureSure</w:t>
      </w:r>
    </w:p>
    <w:p>
      <w:pPr>
        <w:jc w:val="center"/>
      </w:pPr>
      <w:r>
        <w:rPr>
          <w:b/>
          <w:color w:val="1C314C"/>
          <w:sz w:val="26"/>
        </w:rPr>
        <w:t>SIH26036 | Online Verification System for Weighing and Measuring Instruments</w:t>
      </w:r>
    </w:p>
    <w:p>
      <w:pPr>
        <w:jc w:val="center"/>
      </w:pPr>
      <w:r>
        <w:rPr>
          <w:i/>
        </w:rPr>
        <w:t>Project brief and implementation concept | 29 September 2026</w:t>
      </w:r>
    </w:p>
    <w:p>
      <w:r>
        <w:t>MeasureSure is a secure, role-based digital portal that helps citizens, businesses, and Legal Metrology inspectors register, verify, monitor, and renew weighing and measuring instruments. The product is designed around a simple public promise: every measurement should be traceable to a current, trusted verification record.</w:t>
      </w:r>
    </w:p>
    <w:p>
      <w:pPr>
        <w:pStyle w:val="Heading1"/>
        <w:spacing w:before="320" w:after="120"/>
      </w:pPr>
      <w:r>
        <w:rPr>
          <w:rFonts w:ascii="Aptos Display" w:hAnsi="Aptos Display"/>
          <w:color w:val="1C3C62"/>
        </w:rPr>
        <w:t>1. Problem statement</w:t>
      </w:r>
    </w:p>
    <w:p>
      <w:r>
        <w:t>Verification records are often spread across paper certificates, local registers, and disconnected spreadsheets. This makes it difficult to confirm whether an instrument is valid at the point of use, creates avoidable work for inspectors, and increases the risk of expired or tampered certificates being accepted.</w:t>
      </w:r>
    </w:p>
    <w:p>
      <w:pPr>
        <w:pStyle w:val="Heading1"/>
        <w:spacing w:before="320" w:after="120"/>
      </w:pPr>
      <w:r>
        <w:rPr>
          <w:rFonts w:ascii="Aptos Display" w:hAnsi="Aptos Display"/>
          <w:color w:val="1C3C62"/>
        </w:rPr>
        <w:t>2. Proposed solution</w:t>
      </w:r>
    </w:p>
    <w:p>
      <w:r>
        <w:t>MeasureSure creates one digital record per instrument. Each record carries a unique certificate ID, owner and location details, instrument type, verification history, renewal date, and a digitally signed status. The public search experience is intentionally lightweight: a user can search by certificate number, serial number, or owner name and immediately see whether the instrument is valid, due soon, or pending review.</w:t>
      </w:r>
    </w:p>
    <w:p>
      <w:pPr>
        <w:pStyle w:val="Heading1"/>
        <w:spacing w:before="320" w:after="120"/>
      </w:pPr>
      <w:r>
        <w:rPr>
          <w:rFonts w:ascii="Aptos Display" w:hAnsi="Aptos Display"/>
          <w:color w:val="1C3C62"/>
        </w:rPr>
        <w:t>3. Primary users and journeys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C4775"/>
          </w:tcPr>
          <w:p>
            <w:r/>
            <w:r>
              <w:rPr>
                <w:rFonts w:ascii="Aptos" w:hAnsi="Aptos"/>
                <w:b/>
                <w:color w:val="FFFFFF"/>
                <w:sz w:val="18"/>
              </w:rPr>
              <w:t>User</w:t>
            </w:r>
          </w:p>
        </w:tc>
        <w:tc>
          <w:tcPr>
            <w:tcW w:type="dxa" w:w="3389"/>
            <w:vAlign w:val="center"/>
            <w:shd w:fill="1C4775"/>
          </w:tcPr>
          <w:p>
            <w:r/>
            <w:r>
              <w:rPr>
                <w:rFonts w:ascii="Aptos" w:hAnsi="Aptos"/>
                <w:b/>
                <w:color w:val="FFFFFF"/>
                <w:sz w:val="18"/>
              </w:rPr>
              <w:t>Primary journey</w:t>
            </w:r>
          </w:p>
        </w:tc>
        <w:tc>
          <w:tcPr>
            <w:tcW w:type="dxa" w:w="3389"/>
            <w:vAlign w:val="center"/>
            <w:shd w:fill="1C4775"/>
          </w:tcPr>
          <w:p>
            <w:r/>
            <w:r>
              <w:rPr>
                <w:rFonts w:ascii="Aptos" w:hAnsi="Aptos"/>
                <w:b/>
                <w:color w:val="FFFFFF"/>
                <w:sz w:val="18"/>
              </w:rPr>
              <w:t>Outcome</w:t>
            </w:r>
          </w:p>
        </w:tc>
      </w:tr>
      <w:tr>
        <w:tc>
          <w:tcPr>
            <w:tcW w:type="dxa" w:w="3389"/>
            <w:vAlign w:val="center"/>
          </w:tcPr>
          <w:p>
            <w:r/>
            <w:r>
              <w:rPr>
                <w:rFonts w:ascii="Aptos" w:hAnsi="Aptos"/>
                <w:b w:val="0"/>
                <w:color w:val="17202B"/>
                <w:sz w:val="18"/>
              </w:rPr>
              <w:t>Citizen / buyer</w:t>
            </w:r>
          </w:p>
        </w:tc>
        <w:tc>
          <w:tcPr>
            <w:tcW w:type="dxa" w:w="3389"/>
            <w:vAlign w:val="center"/>
          </w:tcPr>
          <w:p>
            <w:r/>
            <w:r>
              <w:rPr>
                <w:rFonts w:ascii="Aptos" w:hAnsi="Aptos"/>
                <w:b w:val="0"/>
                <w:color w:val="17202B"/>
                <w:sz w:val="18"/>
              </w:rPr>
              <w:t>Search certificate before purchase or transaction</w:t>
            </w:r>
          </w:p>
        </w:tc>
        <w:tc>
          <w:tcPr>
            <w:tcW w:type="dxa" w:w="3389"/>
            <w:vAlign w:val="center"/>
          </w:tcPr>
          <w:p>
            <w:r/>
            <w:r>
              <w:rPr>
                <w:rFonts w:ascii="Aptos" w:hAnsi="Aptos"/>
                <w:b w:val="0"/>
                <w:color w:val="17202B"/>
                <w:sz w:val="18"/>
              </w:rPr>
              <w:t>Quick confidence in the reading</w:t>
            </w:r>
          </w:p>
        </w:tc>
      </w:tr>
      <w:tr>
        <w:tc>
          <w:tcPr>
            <w:tcW w:type="dxa" w:w="3389"/>
            <w:vAlign w:val="center"/>
          </w:tcPr>
          <w:p>
            <w:r/>
            <w:r>
              <w:rPr>
                <w:rFonts w:ascii="Aptos" w:hAnsi="Aptos"/>
                <w:b w:val="0"/>
                <w:color w:val="17202B"/>
                <w:sz w:val="18"/>
              </w:rPr>
              <w:t>Business owner</w:t>
            </w:r>
          </w:p>
        </w:tc>
        <w:tc>
          <w:tcPr>
            <w:tcW w:type="dxa" w:w="3389"/>
            <w:vAlign w:val="center"/>
          </w:tcPr>
          <w:p>
            <w:r/>
            <w:r>
              <w:rPr>
                <w:rFonts w:ascii="Aptos" w:hAnsi="Aptos"/>
                <w:b w:val="0"/>
                <w:color w:val="17202B"/>
                <w:sz w:val="18"/>
              </w:rPr>
              <w:t>Register instrument and track renewal due dates</w:t>
            </w:r>
          </w:p>
        </w:tc>
        <w:tc>
          <w:tcPr>
            <w:tcW w:type="dxa" w:w="3389"/>
            <w:vAlign w:val="center"/>
          </w:tcPr>
          <w:p>
            <w:r/>
            <w:r>
              <w:rPr>
                <w:rFonts w:ascii="Aptos" w:hAnsi="Aptos"/>
                <w:b w:val="0"/>
                <w:color w:val="17202B"/>
                <w:sz w:val="18"/>
              </w:rPr>
              <w:t>Fewer missed renewals</w:t>
            </w:r>
          </w:p>
        </w:tc>
      </w:tr>
      <w:tr>
        <w:tc>
          <w:tcPr>
            <w:tcW w:type="dxa" w:w="3389"/>
            <w:vAlign w:val="center"/>
          </w:tcPr>
          <w:p>
            <w:r/>
            <w:r>
              <w:rPr>
                <w:rFonts w:ascii="Aptos" w:hAnsi="Aptos"/>
                <w:b w:val="0"/>
                <w:color w:val="17202B"/>
                <w:sz w:val="18"/>
              </w:rPr>
              <w:t>Inspector</w:t>
            </w:r>
          </w:p>
        </w:tc>
        <w:tc>
          <w:tcPr>
            <w:tcW w:type="dxa" w:w="3389"/>
            <w:vAlign w:val="center"/>
          </w:tcPr>
          <w:p>
            <w:r/>
            <w:r>
              <w:rPr>
                <w:rFonts w:ascii="Aptos" w:hAnsi="Aptos"/>
                <w:b w:val="0"/>
                <w:color w:val="17202B"/>
                <w:sz w:val="18"/>
              </w:rPr>
              <w:t>Review queue, verify on site, issue certificate</w:t>
            </w:r>
          </w:p>
        </w:tc>
        <w:tc>
          <w:tcPr>
            <w:tcW w:type="dxa" w:w="3389"/>
            <w:vAlign w:val="center"/>
          </w:tcPr>
          <w:p>
            <w:r/>
            <w:r>
              <w:rPr>
                <w:rFonts w:ascii="Aptos" w:hAnsi="Aptos"/>
                <w:b w:val="0"/>
                <w:color w:val="17202B"/>
                <w:sz w:val="18"/>
              </w:rPr>
              <w:t>Faster, auditable field work</w:t>
            </w:r>
          </w:p>
        </w:tc>
      </w:tr>
      <w:tr>
        <w:tc>
          <w:tcPr>
            <w:tcW w:type="dxa" w:w="3389"/>
            <w:vAlign w:val="center"/>
          </w:tcPr>
          <w:p>
            <w:r/>
            <w:r>
              <w:rPr>
                <w:rFonts w:ascii="Aptos" w:hAnsi="Aptos"/>
                <w:b w:val="0"/>
                <w:color w:val="17202B"/>
                <w:sz w:val="18"/>
              </w:rPr>
              <w:t>Department admin</w:t>
            </w:r>
          </w:p>
        </w:tc>
        <w:tc>
          <w:tcPr>
            <w:tcW w:type="dxa" w:w="3389"/>
            <w:vAlign w:val="center"/>
          </w:tcPr>
          <w:p>
            <w:r/>
            <w:r>
              <w:rPr>
                <w:rFonts w:ascii="Aptos" w:hAnsi="Aptos"/>
                <w:b w:val="0"/>
                <w:color w:val="17202B"/>
                <w:sz w:val="18"/>
              </w:rPr>
              <w:t>Monitor district activity and exceptions</w:t>
            </w:r>
          </w:p>
        </w:tc>
        <w:tc>
          <w:tcPr>
            <w:tcW w:type="dxa" w:w="3389"/>
            <w:vAlign w:val="center"/>
          </w:tcPr>
          <w:p>
            <w:r/>
            <w:r>
              <w:rPr>
                <w:rFonts w:ascii="Aptos" w:hAnsi="Aptos"/>
                <w:b w:val="0"/>
                <w:color w:val="17202B"/>
                <w:sz w:val="18"/>
              </w:rPr>
              <w:t>Clear operational visibility</w:t>
            </w:r>
          </w:p>
        </w:tc>
      </w:tr>
    </w:tbl>
    <w:p>
      <w:pPr>
        <w:pStyle w:val="Heading1"/>
        <w:spacing w:before="320" w:after="120"/>
      </w:pPr>
      <w:r>
        <w:rPr>
          <w:rFonts w:ascii="Aptos Display" w:hAnsi="Aptos Display"/>
          <w:color w:val="1C3C62"/>
        </w:rPr>
        <w:t>4. Product scope</w:t>
      </w:r>
    </w:p>
    <w:p>
      <w:pPr>
        <w:pStyle w:val="ListBullet"/>
        <w:spacing w:after="60"/>
      </w:pPr>
      <w:r>
        <w:t>Public verification search with certificate, serial, and owner lookup.</w:t>
      </w:r>
    </w:p>
    <w:p>
      <w:pPr>
        <w:pStyle w:val="ListBullet"/>
        <w:spacing w:after="60"/>
      </w:pPr>
      <w:r>
        <w:t>Instrument registration with owner, location, type, and supporting evidence.</w:t>
      </w:r>
    </w:p>
    <w:p>
      <w:pPr>
        <w:pStyle w:val="ListBullet"/>
        <w:spacing w:after="60"/>
      </w:pPr>
      <w:r>
        <w:t>Inspector workspace with inspection queue, verification actions, and certificate issuance.</w:t>
      </w:r>
    </w:p>
    <w:p>
      <w:pPr>
        <w:pStyle w:val="ListBullet"/>
        <w:spacing w:after="60"/>
      </w:pPr>
      <w:r>
        <w:t>Certificate repository with status, audit trail, renewal dates, and downloadable records.</w:t>
      </w:r>
    </w:p>
    <w:p>
      <w:pPr>
        <w:pStyle w:val="ListBullet"/>
        <w:spacing w:after="60"/>
      </w:pPr>
      <w:r>
        <w:t>Dashboard metrics for registered, verified, due-soon, and pending instruments.</w:t>
      </w:r>
    </w:p>
    <w:p>
      <w:pPr>
        <w:pStyle w:val="ListBullet"/>
        <w:spacing w:after="60"/>
      </w:pPr>
      <w:r>
        <w:t>Tamper-evident digital signatures and role-based access control.</w:t>
      </w:r>
    </w:p>
    <w:p>
      <w:pPr>
        <w:pStyle w:val="Heading1"/>
        <w:spacing w:before="320" w:after="120"/>
      </w:pPr>
      <w:r>
        <w:rPr>
          <w:rFonts w:ascii="Aptos Display" w:hAnsi="Aptos Display"/>
          <w:color w:val="1C3C62"/>
        </w:rPr>
        <w:t>5. Prototype interface</w:t>
      </w:r>
    </w:p>
    <w:p>
      <w:r>
        <w:t>The delivered website prototype uses a calm government-service visual language: a clear left navigation, a public verification panel, a compact operational dashboard, and a recent-records table. The main interaction is live in the browser: type a certificate or owner query to filter the record set, use the navigation to change workspace context, or trigger registration and record actions.</w:t>
      </w:r>
    </w:p>
    <w:p>
      <w:pPr>
        <w:pStyle w:val="Heading1"/>
        <w:spacing w:before="320" w:after="120"/>
      </w:pPr>
      <w:r>
        <w:rPr>
          <w:rFonts w:ascii="Aptos Display" w:hAnsi="Aptos Display"/>
          <w:color w:val="1C3C62"/>
        </w:rPr>
        <w:t>6. Suggested technical architecture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C4775"/>
          </w:tcPr>
          <w:p>
            <w:r/>
            <w:r>
              <w:rPr>
                <w:rFonts w:ascii="Aptos" w:hAnsi="Aptos"/>
                <w:b/>
                <w:color w:val="FFFFFF"/>
                <w:sz w:val="18"/>
              </w:rPr>
              <w:t>Layer</w:t>
            </w:r>
          </w:p>
        </w:tc>
        <w:tc>
          <w:tcPr>
            <w:tcW w:type="dxa" w:w="5083"/>
            <w:vAlign w:val="center"/>
            <w:shd w:fill="1C4775"/>
          </w:tcPr>
          <w:p>
            <w:r/>
            <w:r>
              <w:rPr>
                <w:rFonts w:ascii="Aptos" w:hAnsi="Aptos"/>
                <w:b/>
                <w:color w:val="FFFFFF"/>
                <w:sz w:val="18"/>
              </w:rPr>
              <w:t>Recommended implementation</w:t>
            </w:r>
          </w:p>
        </w:tc>
      </w:tr>
      <w:tr>
        <w:tc>
          <w:tcPr>
            <w:tcW w:type="dxa" w:w="5083"/>
            <w:vAlign w:val="center"/>
          </w:tcPr>
          <w:p>
            <w:r/>
            <w:r>
              <w:rPr>
                <w:rFonts w:ascii="Aptos" w:hAnsi="Aptos"/>
                <w:b w:val="0"/>
                <w:color w:val="17202B"/>
                <w:sz w:val="18"/>
              </w:rPr>
              <w:t>Frontend</w:t>
            </w:r>
          </w:p>
        </w:tc>
        <w:tc>
          <w:tcPr>
            <w:tcW w:type="dxa" w:w="5083"/>
            <w:vAlign w:val="center"/>
          </w:tcPr>
          <w:p>
            <w:r/>
            <w:r>
              <w:rPr>
                <w:rFonts w:ascii="Aptos" w:hAnsi="Aptos"/>
                <w:b w:val="0"/>
                <w:color w:val="17202B"/>
                <w:sz w:val="18"/>
              </w:rPr>
              <w:t>Next.js App Router, responsive React components, accessible form controls</w:t>
            </w:r>
          </w:p>
        </w:tc>
      </w:tr>
      <w:tr>
        <w:tc>
          <w:tcPr>
            <w:tcW w:type="dxa" w:w="5083"/>
            <w:vAlign w:val="center"/>
          </w:tcPr>
          <w:p>
            <w:r/>
            <w:r>
              <w:rPr>
                <w:rFonts w:ascii="Aptos" w:hAnsi="Aptos"/>
                <w:b w:val="0"/>
                <w:color w:val="17202B"/>
                <w:sz w:val="18"/>
              </w:rPr>
              <w:t>API</w:t>
            </w:r>
          </w:p>
        </w:tc>
        <w:tc>
          <w:tcPr>
            <w:tcW w:type="dxa" w:w="5083"/>
            <w:vAlign w:val="center"/>
          </w:tcPr>
          <w:p>
            <w:r/>
            <w:r>
              <w:rPr>
                <w:rFonts w:ascii="Aptos" w:hAnsi="Aptos"/>
                <w:b w:val="0"/>
                <w:color w:val="17202B"/>
                <w:sz w:val="18"/>
              </w:rPr>
              <w:t>REST or typed RPC endpoints for registration, lookup, verification, and renewal</w:t>
            </w:r>
          </w:p>
        </w:tc>
      </w:tr>
      <w:tr>
        <w:tc>
          <w:tcPr>
            <w:tcW w:type="dxa" w:w="5083"/>
            <w:vAlign w:val="center"/>
          </w:tcPr>
          <w:p>
            <w:r/>
            <w:r>
              <w:rPr>
                <w:rFonts w:ascii="Aptos" w:hAnsi="Aptos"/>
                <w:b w:val="0"/>
                <w:color w:val="17202B"/>
                <w:sz w:val="18"/>
              </w:rPr>
              <w:t>Data</w:t>
            </w:r>
          </w:p>
        </w:tc>
        <w:tc>
          <w:tcPr>
            <w:tcW w:type="dxa" w:w="5083"/>
            <w:vAlign w:val="center"/>
          </w:tcPr>
          <w:p>
            <w:r/>
            <w:r>
              <w:rPr>
                <w:rFonts w:ascii="Aptos" w:hAnsi="Aptos"/>
                <w:b w:val="0"/>
                <w:color w:val="17202B"/>
                <w:sz w:val="18"/>
              </w:rPr>
              <w:t>PostgreSQL with instrument, owner, certificate, inspection, and audit tables</w:t>
            </w:r>
          </w:p>
        </w:tc>
      </w:tr>
      <w:tr>
        <w:tc>
          <w:tcPr>
            <w:tcW w:type="dxa" w:w="5083"/>
            <w:vAlign w:val="center"/>
          </w:tcPr>
          <w:p>
            <w:r/>
            <w:r>
              <w:rPr>
                <w:rFonts w:ascii="Aptos" w:hAnsi="Aptos"/>
                <w:b w:val="0"/>
                <w:color w:val="17202B"/>
                <w:sz w:val="18"/>
              </w:rPr>
              <w:t>Security</w:t>
            </w:r>
          </w:p>
        </w:tc>
        <w:tc>
          <w:tcPr>
            <w:tcW w:type="dxa" w:w="5083"/>
            <w:vAlign w:val="center"/>
          </w:tcPr>
          <w:p>
            <w:r/>
            <w:r>
              <w:rPr>
                <w:rFonts w:ascii="Aptos" w:hAnsi="Aptos"/>
                <w:b w:val="0"/>
                <w:color w:val="17202B"/>
                <w:sz w:val="18"/>
              </w:rPr>
              <w:t>Role-based auth, signed certificate payloads, encrypted storage, immutable audit events</w:t>
            </w:r>
          </w:p>
        </w:tc>
      </w:tr>
      <w:tr>
        <w:tc>
          <w:tcPr>
            <w:tcW w:type="dxa" w:w="5083"/>
            <w:vAlign w:val="center"/>
          </w:tcPr>
          <w:p>
            <w:r/>
            <w:r>
              <w:rPr>
                <w:rFonts w:ascii="Aptos" w:hAnsi="Aptos"/>
                <w:b w:val="0"/>
                <w:color w:val="17202B"/>
                <w:sz w:val="18"/>
              </w:rPr>
              <w:t>Deployment</w:t>
            </w:r>
          </w:p>
        </w:tc>
        <w:tc>
          <w:tcPr>
            <w:tcW w:type="dxa" w:w="5083"/>
            <w:vAlign w:val="center"/>
          </w:tcPr>
          <w:p>
            <w:r/>
            <w:r>
              <w:rPr>
                <w:rFonts w:ascii="Aptos" w:hAnsi="Aptos"/>
                <w:b w:val="0"/>
                <w:color w:val="17202B"/>
                <w:sz w:val="18"/>
              </w:rPr>
              <w:t>Managed web hosting with separate staging and production environments</w:t>
            </w:r>
          </w:p>
        </w:tc>
      </w:tr>
    </w:tbl>
    <w:p>
      <w:pPr>
        <w:pStyle w:val="Heading1"/>
        <w:spacing w:before="320" w:after="120"/>
      </w:pPr>
      <w:r>
        <w:rPr>
          <w:rFonts w:ascii="Aptos Display" w:hAnsi="Aptos Display"/>
          <w:color w:val="1C3C62"/>
        </w:rPr>
        <w:t>7. Success measures</w:t>
      </w:r>
    </w:p>
    <w:p>
      <w:pPr>
        <w:pStyle w:val="ListBullet"/>
        <w:spacing w:after="60"/>
      </w:pPr>
      <w:r>
        <w:t>Public verification completed in under 30 seconds for a known certificate.</w:t>
      </w:r>
    </w:p>
    <w:p>
      <w:pPr>
        <w:pStyle w:val="ListBullet"/>
        <w:spacing w:after="60"/>
      </w:pPr>
      <w:r>
        <w:t>At least 95% of issued certificates discoverable through the public search.</w:t>
      </w:r>
    </w:p>
    <w:p>
      <w:pPr>
        <w:pStyle w:val="ListBullet"/>
        <w:spacing w:after="60"/>
      </w:pPr>
      <w:r>
        <w:t>Renewal reminders sent before an instrument enters the due-soon window.</w:t>
      </w:r>
    </w:p>
    <w:p>
      <w:pPr>
        <w:pStyle w:val="ListBullet"/>
        <w:spacing w:after="60"/>
      </w:pPr>
      <w:r>
        <w:t>Every status change attributable to a user, timestamp, and inspection event.</w:t>
      </w:r>
    </w:p>
    <w:p>
      <w:pPr>
        <w:pStyle w:val="ListBullet"/>
        <w:spacing w:after="60"/>
      </w:pPr>
      <w:r>
        <w:t>Reduced manual reconciliation between field inspections and department registers.</w:t>
      </w:r>
    </w:p>
    <w:p>
      <w:pPr>
        <w:pStyle w:val="Heading1"/>
        <w:spacing w:before="320" w:after="120"/>
      </w:pPr>
      <w:r>
        <w:rPr>
          <w:rFonts w:ascii="Aptos Display" w:hAnsi="Aptos Display"/>
          <w:color w:val="1C3C62"/>
        </w:rPr>
        <w:t>8. Delivery roadmap</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C4775"/>
          </w:tcPr>
          <w:p>
            <w:r/>
            <w:r>
              <w:rPr>
                <w:rFonts w:ascii="Aptos" w:hAnsi="Aptos"/>
                <w:b/>
                <w:color w:val="FFFFFF"/>
                <w:sz w:val="18"/>
              </w:rPr>
              <w:t>Phase</w:t>
            </w:r>
          </w:p>
        </w:tc>
        <w:tc>
          <w:tcPr>
            <w:tcW w:type="dxa" w:w="5083"/>
            <w:vAlign w:val="center"/>
            <w:shd w:fill="1C4775"/>
          </w:tcPr>
          <w:p>
            <w:r/>
            <w:r>
              <w:rPr>
                <w:rFonts w:ascii="Aptos" w:hAnsi="Aptos"/>
                <w:b/>
                <w:color w:val="FFFFFF"/>
                <w:sz w:val="18"/>
              </w:rPr>
              <w:t>Deliverable</w:t>
            </w:r>
          </w:p>
        </w:tc>
      </w:tr>
      <w:tr>
        <w:tc>
          <w:tcPr>
            <w:tcW w:type="dxa" w:w="5083"/>
            <w:vAlign w:val="center"/>
          </w:tcPr>
          <w:p>
            <w:r/>
            <w:r>
              <w:rPr>
                <w:rFonts w:ascii="Aptos" w:hAnsi="Aptos"/>
                <w:b w:val="0"/>
                <w:color w:val="17202B"/>
                <w:sz w:val="18"/>
              </w:rPr>
              <w:t>1. Foundation</w:t>
            </w:r>
          </w:p>
        </w:tc>
        <w:tc>
          <w:tcPr>
            <w:tcW w:type="dxa" w:w="5083"/>
            <w:vAlign w:val="center"/>
          </w:tcPr>
          <w:p>
            <w:r/>
            <w:r>
              <w:rPr>
                <w:rFonts w:ascii="Aptos" w:hAnsi="Aptos"/>
                <w:b w:val="0"/>
                <w:color w:val="17202B"/>
                <w:sz w:val="18"/>
              </w:rPr>
              <w:t>Data model, authentication, roles, certificate ID scheme</w:t>
            </w:r>
          </w:p>
        </w:tc>
      </w:tr>
      <w:tr>
        <w:tc>
          <w:tcPr>
            <w:tcW w:type="dxa" w:w="5083"/>
            <w:vAlign w:val="center"/>
          </w:tcPr>
          <w:p>
            <w:r/>
            <w:r>
              <w:rPr>
                <w:rFonts w:ascii="Aptos" w:hAnsi="Aptos"/>
                <w:b w:val="0"/>
                <w:color w:val="17202B"/>
                <w:sz w:val="18"/>
              </w:rPr>
              <w:t>2. Core portal</w:t>
            </w:r>
          </w:p>
        </w:tc>
        <w:tc>
          <w:tcPr>
            <w:tcW w:type="dxa" w:w="5083"/>
            <w:vAlign w:val="center"/>
          </w:tcPr>
          <w:p>
            <w:r/>
            <w:r>
              <w:rPr>
                <w:rFonts w:ascii="Aptos" w:hAnsi="Aptos"/>
                <w:b w:val="0"/>
                <w:color w:val="17202B"/>
                <w:sz w:val="18"/>
              </w:rPr>
              <w:t>Registration, public lookup, certificate view, inspector queue</w:t>
            </w:r>
          </w:p>
        </w:tc>
      </w:tr>
      <w:tr>
        <w:tc>
          <w:tcPr>
            <w:tcW w:type="dxa" w:w="5083"/>
            <w:vAlign w:val="center"/>
          </w:tcPr>
          <w:p>
            <w:r/>
            <w:r>
              <w:rPr>
                <w:rFonts w:ascii="Aptos" w:hAnsi="Aptos"/>
                <w:b w:val="0"/>
                <w:color w:val="17202B"/>
                <w:sz w:val="18"/>
              </w:rPr>
              <w:t>3. Trust layer</w:t>
            </w:r>
          </w:p>
        </w:tc>
        <w:tc>
          <w:tcPr>
            <w:tcW w:type="dxa" w:w="5083"/>
            <w:vAlign w:val="center"/>
          </w:tcPr>
          <w:p>
            <w:r/>
            <w:r>
              <w:rPr>
                <w:rFonts w:ascii="Aptos" w:hAnsi="Aptos"/>
                <w:b w:val="0"/>
                <w:color w:val="17202B"/>
                <w:sz w:val="18"/>
              </w:rPr>
              <w:t>Digital signatures, audit log, QR-ready certificate verification</w:t>
            </w:r>
          </w:p>
        </w:tc>
      </w:tr>
      <w:tr>
        <w:tc>
          <w:tcPr>
            <w:tcW w:type="dxa" w:w="5083"/>
            <w:vAlign w:val="center"/>
          </w:tcPr>
          <w:p>
            <w:r/>
            <w:r>
              <w:rPr>
                <w:rFonts w:ascii="Aptos" w:hAnsi="Aptos"/>
                <w:b w:val="0"/>
                <w:color w:val="17202B"/>
                <w:sz w:val="18"/>
              </w:rPr>
              <w:t>4. Pilot</w:t>
            </w:r>
          </w:p>
        </w:tc>
        <w:tc>
          <w:tcPr>
            <w:tcW w:type="dxa" w:w="5083"/>
            <w:vAlign w:val="center"/>
          </w:tcPr>
          <w:p>
            <w:r/>
            <w:r>
              <w:rPr>
                <w:rFonts w:ascii="Aptos" w:hAnsi="Aptos"/>
                <w:b w:val="0"/>
                <w:color w:val="17202B"/>
                <w:sz w:val="18"/>
              </w:rPr>
              <w:t>One district rollout, field feedback, accessibility and security review</w:t>
            </w:r>
          </w:p>
        </w:tc>
      </w:tr>
      <w:tr>
        <w:tc>
          <w:tcPr>
            <w:tcW w:type="dxa" w:w="5083"/>
            <w:vAlign w:val="center"/>
          </w:tcPr>
          <w:p>
            <w:r/>
            <w:r>
              <w:rPr>
                <w:rFonts w:ascii="Aptos" w:hAnsi="Aptos"/>
                <w:b w:val="0"/>
                <w:color w:val="17202B"/>
                <w:sz w:val="18"/>
              </w:rPr>
              <w:t>5. Scale</w:t>
            </w:r>
          </w:p>
        </w:tc>
        <w:tc>
          <w:tcPr>
            <w:tcW w:type="dxa" w:w="5083"/>
            <w:vAlign w:val="center"/>
          </w:tcPr>
          <w:p>
            <w:r/>
            <w:r>
              <w:rPr>
                <w:rFonts w:ascii="Aptos" w:hAnsi="Aptos"/>
                <w:b w:val="0"/>
                <w:color w:val="17202B"/>
                <w:sz w:val="18"/>
              </w:rPr>
              <w:t>District onboarding, analytics, renewal notifications, integrations</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MeasureSure | SIH26036 | Prototype project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4D5B6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