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F5D8F" w14:textId="67FE22A8" w:rsidR="009D47B1" w:rsidRDefault="00422A5B">
      <w:r>
        <w:t>This is a test of auto generating</w:t>
      </w:r>
      <w:r w:rsidR="009D47B1">
        <w:t xml:space="preserve"> webpages</w:t>
      </w:r>
    </w:p>
    <w:p w14:paraId="1B848477" w14:textId="45DA7F41" w:rsidR="009D47B1" w:rsidRDefault="009D47B1"/>
    <w:p w14:paraId="35D72845" w14:textId="77777777" w:rsidR="009D47B1" w:rsidRDefault="009D47B1" w:rsidP="009D47B1">
      <w:r>
        <w:t>1.</w:t>
      </w:r>
    </w:p>
    <w:p w14:paraId="1A30BA08" w14:textId="77777777" w:rsidR="009D47B1" w:rsidRDefault="009D47B1" w:rsidP="009D47B1">
      <w:r>
        <w:t>M. L. v. Porcupine Health Unit, 2006 CanLII 79548 (ON HSARB)</w:t>
      </w:r>
    </w:p>
    <w:p w14:paraId="5A5D8C03" w14:textId="77777777" w:rsidR="009D47B1" w:rsidRDefault="009D47B1" w:rsidP="009D47B1">
      <w:r>
        <w:t>2006-09-29  |  17 pages</w:t>
      </w:r>
    </w:p>
    <w:p w14:paraId="51D13764" w14:textId="77777777" w:rsidR="009D47B1" w:rsidRDefault="009D47B1" w:rsidP="009D47B1">
      <w:r>
        <w:t>tuberculosis — isolation — presented by the communicable disease — mask — skin test</w:t>
      </w:r>
    </w:p>
    <w:p w14:paraId="6246CB2C" w14:textId="77777777" w:rsidR="009D47B1" w:rsidRDefault="009D47B1" w:rsidP="009D47B1">
      <w:r>
        <w:t>[…]   This is a hearing to review an Order made by the Medical Officer of Health for the Porcupine Health Unit, pursuant to section 22 of the Health Protection and Promotion Act, R.S.O.1990, c. H.7 , as amended, to confine the Appellant in hospital until she is no longer contagious for pulmonary tuberculosis.   […]   The Order was issued pursuant to section 22 of the Health Protection and Promotion Act (“HPPA ”).   […]   The issue in this hearing is whether the MOH met the conditions precedent to issuing the Order, as set out in subsection 22(2) of the HPPA .   […]</w:t>
      </w:r>
    </w:p>
    <w:p w14:paraId="50ED3AA3" w14:textId="77777777" w:rsidR="009D47B1" w:rsidRDefault="009D47B1" w:rsidP="009D47B1"/>
    <w:p w14:paraId="37EF6F62" w14:textId="77777777" w:rsidR="009D47B1" w:rsidRDefault="009D47B1" w:rsidP="009D47B1">
      <w:r>
        <w:t>- order that female with TB stay at hospital</w:t>
      </w:r>
    </w:p>
    <w:p w14:paraId="7790D937" w14:textId="77777777" w:rsidR="009D47B1" w:rsidRDefault="009D47B1" w:rsidP="009D47B1">
      <w:r>
        <w:t>- upheld. patient had not followed guidelines.</w:t>
      </w:r>
    </w:p>
    <w:p w14:paraId="0AEA124A" w14:textId="77777777" w:rsidR="009D47B1" w:rsidRDefault="009D47B1" w:rsidP="009D47B1">
      <w:r>
        <w:t xml:space="preserve">- </w:t>
      </w:r>
    </w:p>
    <w:p w14:paraId="50CC455F" w14:textId="77777777" w:rsidR="009D47B1" w:rsidRDefault="009D47B1" w:rsidP="009D47B1">
      <w:r>
        <w:t xml:space="preserve"> </w:t>
      </w:r>
    </w:p>
    <w:p w14:paraId="478E38F5" w14:textId="77777777" w:rsidR="009D47B1" w:rsidRDefault="009D47B1" w:rsidP="009D47B1">
      <w:r>
        <w:t>2.</w:t>
      </w:r>
    </w:p>
    <w:p w14:paraId="362BFAFA" w14:textId="77777777" w:rsidR="009D47B1" w:rsidRDefault="009D47B1" w:rsidP="009D47B1">
      <w:r>
        <w:t>LL v. Huron County Health Unit, 2004 CanLII 69800 (ON HSARB)</w:t>
      </w:r>
    </w:p>
    <w:p w14:paraId="504818D8" w14:textId="77777777" w:rsidR="009D47B1" w:rsidRDefault="009D47B1" w:rsidP="009D47B1">
      <w:r>
        <w:t>2004-09-14  |  5 pages  |  cited by 2 documents</w:t>
      </w:r>
    </w:p>
    <w:p w14:paraId="78EDF001" w14:textId="77777777" w:rsidR="009D47B1" w:rsidRDefault="009D47B1" w:rsidP="009D47B1">
      <w:r>
        <w:t>influenza outbreak — moot — pre-hearing conference — mootness — discretion to hear</w:t>
      </w:r>
    </w:p>
    <w:p w14:paraId="5B1D58E3" w14:textId="77777777" w:rsidR="009D47B1" w:rsidRDefault="009D47B1" w:rsidP="009D47B1">
      <w:r>
        <w:t>[…]   The Appellant is appealing the Order on the grounds that it was not reasonable, was not in compliance with section 22 of the Health Protection and Promotion Act ("HPPA "), was not based on "correct science", and on the ground that the Order is discriminatory and contrary to the Canadian Charter of Rights and Freedoms .   […]   The issue of whether, during an influenza outbreak, the MOH can, under section 22 of the HPPA , require the exclusion of the Appellant or others in a similar position, from work unless they are vaccinated will likely recur.   […]</w:t>
      </w:r>
    </w:p>
    <w:p w14:paraId="0FE7E67E" w14:textId="77777777" w:rsidR="009D47B1" w:rsidRDefault="009D47B1" w:rsidP="009D47B1">
      <w:r>
        <w:t xml:space="preserve"> </w:t>
      </w:r>
    </w:p>
    <w:p w14:paraId="4E822413" w14:textId="77777777" w:rsidR="009D47B1" w:rsidRDefault="009D47B1" w:rsidP="009D47B1">
      <w:r>
        <w:t>3.</w:t>
      </w:r>
    </w:p>
    <w:p w14:paraId="71AEBE7F" w14:textId="77777777" w:rsidR="009D47B1" w:rsidRDefault="009D47B1" w:rsidP="009D47B1">
      <w:r>
        <w:t>R. v. Al Safi, 2018 ONSC 326 (CanLII)</w:t>
      </w:r>
    </w:p>
    <w:p w14:paraId="57CF06EC" w14:textId="77777777" w:rsidR="009D47B1" w:rsidRDefault="009D47B1" w:rsidP="009D47B1">
      <w:r>
        <w:t>2018-01-12  |  29 pages  |  cited by 5 documents</w:t>
      </w:r>
    </w:p>
    <w:p w14:paraId="3C495E15" w14:textId="77777777" w:rsidR="009D47B1" w:rsidRDefault="009D47B1" w:rsidP="009D47B1">
      <w:r>
        <w:t>sureties — unprotected anal intercourse — bail — material change in circumstances — detention</w:t>
      </w:r>
    </w:p>
    <w:p w14:paraId="65AB1701" w14:textId="77777777" w:rsidR="009D47B1" w:rsidRDefault="009D47B1" w:rsidP="009D47B1">
      <w:r>
        <w:t>[…]   On October 22, 2014, Toronto Public Health issued an order under s. 22 of the Health Protection and Promotion Act , requiring him, among other things, to wear a condom and to disclose his HIV status prior to intercourse.   […]   A section 102 order requires the subject to comply with a previously made s. 22 order.   […]   On May 31, 2017, Justice Faieta of this court issued an order under s. 102 requiring that Mr. Al Safi comply with the prior s. 22 order.   […]</w:t>
      </w:r>
    </w:p>
    <w:p w14:paraId="6F9E7739" w14:textId="77777777" w:rsidR="009D47B1" w:rsidRDefault="009D47B1" w:rsidP="009D47B1">
      <w:r>
        <w:t xml:space="preserve"> </w:t>
      </w:r>
    </w:p>
    <w:p w14:paraId="2D50BB32" w14:textId="77777777" w:rsidR="009D47B1" w:rsidRDefault="009D47B1" w:rsidP="009D47B1">
      <w:r>
        <w:t>4.</w:t>
      </w:r>
    </w:p>
    <w:p w14:paraId="0D2A3FD0" w14:textId="77777777" w:rsidR="009D47B1" w:rsidRDefault="009D47B1" w:rsidP="009D47B1">
      <w:r>
        <w:t>I.F. v. Peel Health Department, 2006 CanLII 79553 (ON HSARB)</w:t>
      </w:r>
    </w:p>
    <w:p w14:paraId="28DECF74" w14:textId="77777777" w:rsidR="009D47B1" w:rsidRDefault="009D47B1" w:rsidP="009D47B1">
      <w:r>
        <w:t>2006-04-24  |  15 pages</w:t>
      </w:r>
    </w:p>
    <w:p w14:paraId="06C95429" w14:textId="77777777" w:rsidR="009D47B1" w:rsidRDefault="009D47B1" w:rsidP="009D47B1">
      <w:r>
        <w:t>communicable disease — tested positive for gonorrhea — health — wife — partner</w:t>
      </w:r>
    </w:p>
    <w:p w14:paraId="74AE5327" w14:textId="77777777" w:rsidR="009D47B1" w:rsidRDefault="009D47B1" w:rsidP="009D47B1">
      <w:r>
        <w:t xml:space="preserve">[…]   This is an appeal from an Order dated February 14, 2006, issued pursuant to section 22 of the Health Protection and Promotion Act (the "HPPA ”), by Dr. Hanif Kassam, the Acting Medical Officer of Health (the “AMOH”) for the Region of Peel Health Department (“the PHD”) </w:t>
      </w:r>
      <w:r>
        <w:lastRenderedPageBreak/>
        <w:t>requiring the Appellant to contact a public health nurse   […]   For reasons discussed below, the Appeal Board finds that the AMOH was authorized to issue the Order dated February 14, 2006 pursuant to section 22 of the HPPA .   […]   The broad issue for the Appeal Board in this proceeding is whether it should exercise its authority under section 44 of the HPPA to “confirm, alter or rescind” the Order of the AMOH. This in turn requires the Appeal Board to consider if the Order meets the requirements set out in section 22 of the HPPA .   […]</w:t>
      </w:r>
    </w:p>
    <w:p w14:paraId="5EB8EA17" w14:textId="77777777" w:rsidR="009D47B1" w:rsidRDefault="009D47B1" w:rsidP="009D47B1">
      <w:r>
        <w:t xml:space="preserve"> </w:t>
      </w:r>
    </w:p>
    <w:p w14:paraId="76F955FC" w14:textId="77777777" w:rsidR="009D47B1" w:rsidRDefault="009D47B1" w:rsidP="009D47B1">
      <w:r>
        <w:t>5.</w:t>
      </w:r>
    </w:p>
    <w:p w14:paraId="56649863" w14:textId="77777777" w:rsidR="009D47B1" w:rsidRDefault="009D47B1" w:rsidP="009D47B1">
      <w:r>
        <w:t>R. v. Aziga, 2006 CanLII 42798 (ON SC)</w:t>
      </w:r>
    </w:p>
    <w:p w14:paraId="6C36E0E8" w14:textId="77777777" w:rsidR="009D47B1" w:rsidRDefault="009D47B1" w:rsidP="009D47B1">
      <w:r>
        <w:t>2006-12-29  |  24 pages  |  cited by 1 document</w:t>
      </w:r>
    </w:p>
    <w:p w14:paraId="105F2769" w14:textId="77777777" w:rsidR="009D47B1" w:rsidRDefault="009D47B1" w:rsidP="009D47B1">
      <w:r>
        <w:t>principle against self-incrimination — unprotected — penetrative sexual activity — statements — counselling sessions</w:t>
      </w:r>
    </w:p>
    <w:p w14:paraId="2D7795D4" w14:textId="77777777" w:rsidR="009D47B1" w:rsidRDefault="009D47B1" w:rsidP="009D47B1">
      <w:r>
        <w:t>[…]   [7] As a result of receiving information that the accused had been named as a sexual partner by an HIV positive woman from Toronto, an Order under s. 22 of the Health Protection and Promotion Act of Ontario was drafted and subsequently served on the accused, on October 17, 2002.   […]   Part of this argument is based on the premise that the accused, in spite of efforts of the Public Health authorities did not fully comply with either the s. 22 Order or the s. 104 Order as they required that he do.   […]   The admission of the accused’s statements to the Public Health authorities in the criminal proceedings would violate the accused’s rights under s. 7 of the Charter , and therefore I order that such statements made by the accused to Public Health authorities subsequent to the service of the s. 22 Order be excluded at trial   […]</w:t>
      </w:r>
    </w:p>
    <w:p w14:paraId="5FBB9FB5" w14:textId="77777777" w:rsidR="009D47B1" w:rsidRDefault="009D47B1" w:rsidP="009D47B1">
      <w:r>
        <w:t xml:space="preserve"> </w:t>
      </w:r>
    </w:p>
    <w:p w14:paraId="3BEADDB6" w14:textId="77777777" w:rsidR="009D47B1" w:rsidRPr="00A400FB" w:rsidRDefault="009D47B1" w:rsidP="009D47B1">
      <w:pPr>
        <w:rPr>
          <w:strike/>
        </w:rPr>
      </w:pPr>
      <w:r w:rsidRPr="00A400FB">
        <w:rPr>
          <w:strike/>
        </w:rPr>
        <w:t>6.</w:t>
      </w:r>
    </w:p>
    <w:p w14:paraId="3C486BBB" w14:textId="77777777" w:rsidR="009D47B1" w:rsidRPr="00A400FB" w:rsidRDefault="009D47B1" w:rsidP="009D47B1">
      <w:pPr>
        <w:rPr>
          <w:strike/>
        </w:rPr>
      </w:pPr>
      <w:r w:rsidRPr="00A400FB">
        <w:rPr>
          <w:strike/>
        </w:rPr>
        <w:t>Electronic Meetings, O Reg 463/97, (Education Act)</w:t>
      </w:r>
    </w:p>
    <w:p w14:paraId="4159ABE4" w14:textId="77777777" w:rsidR="009D47B1" w:rsidRPr="00A400FB" w:rsidRDefault="009D47B1" w:rsidP="009D47B1">
      <w:pPr>
        <w:rPr>
          <w:strike/>
        </w:rPr>
      </w:pPr>
      <w:r w:rsidRPr="00A400FB">
        <w:rPr>
          <w:strike/>
        </w:rPr>
        <w:t>Consolidated Regulations of Ontario — Ontario</w:t>
      </w:r>
    </w:p>
    <w:p w14:paraId="28242432" w14:textId="77777777" w:rsidR="009D47B1" w:rsidRPr="00A400FB" w:rsidRDefault="009D47B1" w:rsidP="009D47B1">
      <w:pPr>
        <w:rPr>
          <w:strike/>
        </w:rPr>
      </w:pPr>
      <w:r w:rsidRPr="00A400FB">
        <w:rPr>
          <w:strike/>
        </w:rPr>
        <w:t>3 pages</w:t>
      </w:r>
    </w:p>
    <w:p w14:paraId="0D8D47E4" w14:textId="77777777" w:rsidR="009D47B1" w:rsidRPr="00A400FB" w:rsidRDefault="009D47B1" w:rsidP="009D47B1">
      <w:pPr>
        <w:rPr>
          <w:strike/>
        </w:rPr>
      </w:pPr>
      <w:r w:rsidRPr="00A400FB">
        <w:rPr>
          <w:strike/>
        </w:rPr>
        <w:t>[…]   (b) a medical officer of health or the Chief Medical Officer of Health under section 22 or 77.1 of the Health Protection and Promotion Act ; or   […]</w:t>
      </w:r>
    </w:p>
    <w:p w14:paraId="000BB260" w14:textId="77777777" w:rsidR="009D47B1" w:rsidRDefault="009D47B1" w:rsidP="009D47B1">
      <w:r>
        <w:t xml:space="preserve"> </w:t>
      </w:r>
    </w:p>
    <w:p w14:paraId="5BC6B75C" w14:textId="77777777" w:rsidR="009D47B1" w:rsidRDefault="009D47B1" w:rsidP="009D47B1">
      <w:r>
        <w:t>7.</w:t>
      </w:r>
    </w:p>
    <w:p w14:paraId="71751DE3" w14:textId="77777777" w:rsidR="009D47B1" w:rsidRDefault="009D47B1" w:rsidP="009D47B1">
      <w:r>
        <w:t>Health Protection and Promotion Act, RSO 1990, c H.7</w:t>
      </w:r>
    </w:p>
    <w:p w14:paraId="3508704C" w14:textId="77777777" w:rsidR="009D47B1" w:rsidRDefault="009D47B1" w:rsidP="009D47B1">
      <w:r>
        <w:t>26 older versions...</w:t>
      </w:r>
    </w:p>
    <w:p w14:paraId="1FC8DD91" w14:textId="77777777" w:rsidR="009D47B1" w:rsidRDefault="009D47B1" w:rsidP="009D47B1">
      <w:r>
        <w:t>Consolidated Statutes of Ontario — Ontario</w:t>
      </w:r>
    </w:p>
    <w:p w14:paraId="77E8C1DD" w14:textId="77777777" w:rsidR="009D47B1" w:rsidRDefault="009D47B1" w:rsidP="009D47B1">
      <w:r>
        <w:t>105 pages  |  cited by 376 documents</w:t>
      </w:r>
    </w:p>
    <w:p w14:paraId="37623259" w14:textId="77777777" w:rsidR="009D47B1" w:rsidRDefault="009D47B1" w:rsidP="009D47B1">
      <w:r>
        <w:t>[…]   (2) A medical officer of health may give directions in accordance with subsection (3) where the medical officer of health is of the opinion, upon reasonable and probable grounds, that a communicable disease exists in the health unit and the person to whom an order is or would be directed under section 22 ,   […]   is sufficiently given, served or delivered if delivered personally or sent by ordinary mail addressed to the person to whom it is to be given, served or delivered at the person’s last known address or in the case of an order to which subsection 22 (5.0.1) applies, as provided in subsections 22 (5.0.2) and (5.0.3) .   […]   (b) on the earlier of seven days after the day the order was given and the day it should reasonably have come to the attention of the members of a class under the notice requirements in subsection 22 (5.0.2) or (5.0.3) . 2009, c. 33, Sched. 18, s. 12 (12).   […]</w:t>
      </w:r>
    </w:p>
    <w:p w14:paraId="4D324BEF" w14:textId="77777777" w:rsidR="009D47B1" w:rsidRDefault="009D47B1" w:rsidP="009D47B1">
      <w:r>
        <w:t xml:space="preserve"> </w:t>
      </w:r>
    </w:p>
    <w:p w14:paraId="1D97F43B" w14:textId="77777777" w:rsidR="009D47B1" w:rsidRDefault="009D47B1" w:rsidP="009D47B1">
      <w:r>
        <w:t>8.</w:t>
      </w:r>
    </w:p>
    <w:p w14:paraId="69813E31" w14:textId="77777777" w:rsidR="009D47B1" w:rsidRDefault="009D47B1" w:rsidP="009D47B1">
      <w:r>
        <w:lastRenderedPageBreak/>
        <w:t>SARS Assistance and Recovery Strategy Act, 2003, SO 2003, c 1, [Repealed or spent]</w:t>
      </w:r>
    </w:p>
    <w:p w14:paraId="1E3BD7F0" w14:textId="77777777" w:rsidR="009D47B1" w:rsidRDefault="009D47B1" w:rsidP="009D47B1">
      <w:r>
        <w:t>3 older versions...</w:t>
      </w:r>
    </w:p>
    <w:p w14:paraId="78D7C882" w14:textId="77777777" w:rsidR="009D47B1" w:rsidRDefault="009D47B1" w:rsidP="009D47B1">
      <w:r>
        <w:t>Consolidated Statutes of Ontario — Ontario</w:t>
      </w:r>
    </w:p>
    <w:p w14:paraId="09341785" w14:textId="77777777" w:rsidR="009D47B1" w:rsidRDefault="009D47B1" w:rsidP="009D47B1">
      <w:r>
        <w:t xml:space="preserve"> </w:t>
      </w:r>
    </w:p>
    <w:p w14:paraId="2E76F932" w14:textId="77777777" w:rsidR="009D47B1" w:rsidRDefault="009D47B1" w:rsidP="009D47B1">
      <w:r>
        <w:t>8 pages</w:t>
      </w:r>
    </w:p>
    <w:p w14:paraId="2542CFA1" w14:textId="77777777" w:rsidR="009D47B1" w:rsidRDefault="009D47B1" w:rsidP="009D47B1">
      <w:r>
        <w:t>9.</w:t>
      </w:r>
    </w:p>
    <w:p w14:paraId="0F240C83" w14:textId="77777777" w:rsidR="009D47B1" w:rsidRDefault="009D47B1" w:rsidP="009D47B1">
      <w:r>
        <w:t>Doucette v. Medical Officer of Health, 2011 ONSC 5774 (CanLII)</w:t>
      </w:r>
    </w:p>
    <w:p w14:paraId="7500B9D4" w14:textId="77777777" w:rsidR="009D47B1" w:rsidRDefault="009D47B1" w:rsidP="009D47B1">
      <w:r>
        <w:t>2011-09-30  |  3 pages</w:t>
      </w:r>
    </w:p>
    <w:p w14:paraId="37E5FBB8" w14:textId="77777777" w:rsidR="009D47B1" w:rsidRDefault="009D47B1" w:rsidP="009D47B1">
      <w:r>
        <w:t>tuberculosis — writ of habeas corpus — detained — mootness — application</w:t>
      </w:r>
    </w:p>
    <w:p w14:paraId="0CF68582" w14:textId="77777777" w:rsidR="009D47B1" w:rsidRDefault="009D47B1" w:rsidP="009D47B1">
      <w:r>
        <w:t>[…]   The basis for the s. 35 order was that the applicant was infected with tuberculosis and had previously failed to comply with an order issued by the MOHRMN under s. 22 of the HPPA , pursuant to which she had been ordered to adhere to a supervised course of treatment for that disease.   […]   She returned to the Regional Municipality of Niagara, where she is again the subject of a s. 22 order in relation to her tuberculosis infection.   […]</w:t>
      </w:r>
    </w:p>
    <w:p w14:paraId="686C8086" w14:textId="77777777" w:rsidR="009D47B1" w:rsidRDefault="009D47B1" w:rsidP="009D47B1">
      <w:r>
        <w:t xml:space="preserve"> </w:t>
      </w:r>
    </w:p>
    <w:p w14:paraId="258B8CA4" w14:textId="77777777" w:rsidR="009D47B1" w:rsidRDefault="009D47B1" w:rsidP="009D47B1">
      <w:r>
        <w:t>10.</w:t>
      </w:r>
    </w:p>
    <w:p w14:paraId="759F41FF" w14:textId="77777777" w:rsidR="009D47B1" w:rsidRDefault="009D47B1" w:rsidP="009D47B1">
      <w:r>
        <w:t>R. v. Walkem, 2007 CanLII 742 (ON SC)</w:t>
      </w:r>
    </w:p>
    <w:p w14:paraId="79B3CC58" w14:textId="77777777" w:rsidR="009D47B1" w:rsidRDefault="009D47B1" w:rsidP="009D47B1">
      <w:r>
        <w:t>2007-01-19  |  13 pages</w:t>
      </w:r>
    </w:p>
    <w:p w14:paraId="01B33DCA" w14:textId="77777777" w:rsidR="009D47B1" w:rsidRDefault="009D47B1" w:rsidP="009D47B1">
      <w:r>
        <w:t>sentence — penetrative — repeated acts of unprotected sex — intercourse — offender</w:t>
      </w:r>
    </w:p>
    <w:p w14:paraId="54561E90" w14:textId="77777777" w:rsidR="009D47B1" w:rsidRDefault="009D47B1" w:rsidP="009D47B1">
      <w:r>
        <w:t>[…]   (2) Furthermore, Mr. Walkem did not make mention of the fact that he was bound by an order of the Associate Medical Officer of Health for the City of Toronto Health Unit made in February, 2003 pursuant to s. 22 of the Health Protection and Promotion Act ,[2] which order provided, among other things, that he was not to   […]</w:t>
      </w:r>
    </w:p>
    <w:p w14:paraId="06DF4C4A" w14:textId="77777777" w:rsidR="009D47B1" w:rsidRDefault="009D47B1" w:rsidP="009D47B1">
      <w:r>
        <w:t xml:space="preserve"> </w:t>
      </w:r>
    </w:p>
    <w:p w14:paraId="3F7E726C" w14:textId="77777777" w:rsidR="009D47B1" w:rsidRDefault="009D47B1" w:rsidP="009D47B1">
      <w:r>
        <w:t>11.</w:t>
      </w:r>
    </w:p>
    <w:p w14:paraId="70F87445" w14:textId="77777777" w:rsidR="009D47B1" w:rsidRDefault="009D47B1" w:rsidP="009D47B1">
      <w:r>
        <w:t>Ontario (Attorney General) v. Ontario (Criminal Injuries Compensation Board), 1995 CanLII 10670 (ON SC)</w:t>
      </w:r>
    </w:p>
    <w:p w14:paraId="06916F82" w14:textId="77777777" w:rsidR="009D47B1" w:rsidRDefault="009D47B1" w:rsidP="009D47B1">
      <w:r>
        <w:t>1995-02-10  |  15 pages  |  cited by 2 documents</w:t>
      </w:r>
    </w:p>
    <w:p w14:paraId="146F8C32" w14:textId="77777777" w:rsidR="009D47B1" w:rsidRDefault="009D47B1" w:rsidP="009D47B1">
      <w:r>
        <w:t>victims — condom — sexual — board — unprotected</w:t>
      </w:r>
    </w:p>
    <w:p w14:paraId="166215F6" w14:textId="77777777" w:rsidR="009D47B1" w:rsidRDefault="009D47B1" w:rsidP="009D47B1">
      <w:r>
        <w:t>[…]   9. On February 12, 1990, the public health nurse personally served C.S. with an order of the Medical Officer of Health for London-Middlesex pursuant to s. 22 of the Health Protection and Promotion Act , 1983, S.O. 1983, c. 10.   […]</w:t>
      </w:r>
    </w:p>
    <w:p w14:paraId="4BF12FE5" w14:textId="77777777" w:rsidR="009D47B1" w:rsidRDefault="009D47B1" w:rsidP="009D47B1">
      <w:r>
        <w:t xml:space="preserve"> </w:t>
      </w:r>
    </w:p>
    <w:p w14:paraId="7EC74080" w14:textId="77777777" w:rsidR="009D47B1" w:rsidRDefault="009D47B1" w:rsidP="009D47B1">
      <w:r>
        <w:t>12.</w:t>
      </w:r>
    </w:p>
    <w:p w14:paraId="3D026650" w14:textId="77777777" w:rsidR="009D47B1" w:rsidRDefault="009D47B1" w:rsidP="009D47B1">
      <w:r>
        <w:t>Statutory Good-faith Immunity for Government Physicians: Cogent Policy or a Denial of Justice?, 2011 CanLIIDocs 25</w:t>
      </w:r>
    </w:p>
    <w:p w14:paraId="201BCFA0" w14:textId="77777777" w:rsidR="009D47B1" w:rsidRDefault="009D47B1" w:rsidP="009D47B1">
      <w:r>
        <w:t>Andrew Flavelle Martin  –  McGill Journal of Law and Health</w:t>
      </w:r>
    </w:p>
    <w:p w14:paraId="65F8E851" w14:textId="77777777" w:rsidR="009D47B1" w:rsidRDefault="009D47B1" w:rsidP="009D47B1">
      <w:r>
        <w:t>51 pages</w:t>
      </w:r>
    </w:p>
    <w:p w14:paraId="18F5584D" w14:textId="77777777" w:rsidR="009D47B1" w:rsidRDefault="009D47B1" w:rsidP="009D47B1">
      <w:r>
        <w:t>Civil liability — Public health</w:t>
      </w:r>
    </w:p>
    <w:p w14:paraId="17493287" w14:textId="77777777" w:rsidR="009D47B1" w:rsidRDefault="009D47B1" w:rsidP="009D47B1">
      <w:r>
        <w:t>coroners — statutory good-faith immunity — government physicians — pathologist — liability</w:t>
      </w:r>
    </w:p>
    <w:p w14:paraId="6E24337E" w14:textId="77777777" w:rsidR="009D47B1" w:rsidRDefault="009D47B1" w:rsidP="009D47B1">
      <w:r>
        <w:t xml:space="preserve">[…]   Qualifications of Boards of Health Staff, R.R.O. 1990, Reg. 566, s. 1. 50 HPPA, ibid., ss. 81(2), 81.1(3). 51 Ibid., ss. 12(1), 81(3). 52 Ibid., ss. 10, 41, 43. 53 Ibid., ss. 42, 100-101. 54 Ibid., s. 13. 55 Ibid., s. 19. 56 Ibid., s. 22. 57 Ibid., ss. 35, 36. 58 Ibid., ss. 77.4, 77.5. 59 Ibid., s. 77.6. 60 Ibid., s. 77.7.   […]   s. 100 (e.g. failure to maintain and operate a food premise in accordance with the regulations, sale of diseased food or unpasteurized milk, or failure of the </w:t>
      </w:r>
      <w:r>
        <w:lastRenderedPageBreak/>
        <w:t>owner of a residential building to provide potable water and/or sanitary facilities: ss. 16-18, 20). 134 Ibid., s. 22. 135 Hill (C.A.), supra note 1 at para. 53.   […]</w:t>
      </w:r>
    </w:p>
    <w:p w14:paraId="7DD8496D" w14:textId="77777777" w:rsidR="009D47B1" w:rsidRDefault="009D47B1" w:rsidP="009D47B1">
      <w:r>
        <w:t xml:space="preserve"> </w:t>
      </w:r>
    </w:p>
    <w:p w14:paraId="6D85E716" w14:textId="77777777" w:rsidR="009D47B1" w:rsidRDefault="009D47B1" w:rsidP="009D47B1">
      <w:r>
        <w:t>13.</w:t>
      </w:r>
    </w:p>
    <w:p w14:paraId="44FF2703" w14:textId="77777777" w:rsidR="009D47B1" w:rsidRDefault="009D47B1" w:rsidP="009D47B1">
      <w:r>
        <w:t>Ontario Secondary School Teachers' Federation v Grand Erie District School Board, 1999 CanLII 19960 (ON LRB)</w:t>
      </w:r>
    </w:p>
    <w:p w14:paraId="0B8866D9" w14:textId="77777777" w:rsidR="009D47B1" w:rsidRDefault="009D47B1" w:rsidP="009D47B1">
      <w:r>
        <w:t>1999-01-18  |  27 pages</w:t>
      </w:r>
    </w:p>
    <w:p w14:paraId="0ADE549F" w14:textId="77777777" w:rsidR="009D47B1" w:rsidRDefault="009D47B1" w:rsidP="009D47B1">
      <w:r>
        <w:t>strike — school board — teachers — work-to-rule campaign — pupils</w:t>
      </w:r>
    </w:p>
    <w:p w14:paraId="0E611DAC" w14:textId="77777777" w:rsidR="009D47B1" w:rsidRDefault="009D47B1" w:rsidP="009D47B1">
      <w:r>
        <w:t>[…]   - to refuse admission to the school of any person who the principal believes is infected with or exposed to communicable diseases requiring an order under section 22 of the Health Protection and Promotion Act until furnished with a certificate of a medical officer of health or of a legally qualified medical practitioner   […]</w:t>
      </w:r>
    </w:p>
    <w:p w14:paraId="3EBC1505" w14:textId="77777777" w:rsidR="009D47B1" w:rsidRDefault="009D47B1" w:rsidP="009D47B1">
      <w:r>
        <w:t xml:space="preserve"> </w:t>
      </w:r>
    </w:p>
    <w:p w14:paraId="507F29DF" w14:textId="77777777" w:rsidR="009D47B1" w:rsidRDefault="009D47B1" w:rsidP="009D47B1">
      <w:r>
        <w:t>14.</w:t>
      </w:r>
    </w:p>
    <w:p w14:paraId="39762DAC" w14:textId="77777777" w:rsidR="009D47B1" w:rsidRDefault="009D47B1" w:rsidP="009D47B1">
      <w:r>
        <w:t>Equality Rights for People with AIDS: Mandatory Reporting of HIV Infection and Contact Tracing, 1989 CanLIIDocs 62</w:t>
      </w:r>
    </w:p>
    <w:p w14:paraId="05C2FB47" w14:textId="77777777" w:rsidR="009D47B1" w:rsidRDefault="009D47B1" w:rsidP="009D47B1">
      <w:r>
        <w:t>William F Flanagan  –  McGill Law Journal</w:t>
      </w:r>
    </w:p>
    <w:p w14:paraId="242E7377" w14:textId="77777777" w:rsidR="009D47B1" w:rsidRDefault="009D47B1" w:rsidP="009D47B1">
      <w:r>
        <w:t>127 pages</w:t>
      </w:r>
    </w:p>
    <w:p w14:paraId="25105733" w14:textId="77777777" w:rsidR="009D47B1" w:rsidRDefault="009D47B1" w:rsidP="009D47B1">
      <w:r>
        <w:t>contact tracing — infection — disease — mandatory reporting — seropositive</w:t>
      </w:r>
    </w:p>
    <w:p w14:paraId="7EEE177D" w14:textId="77777777" w:rsidR="009D47B1" w:rsidRDefault="009D47B1" w:rsidP="009D47B1">
      <w:r>
        <w:t>[…]   The question may refer to whether the patient's name was given on the request form or only the patient's initials were employed. 89 Health Protection and Promotion Act, supra, note 10, s.22(4)(a). 9°Ibid., s.22(4)( c). 91Ibid., s.22(4)( f). 9 2 Ibid., s.22(4)( h).   […]   If AIDS were classified as a virulent disease, which it presently is not, the Medical Officer of Health would have the further power to order the infected person to place himself under the care and treatment of a physician.[s. 22(4)( g)] 93Ibid., ss. 36(2) and 35(3)( a).   […]</w:t>
      </w:r>
    </w:p>
    <w:p w14:paraId="0F08200F" w14:textId="77777777" w:rsidR="009D47B1" w:rsidRDefault="009D47B1" w:rsidP="009D47B1">
      <w:r>
        <w:t xml:space="preserve"> </w:t>
      </w:r>
    </w:p>
    <w:p w14:paraId="45C2867D" w14:textId="77777777" w:rsidR="009D47B1" w:rsidRDefault="009D47B1" w:rsidP="009D47B1">
      <w:r>
        <w:t>15.</w:t>
      </w:r>
    </w:p>
    <w:p w14:paraId="52AE353D" w14:textId="77777777" w:rsidR="009D47B1" w:rsidRDefault="009D47B1" w:rsidP="009D47B1">
      <w:r>
        <w:t>Russell (Town of) (Re), 2020 ONOMBUD 1 (CanLII)</w:t>
      </w:r>
    </w:p>
    <w:p w14:paraId="003D381C" w14:textId="77777777" w:rsidR="009D47B1" w:rsidRDefault="009D47B1" w:rsidP="009D47B1">
      <w:r>
        <w:t>2020-04-17  |  12 pages</w:t>
      </w:r>
    </w:p>
    <w:p w14:paraId="479E4092" w14:textId="77777777" w:rsidR="009D47B1" w:rsidRDefault="009D47B1" w:rsidP="009D47B1">
      <w:r>
        <w:t>meeting — electronic participation — https — township — webcast</w:t>
      </w:r>
    </w:p>
    <w:p w14:paraId="1D1FF5F0" w14:textId="77777777" w:rsidR="009D47B1" w:rsidRDefault="009D47B1" w:rsidP="009D47B1">
      <w:r>
        <w:t>[…]   [14] R.S.O. 1990, c. H.7 at s. 22   […]</w:t>
      </w:r>
    </w:p>
    <w:p w14:paraId="6E2AB254" w14:textId="77777777" w:rsidR="009D47B1" w:rsidRDefault="009D47B1" w:rsidP="009D47B1">
      <w:r>
        <w:t xml:space="preserve"> </w:t>
      </w:r>
    </w:p>
    <w:p w14:paraId="77083EEB" w14:textId="77777777" w:rsidR="009D47B1" w:rsidRDefault="009D47B1" w:rsidP="009D47B1">
      <w:r>
        <w:t>16.</w:t>
      </w:r>
    </w:p>
    <w:p w14:paraId="1262A7B3" w14:textId="77777777" w:rsidR="009D47B1" w:rsidRDefault="009D47B1" w:rsidP="009D47B1">
      <w:r>
        <w:t>R. v. Aziga, 2011 ONSC 4592 (CanLII)</w:t>
      </w:r>
    </w:p>
    <w:p w14:paraId="6DC827E9" w14:textId="77777777" w:rsidR="009D47B1" w:rsidRDefault="009D47B1" w:rsidP="009D47B1">
      <w:r>
        <w:t>2011-08-02  |  50 pages  |  cited by 5 documents</w:t>
      </w:r>
    </w:p>
    <w:p w14:paraId="32B00417" w14:textId="77777777" w:rsidR="009D47B1" w:rsidRDefault="009D47B1" w:rsidP="009D47B1">
      <w:r>
        <w:t>sexual — dangerous offender — viral load — infection — risk</w:t>
      </w:r>
    </w:p>
    <w:p w14:paraId="2599B64E" w14:textId="77777777" w:rsidR="009D47B1" w:rsidRDefault="009D47B1" w:rsidP="009D47B1">
      <w:r>
        <w:t>[…]   The order, a court order, reiterated the terms of the previous Section 22 Order and required the offender to appear in court for a hearing in relation to the imposition of further terms.   […]</w:t>
      </w:r>
    </w:p>
    <w:p w14:paraId="14F3A0E9" w14:textId="77777777" w:rsidR="009D47B1" w:rsidRDefault="009D47B1" w:rsidP="009D47B1">
      <w:r>
        <w:t xml:space="preserve"> </w:t>
      </w:r>
    </w:p>
    <w:p w14:paraId="6170C490" w14:textId="77777777" w:rsidR="009D47B1" w:rsidRDefault="009D47B1" w:rsidP="009D47B1">
      <w:r>
        <w:t>17.</w:t>
      </w:r>
    </w:p>
    <w:p w14:paraId="3E31B1D0" w14:textId="77777777" w:rsidR="009D47B1" w:rsidRDefault="009D47B1" w:rsidP="009D47B1">
      <w:r>
        <w:t>Canadian AIDS Society v. Ontario, 1995 CanLII 7116 (ON SC)</w:t>
      </w:r>
    </w:p>
    <w:p w14:paraId="137F48D0" w14:textId="77777777" w:rsidR="009D47B1" w:rsidRDefault="009D47B1" w:rsidP="009D47B1">
      <w:r>
        <w:t>1995-08-04  |  36 pages  |  cited by 10 documents</w:t>
      </w:r>
    </w:p>
    <w:p w14:paraId="15191BA5" w14:textId="77777777" w:rsidR="009D47B1" w:rsidRDefault="009D47B1" w:rsidP="009D47B1">
      <w:r>
        <w:t>donors — privacy — blood — public health — seizure</w:t>
      </w:r>
    </w:p>
    <w:p w14:paraId="7F4658BD" w14:textId="77777777" w:rsidR="009D47B1" w:rsidRDefault="009D47B1" w:rsidP="009D47B1">
      <w:r>
        <w:t xml:space="preserve">[…]   of Rights and Freedoms , ss. 1 , 7 , 8 , 24 , 32 , 52 Health Disciplines Act, R.S.O. 1990, c. 197 Health Protection and Promotion Act, R.S.O. 1990, c. H.7 , ss. 22(1) , 29 , 35(1) , 39(1) , </w:t>
      </w:r>
      <w:r>
        <w:lastRenderedPageBreak/>
        <w:t>44(1) , (2) Laboratory and Specimen Collection Centre Licensing Act , R.S.O. 1990, c. L.2 Rules and regulations referred to R.R.O.   […]</w:t>
      </w:r>
    </w:p>
    <w:p w14:paraId="48C735A8" w14:textId="77777777" w:rsidR="009D47B1" w:rsidRDefault="009D47B1" w:rsidP="009D47B1">
      <w:r>
        <w:t xml:space="preserve"> </w:t>
      </w:r>
    </w:p>
    <w:p w14:paraId="1D62568F" w14:textId="77777777" w:rsidR="009D47B1" w:rsidRDefault="009D47B1" w:rsidP="009D47B1">
      <w:r>
        <w:t>18.</w:t>
      </w:r>
    </w:p>
    <w:p w14:paraId="609F6E56" w14:textId="77777777" w:rsidR="009D47B1" w:rsidRDefault="009D47B1" w:rsidP="009D47B1">
      <w:r>
        <w:t>Whiteman v. Iamkhong, 2010 ONSC 1456 (CanLII)</w:t>
      </w:r>
    </w:p>
    <w:p w14:paraId="5F58B088" w14:textId="77777777" w:rsidR="009D47B1" w:rsidRDefault="009D47B1" w:rsidP="009D47B1">
      <w:r>
        <w:t>2010-03-10  |  59 pages  |  cited by 4 documents</w:t>
      </w:r>
    </w:p>
    <w:p w14:paraId="687942B2" w14:textId="77777777" w:rsidR="009D47B1" w:rsidRDefault="009D47B1" w:rsidP="009D47B1">
      <w:r>
        <w:t>negligence — private law duty of care — immigration — health — sponsorship</w:t>
      </w:r>
    </w:p>
    <w:p w14:paraId="0F009915" w14:textId="77777777" w:rsidR="009D47B1" w:rsidRDefault="009D47B1" w:rsidP="009D47B1">
      <w:r>
        <w:t>[…]   of her HIV condition and/or they failed to notify Iamkhong’s partners, including the Plaintiff, directly; they failed to order Iamkhong pursuant to section 22 of the Health Protection and Promotion Act to disclose the identity of her sexual partners so that they may be advised that they may have been exposed to HIV;   […]   In particular and contrary to Section 22 of the Health Protection and Promotion Act Dr. Taylor failed and/or neglected to issue a written order requiring Iamkhong to place herself under the care of a doctor and requiring her to conduct herself in such a manner as not to expose another person, such as the Plaintiff, to   […]</w:t>
      </w:r>
    </w:p>
    <w:p w14:paraId="24FD7C1E" w14:textId="77777777" w:rsidR="009D47B1" w:rsidRDefault="009D47B1" w:rsidP="009D47B1">
      <w:r>
        <w:t xml:space="preserve"> </w:t>
      </w:r>
    </w:p>
    <w:p w14:paraId="2B8F5B4C" w14:textId="77777777" w:rsidR="009D47B1" w:rsidRDefault="009D47B1" w:rsidP="009D47B1">
      <w:r>
        <w:t>19.</w:t>
      </w:r>
    </w:p>
    <w:p w14:paraId="35AE48A1" w14:textId="77777777" w:rsidR="009D47B1" w:rsidRDefault="009D47B1" w:rsidP="009D47B1">
      <w:r>
        <w:t>Pandemics and Pandemonium: Constitutional Jurisdiction Over Public Health, 2006 CanLIIDocs 8</w:t>
      </w:r>
    </w:p>
    <w:p w14:paraId="7A25100B" w14:textId="77777777" w:rsidR="009D47B1" w:rsidRDefault="009D47B1" w:rsidP="009D47B1">
      <w:r>
        <w:t>Keri Gammon  –  Dalhousie Journal of Legal Studies</w:t>
      </w:r>
    </w:p>
    <w:p w14:paraId="7AE561BD" w14:textId="77777777" w:rsidR="009D47B1" w:rsidRDefault="009D47B1" w:rsidP="009D47B1">
      <w:r>
        <w:t>51 pages</w:t>
      </w:r>
    </w:p>
    <w:p w14:paraId="4CE397A8" w14:textId="77777777" w:rsidR="009D47B1" w:rsidRDefault="009D47B1" w:rsidP="009D47B1">
      <w:r>
        <w:t>Constitution — Public health</w:t>
      </w:r>
    </w:p>
    <w:p w14:paraId="523DD595" w14:textId="77777777" w:rsidR="009D47B1" w:rsidRDefault="009D47B1" w:rsidP="009D47B1">
      <w:r>
        <w:t>public health — infectious disease — federal — provinces — legislation</w:t>
      </w:r>
    </w:p>
    <w:p w14:paraId="29378EE5" w14:textId="77777777" w:rsidR="009D47B1" w:rsidRDefault="009D47B1" w:rsidP="009D47B1">
      <w:r>
        <w:t>[…]   The Spending Power Although not an explicit head of power under s. 91, the federal spending power in s. 36 of the Constitution Act, 1982 85 affords Parliament the 81 C.C.S.M., c. P210 at s. 32. 82 R.S.O. 1990, c. H.7 at ss. 22, 100. 83 Firearms Reference, supra note 80 at 805-806. 84 As was the case with the legislation in   […]</w:t>
      </w:r>
    </w:p>
    <w:p w14:paraId="5371B1E5" w14:textId="77777777" w:rsidR="009D47B1" w:rsidRDefault="009D47B1" w:rsidP="009D47B1">
      <w:r>
        <w:t xml:space="preserve"> </w:t>
      </w:r>
    </w:p>
    <w:p w14:paraId="4BC27BB4" w14:textId="77777777" w:rsidR="009D47B1" w:rsidRDefault="009D47B1" w:rsidP="009D47B1">
      <w:r>
        <w:t>20.</w:t>
      </w:r>
    </w:p>
    <w:p w14:paraId="7F10763D" w14:textId="77777777" w:rsidR="009D47B1" w:rsidRDefault="009D47B1" w:rsidP="009D47B1">
      <w:r>
        <w:t>R. v. Ralph, 2014 ONSC 1376 (CanLII)</w:t>
      </w:r>
    </w:p>
    <w:p w14:paraId="3594F7CC" w14:textId="77777777" w:rsidR="009D47B1" w:rsidRDefault="009D47B1" w:rsidP="009D47B1">
      <w:r>
        <w:t>2014-03-14  |  71 pages  |  cited by 1 document</w:t>
      </w:r>
    </w:p>
    <w:p w14:paraId="2EF32DD8" w14:textId="77777777" w:rsidR="009D47B1" w:rsidRDefault="009D47B1" w:rsidP="009D47B1">
      <w:r>
        <w:t>positive — condom — unprotected sex — told — evidence</w:t>
      </w:r>
    </w:p>
    <w:p w14:paraId="42327E0D" w14:textId="77777777" w:rsidR="009D47B1" w:rsidRDefault="009D47B1" w:rsidP="009D47B1">
      <w:r>
        <w:t>[…]   The possibility of TPH getting an order pursuant to section 22 of the Health Protection and Promotion Act (“Section 22 Order”) for his wife’s name and address so that they could notify her was discussed.   […]</w:t>
      </w:r>
    </w:p>
    <w:p w14:paraId="261A969C" w14:textId="77777777" w:rsidR="009D47B1" w:rsidRDefault="009D47B1" w:rsidP="009D47B1">
      <w:r>
        <w:t xml:space="preserve"> </w:t>
      </w:r>
    </w:p>
    <w:p w14:paraId="6510A900" w14:textId="77777777" w:rsidR="009D47B1" w:rsidRDefault="009D47B1" w:rsidP="009D47B1">
      <w:r>
        <w:t>21.</w:t>
      </w:r>
    </w:p>
    <w:p w14:paraId="4B304608" w14:textId="77777777" w:rsidR="009D47B1" w:rsidRDefault="009D47B1" w:rsidP="009D47B1">
      <w:r>
        <w:t>Roe v. Leone, 2012 ONSC 6237 (CanLII)</w:t>
      </w:r>
    </w:p>
    <w:p w14:paraId="15FB835D" w14:textId="77777777" w:rsidR="009D47B1" w:rsidRDefault="009D47B1" w:rsidP="009D47B1">
      <w:r>
        <w:t>2012-11-02  |  41 pages  |  cited by 5 documents</w:t>
      </w:r>
    </w:p>
    <w:p w14:paraId="6CEB542F" w14:textId="77777777" w:rsidR="009D47B1" w:rsidRDefault="009D47B1" w:rsidP="009D47B1">
      <w:r>
        <w:t>private law duty of care — proximity — police — unprotected sex — prima facie duty of care</w:t>
      </w:r>
    </w:p>
    <w:p w14:paraId="1B098144" w14:textId="77777777" w:rsidR="009D47B1" w:rsidRDefault="009D47B1" w:rsidP="009D47B1">
      <w:r>
        <w:t>[…]   O.J. No. 966, 2010 ONSC 1456 , 206 C.R.R. (2d) 187 (S.C.J.) Statutes referred to Health Protection and Promotion Act, R.S.O. 1990, c. H.7 , ss. 2 , 22 [as am.], 95 Police Services Act, R.S.O. 1990, c. P.15 , ss. 1 , 42(1) (b), 50(1) Authorities referred to Linden, Allen M., and Bruce Feldthusen, Canadian Tort Law, 9th ed.   […]</w:t>
      </w:r>
    </w:p>
    <w:p w14:paraId="56B0E0A6" w14:textId="77777777" w:rsidR="009D47B1" w:rsidRDefault="009D47B1" w:rsidP="009D47B1">
      <w:r>
        <w:t xml:space="preserve"> </w:t>
      </w:r>
    </w:p>
    <w:p w14:paraId="5AA71D11" w14:textId="77777777" w:rsidR="009D47B1" w:rsidRDefault="009D47B1" w:rsidP="009D47B1">
      <w:r>
        <w:t>22.</w:t>
      </w:r>
    </w:p>
    <w:p w14:paraId="5812EA12" w14:textId="77777777" w:rsidR="009D47B1" w:rsidRDefault="009D47B1" w:rsidP="009D47B1">
      <w:r>
        <w:t>Windsor Review of Legal and Social Issues, 2018 CanLIIDocs 10674</w:t>
      </w:r>
    </w:p>
    <w:p w14:paraId="68AA86A9" w14:textId="77777777" w:rsidR="009D47B1" w:rsidRDefault="009D47B1" w:rsidP="009D47B1">
      <w:r>
        <w:lastRenderedPageBreak/>
        <w:t>University of Windsor, Faculty of Law  –  Windsor Review of Legal and Social Issues</w:t>
      </w:r>
    </w:p>
    <w:p w14:paraId="70FCDE3A" w14:textId="77777777" w:rsidR="009D47B1" w:rsidRDefault="009D47B1" w:rsidP="009D47B1">
      <w:r>
        <w:t>245 pages</w:t>
      </w:r>
    </w:p>
    <w:p w14:paraId="2FE6594C" w14:textId="77777777" w:rsidR="009D47B1" w:rsidRDefault="009D47B1" w:rsidP="009D47B1">
      <w:r>
        <w:t>Evidence and procedure — Public health — Rights and freedoms</w:t>
      </w:r>
    </w:p>
    <w:p w14:paraId="32FC86C3" w14:textId="77777777" w:rsidR="009D47B1" w:rsidRDefault="009D47B1" w:rsidP="009D47B1">
      <w:r>
        <w:t>Canadian Health Care System — Freedom of Association — consent</w:t>
      </w:r>
    </w:p>
    <w:p w14:paraId="1CCAABA0" w14:textId="77777777" w:rsidR="009D47B1" w:rsidRDefault="009D47B1" w:rsidP="009D47B1">
      <w:r>
        <w:t>[…]   Public health units may become aware of continued noncompliance or recidivism through third party and physician reports. 77 In these rare cases, the Medical Officer of Health is empowered to order compliance under section 22 of HPPA to ensure that the risk of transmission is minimized. 78 However, prior to using   […]   Public health staff should always pursue less intrusive measures such as counselling and referral to community-based organizations and supports, and monitoring of a situation before issuing the more coercive Section 22 order.   […]</w:t>
      </w:r>
    </w:p>
    <w:p w14:paraId="2626E93A" w14:textId="77777777" w:rsidR="009D47B1" w:rsidRDefault="009D47B1" w:rsidP="009D47B1">
      <w:r>
        <w:t xml:space="preserve"> </w:t>
      </w:r>
    </w:p>
    <w:p w14:paraId="3DCE1037" w14:textId="77777777" w:rsidR="009D47B1" w:rsidRDefault="009D47B1" w:rsidP="009D47B1">
      <w:r>
        <w:t>23.</w:t>
      </w:r>
    </w:p>
    <w:p w14:paraId="2550E606" w14:textId="77777777" w:rsidR="009D47B1" w:rsidRDefault="009D47B1" w:rsidP="009D47B1">
      <w:r>
        <w:t>Sault Area Hospital and Ontario Nurses’ Association, 2015 CanLII 55643 (ON LA)</w:t>
      </w:r>
    </w:p>
    <w:p w14:paraId="2B953811" w14:textId="77777777" w:rsidR="009D47B1" w:rsidRDefault="009D47B1" w:rsidP="009D47B1">
      <w:r>
        <w:t>2015-09-08  |  158 pages  |  cited by 6 documents</w:t>
      </w:r>
    </w:p>
    <w:p w14:paraId="1694AD62" w14:textId="77777777" w:rsidR="009D47B1" w:rsidRDefault="009D47B1" w:rsidP="009D47B1">
      <w:r>
        <w:t>influenza — mask — masks — vaccination — transmission</w:t>
      </w:r>
    </w:p>
    <w:p w14:paraId="60CC4DD5" w14:textId="77777777" w:rsidR="009D47B1" w:rsidRDefault="009D47B1" w:rsidP="009D47B1">
      <w:r>
        <w:t>[…]   [323] Health Protection and Promotion Act, R.S.O. 1990, c. H.7 , ss. 22(2)   […]</w:t>
      </w:r>
    </w:p>
    <w:p w14:paraId="6A50B907" w14:textId="77777777" w:rsidR="009D47B1" w:rsidRDefault="009D47B1"/>
    <w:p w14:paraId="35E007F4" w14:textId="6E9DF028" w:rsidR="009D47B1" w:rsidRDefault="009D47B1"/>
    <w:p w14:paraId="3C132A8A" w14:textId="77777777" w:rsidR="009D47B1" w:rsidRDefault="009D47B1"/>
    <w:sectPr w:rsidR="009D4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3562368B"/>
    <w:multiLevelType w:val="multilevel"/>
    <w:tmpl w:val="52F01544"/>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5B"/>
    <w:rsid w:val="00422A5B"/>
    <w:rsid w:val="004D2347"/>
    <w:rsid w:val="0079237C"/>
    <w:rsid w:val="008D22FF"/>
    <w:rsid w:val="009D47B1"/>
    <w:rsid w:val="00A53F64"/>
    <w:rsid w:val="00B60B21"/>
    <w:rsid w:val="00C75B88"/>
    <w:rsid w:val="00E23B2E"/>
    <w:rsid w:val="00E47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9E41D"/>
  <w15:chartTrackingRefBased/>
  <w15:docId w15:val="{78F5F26F-2059-4CE9-B4AE-F043F9EA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64"/>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2117</Words>
  <Characters>12070</Characters>
  <Application>Microsoft Office Word</Application>
  <DocSecurity>0</DocSecurity>
  <Lines>100</Lines>
  <Paragraphs>28</Paragraphs>
  <ScaleCrop>false</ScaleCrop>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2020-06-26T22:37:00Z</dcterms:created>
  <dcterms:modified xsi:type="dcterms:W3CDTF">2020-06-26T22:43:00Z</dcterms:modified>
</cp:coreProperties>
</file>