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120"/>
        <w:jc w:val="center"/>
      </w:pPr>
      <w:r>
        <w:rPr>
          <w:rFonts w:ascii="Arial" w:cs="Arial" w:eastAsia="Arial" w:hAnsi="Arial"/>
          <w:b/>
          <w:bCs/>
          <w:color w:val="1F4E8C"/>
          <w:sz w:val="72"/>
          <w:szCs w:val="72"/>
        </w:rPr>
        <w:t xml:space="preserve">ARTI-AIRLINK</w:t>
      </w:r>
    </w:p>
    <w:p>
      <w:pPr>
        <w:spacing w:before="0" w:after="80"/>
        <w:jc w:val="center"/>
      </w:pPr>
      <w:r>
        <w:rPr>
          <w:rFonts w:ascii="Arial" w:cs="Arial" w:eastAsia="Arial" w:hAnsi="Arial"/>
          <w:color w:val="2E74B5"/>
          <w:sz w:val="36"/>
          <w:szCs w:val="36"/>
        </w:rPr>
        <w:t xml:space="preserve">Système Hybride Drone : Inspection &amp; Transport Léger</w:t>
      </w:r>
    </w:p>
    <w:p>
      <w:pPr>
        <w:pBdr>
          <w:bottom w:val="single" w:color="1F4E8C" w:sz="8" w:space="1"/>
        </w:pBdr>
        <w:spacing w:before="120" w:after="120"/>
      </w:pPr>
      <w:r>
        <w:t xml:space="preserve"/>
      </w:r>
    </w:p>
    <w:p>
      <w:pPr>
        <w:spacing w:before="80" w:after="0"/>
      </w:pPr>
      <w:r>
        <w:t xml:space="preserve"/>
      </w:r>
    </w:p>
    <w:p>
      <w:pPr>
        <w:spacing w:before="80" w:after="80"/>
        <w:jc w:val="center"/>
      </w:pPr>
      <w:r>
        <w:rPr>
          <w:rFonts w:ascii="Arial" w:cs="Arial" w:eastAsia="Arial" w:hAnsi="Arial"/>
          <w:b/>
          <w:bCs/>
          <w:color w:val="404040"/>
          <w:sz w:val="26"/>
          <w:szCs w:val="26"/>
        </w:rPr>
        <w:t xml:space="preserve">RAPPORT SCIENTIFIQUE ET STRATÉGIQUE COMPLET</w:t>
      </w:r>
    </w:p>
    <w:p>
      <w:pPr>
        <w:spacing w:before="8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jc w:val="center"/>
            </w:pPr>
            <w:r>
              <w:rPr>
                <w:rFonts w:ascii="Arial" w:cs="Arial" w:eastAsia="Arial" w:hAnsi="Arial"/>
                <w:sz w:val="22"/>
                <w:szCs w:val="22"/>
              </w:rPr>
              <w:t xml:space="preserve">Version 2.0 — 2025</w:t>
            </w:r>
          </w:p>
          <w:p>
            <w:pPr>
              <w:jc w:val="center"/>
            </w:pPr>
            <w:r>
              <w:rPr>
                <w:rFonts w:ascii="Arial" w:cs="Arial" w:eastAsia="Arial" w:hAnsi="Arial"/>
                <w:sz w:val="22"/>
                <w:szCs w:val="22"/>
              </w:rPr>
              <w:t xml:space="preserve">Belgique → République Démocratique du Congo</w:t>
            </w:r>
          </w:p>
          <w:p>
            <w:pPr>
              <w:jc w:val="center"/>
            </w:pPr>
            <w:r>
              <w:rPr>
                <w:rFonts w:ascii="Arial" w:cs="Arial" w:eastAsia="Arial" w:hAnsi="Arial"/>
                <w:sz w:val="22"/>
                <w:szCs w:val="22"/>
              </w:rPr>
              <w:t xml:space="preserve">Secteurs : Agriculture • Logistique • Inspection Industrielle</w:t>
            </w:r>
          </w:p>
        </w:tc>
      </w:tr>
    </w:tbl>
    <w:p>
      <w:pPr>
        <w:spacing w:before="160" w:after="0"/>
      </w:pPr>
      <w:r>
        <w:t xml:space="preserve"/>
      </w:r>
    </w:p>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F4E8C"/>
          <w:sz w:val="36"/>
          <w:szCs w:val="36"/>
        </w:rPr>
        <w:t xml:space="preserve">1. Résumé Exécutif</w:t>
      </w:r>
    </w:p>
    <w:p>
      <w:pPr>
        <w:pBdr>
          <w:bottom w:val="single" w:color="1F4E8C" w:sz="8" w:space="1"/>
        </w:pBdr>
        <w:spacing w:before="120" w:after="120"/>
      </w:pPr>
      <w:r>
        <w:t xml:space="preserve"/>
      </w:r>
    </w:p>
    <w:p>
      <w:pPr>
        <w:spacing w:before="80" w:after="80"/>
        <w:jc w:val="both"/>
      </w:pPr>
      <w:r>
        <w:rPr>
          <w:rFonts w:ascii="Arial" w:cs="Arial" w:eastAsia="Arial" w:hAnsi="Arial"/>
          <w:sz w:val="22"/>
          <w:szCs w:val="22"/>
        </w:rPr>
        <w:t xml:space="preserve">Arti-AirLink est un projet technologique belge visant à développer un système de drone hybride capable d'effectuer des missions d'inspection industrielle et agricole, tout en assurant le transport de charges légères (300–500 g). Ce projet s'inscrit dans une vision entrepreneuriale progressive : démarrer en Belgique dans un cadre réglementaire maîtrisé, puis s'étendre vers des marchés à fort potentiel logistique, notamment la République Démocratique du Congo.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8C"/>
                <w:sz w:val="24"/>
                <w:szCs w:val="24"/>
              </w:rPr>
              <w:t xml:space="preserve">Points clés du projet</w:t>
            </w:r>
          </w:p>
          <w:p>
            <w:pPr>
              <w:pStyle w:val="ListParagraph"/>
              <w:numPr>
                <w:ilvl w:val="0"/>
                <w:numId w:val="2"/>
              </w:numPr>
              <w:spacing w:before="60" w:after="40"/>
            </w:pPr>
            <w:r>
              <w:rPr>
                <w:rFonts w:ascii="Arial" w:cs="Arial" w:eastAsia="Arial" w:hAnsi="Arial"/>
                <w:sz w:val="20"/>
                <w:szCs w:val="20"/>
              </w:rPr>
              <w:t xml:space="preserve">Drone hybride : inspection + transport léger jusqu'à 500 g</w:t>
            </w:r>
          </w:p>
          <w:p>
            <w:pPr>
              <w:pStyle w:val="ListParagraph"/>
              <w:numPr>
                <w:ilvl w:val="0"/>
                <w:numId w:val="2"/>
              </w:numPr>
              <w:spacing w:before="60" w:after="40"/>
            </w:pPr>
            <w:r>
              <w:rPr>
                <w:rFonts w:ascii="Arial" w:cs="Arial" w:eastAsia="Arial" w:hAnsi="Arial"/>
                <w:sz w:val="20"/>
                <w:szCs w:val="20"/>
              </w:rPr>
              <w:t xml:space="preserve">Ancrage en Belgique avec conformité DGTA/EASA dès le départ</w:t>
            </w:r>
          </w:p>
          <w:p>
            <w:pPr>
              <w:pStyle w:val="ListParagraph"/>
              <w:numPr>
                <w:ilvl w:val="0"/>
                <w:numId w:val="2"/>
              </w:numPr>
              <w:spacing w:before="60" w:after="40"/>
            </w:pPr>
            <w:r>
              <w:rPr>
                <w:rFonts w:ascii="Arial" w:cs="Arial" w:eastAsia="Arial" w:hAnsi="Arial"/>
                <w:sz w:val="20"/>
                <w:szCs w:val="20"/>
              </w:rPr>
              <w:t xml:space="preserve">Approche progressive en 3 phases sur 4 ans</w:t>
            </w:r>
          </w:p>
          <w:p>
            <w:pPr>
              <w:pStyle w:val="ListParagraph"/>
              <w:numPr>
                <w:ilvl w:val="0"/>
                <w:numId w:val="2"/>
              </w:numPr>
              <w:spacing w:before="60" w:after="40"/>
            </w:pPr>
            <w:r>
              <w:rPr>
                <w:rFonts w:ascii="Arial" w:cs="Arial" w:eastAsia="Arial" w:hAnsi="Arial"/>
                <w:sz w:val="20"/>
                <w:szCs w:val="20"/>
              </w:rPr>
              <w:t xml:space="preserve">Potentiel d'expansion vers l'Afrique subsaharienne</w:t>
            </w:r>
          </w:p>
          <w:p>
            <w:pPr>
              <w:pStyle w:val="ListParagraph"/>
              <w:numPr>
                <w:ilvl w:val="0"/>
                <w:numId w:val="2"/>
              </w:numPr>
              <w:spacing w:before="60" w:after="40"/>
            </w:pPr>
            <w:r>
              <w:rPr>
                <w:rFonts w:ascii="Arial" w:cs="Arial" w:eastAsia="Arial" w:hAnsi="Arial"/>
                <w:sz w:val="20"/>
                <w:szCs w:val="20"/>
              </w:rPr>
              <w:t xml:space="preserve">Intégration future d'intelligence artificielle embarquée</w:t>
            </w:r>
          </w:p>
        </w:tc>
      </w:tr>
    </w:tbl>
    <w:p>
      <w:pPr>
        <w:spacing w:before="160" w:after="0"/>
      </w:pPr>
      <w:r>
        <w:t xml:space="preserve"/>
      </w:r>
    </w:p>
    <w:p>
      <w:pPr>
        <w:pStyle w:val="Heading1"/>
        <w:spacing w:before="360" w:after="180"/>
      </w:pPr>
      <w:r>
        <w:rPr>
          <w:rFonts w:ascii="Arial" w:cs="Arial" w:eastAsia="Arial" w:hAnsi="Arial"/>
          <w:b/>
          <w:bCs/>
          <w:color w:val="1F4E8C"/>
          <w:sz w:val="36"/>
          <w:szCs w:val="36"/>
        </w:rPr>
        <w:t xml:space="preserve">2. Introduction</w:t>
      </w:r>
    </w:p>
    <w:p>
      <w:pPr>
        <w:pBdr>
          <w:bottom w:val="single" w:color="1F4E8C" w:sz="8" w:space="1"/>
        </w:pBdr>
        <w:spacing w:before="120" w:after="120"/>
      </w:pPr>
      <w:r>
        <w:t xml:space="preserve"/>
      </w:r>
    </w:p>
    <w:p>
      <w:pPr>
        <w:spacing w:before="80" w:after="80"/>
        <w:jc w:val="both"/>
      </w:pPr>
      <w:r>
        <w:rPr>
          <w:rFonts w:ascii="Arial" w:cs="Arial" w:eastAsia="Arial" w:hAnsi="Arial"/>
          <w:sz w:val="22"/>
          <w:szCs w:val="22"/>
        </w:rPr>
        <w:t xml:space="preserve">Le marché mondial des drones civils (UAS — Unmanned Aerial Systems) connaît une croissance exponentielle. Les secteurs industriels, agricoles et logistiques adoptent massivement ces technologies pour réduire les coûts opérationnels, améliorer la sécurité des inspections en zones difficiles d'accès et optimiser les chaînes de distribution.</w:t>
      </w:r>
    </w:p>
    <w:p>
      <w:pPr>
        <w:spacing w:before="80" w:after="0"/>
      </w:pPr>
      <w:r>
        <w:t xml:space="preserve"/>
      </w:r>
    </w:p>
    <w:p>
      <w:pPr>
        <w:pStyle w:val="Heading2"/>
        <w:spacing w:before="240" w:after="120"/>
      </w:pPr>
      <w:r>
        <w:rPr>
          <w:rFonts w:ascii="Arial" w:cs="Arial" w:eastAsia="Arial" w:hAnsi="Arial"/>
          <w:b/>
          <w:bCs/>
          <w:color w:val="2E74B5"/>
          <w:sz w:val="28"/>
          <w:szCs w:val="28"/>
        </w:rPr>
        <w:t xml:space="preserve">2.1 Contexte et motivation</w:t>
      </w:r>
    </w:p>
    <w:p>
      <w:pPr>
        <w:spacing w:before="80" w:after="80"/>
        <w:jc w:val="both"/>
      </w:pPr>
      <w:r>
        <w:rPr>
          <w:rFonts w:ascii="Arial" w:cs="Arial" w:eastAsia="Arial" w:hAnsi="Arial"/>
          <w:sz w:val="22"/>
          <w:szCs w:val="22"/>
        </w:rPr>
        <w:t xml:space="preserve">En Belgique, le cadre réglementaire européen (EASA) et national (DGTA) offre un environnement structuré propice au développement et à la commercialisation de services drone. C'est dans ce contexte qu'Arti-AirLink propose une solution hybride qui répond simultanément à deux besoins complémentaires :</w:t>
      </w:r>
    </w:p>
    <w:p>
      <w:pPr>
        <w:pStyle w:val="ListParagraph"/>
        <w:numPr>
          <w:ilvl w:val="0"/>
          <w:numId w:val="2"/>
        </w:numPr>
        <w:spacing w:before="60" w:after="60"/>
      </w:pPr>
      <w:r>
        <w:rPr>
          <w:rFonts w:ascii="Arial" w:cs="Arial" w:eastAsia="Arial" w:hAnsi="Arial"/>
          <w:sz w:val="22"/>
          <w:szCs w:val="22"/>
        </w:rPr>
        <w:t xml:space="preserve">L'inspection à distance de structures, cultures et infrastructures</w:t>
      </w:r>
    </w:p>
    <w:p>
      <w:pPr>
        <w:pStyle w:val="ListParagraph"/>
        <w:numPr>
          <w:ilvl w:val="0"/>
          <w:numId w:val="2"/>
        </w:numPr>
        <w:spacing w:before="60" w:after="60"/>
      </w:pPr>
      <w:r>
        <w:rPr>
          <w:rFonts w:ascii="Arial" w:cs="Arial" w:eastAsia="Arial" w:hAnsi="Arial"/>
          <w:sz w:val="22"/>
          <w:szCs w:val="22"/>
        </w:rPr>
        <w:t xml:space="preserve">Le transport de petits colis ou équipements légers en zones isolées ou à accès restreint</w:t>
      </w:r>
    </w:p>
    <w:p>
      <w:pPr>
        <w:spacing w:before="80" w:after="0"/>
      </w:pPr>
      <w:r>
        <w:t xml:space="preserve"/>
      </w:r>
    </w:p>
    <w:p>
      <w:pPr>
        <w:pStyle w:val="Heading2"/>
        <w:spacing w:before="240" w:after="120"/>
      </w:pPr>
      <w:r>
        <w:rPr>
          <w:rFonts w:ascii="Arial" w:cs="Arial" w:eastAsia="Arial" w:hAnsi="Arial"/>
          <w:b/>
          <w:bCs/>
          <w:color w:val="2E74B5"/>
          <w:sz w:val="28"/>
          <w:szCs w:val="28"/>
        </w:rPr>
        <w:t xml:space="preserve">2.2 Vision géographique</w:t>
      </w:r>
    </w:p>
    <w:p>
      <w:pPr>
        <w:spacing w:before="80" w:after="80"/>
        <w:jc w:val="both"/>
      </w:pPr>
      <w:r>
        <w:rPr>
          <w:rFonts w:ascii="Arial" w:cs="Arial" w:eastAsia="Arial" w:hAnsi="Arial"/>
          <w:sz w:val="22"/>
          <w:szCs w:val="22"/>
        </w:rPr>
        <w:t xml:space="preserve">La stratégie d'Arti-AirLink repose sur une expansion en deux temps. La Belgique constitue le marché pilote, permettant de valider le modèle technique et économique dans un contexte réglementé. La RDC et l'Afrique subsaharienne représentent le marché cible secondaire, où les besoins en logistique de dernier kilomètre sont immenses et les infrastructures routières insuffisantes.</w:t>
      </w:r>
    </w:p>
    <w:p>
      <w:pPr>
        <w:spacing w:before="160" w:after="0"/>
      </w:pPr>
      <w:r>
        <w:t xml:space="preserve"/>
      </w:r>
    </w:p>
    <w:p>
      <w:pPr>
        <w:pStyle w:val="Heading1"/>
        <w:spacing w:before="360" w:after="180"/>
      </w:pPr>
      <w:r>
        <w:rPr>
          <w:rFonts w:ascii="Arial" w:cs="Arial" w:eastAsia="Arial" w:hAnsi="Arial"/>
          <w:b/>
          <w:bCs/>
          <w:color w:val="1F4E8C"/>
          <w:sz w:val="36"/>
          <w:szCs w:val="36"/>
        </w:rPr>
        <w:t xml:space="preserve">3. Problématique</w:t>
      </w:r>
    </w:p>
    <w:p>
      <w:pPr>
        <w:pBdr>
          <w:bottom w:val="single" w:color="1F4E8C" w:sz="8" w:space="1"/>
        </w:pBdr>
        <w:spacing w:before="120" w:after="120"/>
      </w:pPr>
      <w:r>
        <w:t xml:space="preserve"/>
      </w:r>
    </w:p>
    <w:p>
      <w:pPr>
        <w:spacing w:before="80" w:after="80"/>
        <w:jc w:val="left"/>
      </w:pPr>
      <w:r>
        <w:rPr>
          <w:rFonts w:ascii="Arial" w:cs="Arial" w:eastAsia="Arial" w:hAnsi="Arial"/>
          <w:sz w:val="22"/>
          <w:szCs w:val="22"/>
        </w:rPr>
        <w:t xml:space="preserve">Le projet Arti-AirLink doit répondre à trois axes de problématiques interdépendantes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F4E8C"/>
                <w:sz w:val="24"/>
                <w:szCs w:val="24"/>
              </w:rPr>
              <w:t xml:space="preserve">⚙ Technique</w:t>
            </w:r>
          </w:p>
          <w:p>
            <w:pPr>
              <w:spacing w:before="0" w:after="0"/>
            </w:pPr>
            <w:r>
              <w:t xml:space="preserve"/>
            </w:r>
          </w:p>
          <w:p>
            <w:pPr>
              <w:spacing w:before="80" w:after="80"/>
              <w:jc w:val="left"/>
            </w:pPr>
            <w:r>
              <w:rPr>
                <w:rFonts w:ascii="Arial" w:cs="Arial" w:eastAsia="Arial" w:hAnsi="Arial"/>
                <w:sz w:val="22"/>
                <w:szCs w:val="22"/>
              </w:rPr>
              <w:t xml:space="preserve">Stabilisation d'un drone en présence de charges variables. L'absence d'IMU sur les modèles jouets entraîne une instabilité critique, notamment lors du largage de charges. Un système de contrôle PID adaptatif est indispensable.</w:t>
            </w:r>
          </w:p>
        </w:tc>
        <w:tc>
          <w:tcPr>
            <w:tcW w:type="dxa" w:w="4760"/>
            <w:tcBorders>
              <w:top w:val="none" w:color="FFFFFF" w:sz="0"/>
              <w:left w:val="none" w:color="FFFFFF" w:sz="0"/>
              <w:bottom w:val="none" w:color="FFFFFF" w:sz="0"/>
              <w:right w:val="none" w:color="FFFFFF" w:sz="0"/>
            </w:tcBorders>
            <w:tcMar>
              <w:top w:type="dxa" w:w="80"/>
              <w:left w:type="dxa" w:w="200"/>
              <w:bottom w:type="dxa" w:w="80"/>
              <w:right w:type="dxa" w:w="0"/>
            </w:tcMar>
          </w:tcPr>
          <w:p>
            <w:r>
              <w:rPr>
                <w:rFonts w:ascii="Arial" w:cs="Arial" w:eastAsia="Arial" w:hAnsi="Arial"/>
                <w:b/>
                <w:bCs/>
                <w:color w:val="1F4E8C"/>
                <w:sz w:val="24"/>
                <w:szCs w:val="24"/>
              </w:rPr>
              <w:t xml:space="preserve">📋 Réglementaire</w:t>
            </w:r>
          </w:p>
          <w:p>
            <w:pPr>
              <w:spacing w:before="0" w:after="0"/>
            </w:pPr>
            <w:r>
              <w:t xml:space="preserve"/>
            </w:r>
          </w:p>
          <w:p>
            <w:pPr>
              <w:spacing w:before="80" w:after="80"/>
              <w:jc w:val="left"/>
            </w:pPr>
            <w:r>
              <w:rPr>
                <w:rFonts w:ascii="Arial" w:cs="Arial" w:eastAsia="Arial" w:hAnsi="Arial"/>
                <w:sz w:val="22"/>
                <w:szCs w:val="22"/>
              </w:rPr>
              <w:t xml:space="preserve">Conformité aux normes EASA (catégories A1/A2/A3) et DGTA belge. Les opérations commerciales nécessitent une certification SORA complète, imposant une analyse de risque au sol et en vol.</w:t>
            </w:r>
          </w:p>
        </w:tc>
      </w:tr>
    </w:tbl>
    <w:p>
      <w:pPr>
        <w:spacing w:before="80" w:after="0"/>
      </w:pPr>
      <w:r>
        <w:t xml:space="preserve"/>
      </w:r>
    </w:p>
    <w:p>
      <w:pPr>
        <w:jc w:val="center"/>
      </w:pPr>
      <w:r>
        <w:rPr>
          <w:rFonts w:ascii="Arial" w:cs="Arial" w:eastAsia="Arial" w:hAnsi="Arial"/>
          <w:b/>
          <w:bCs/>
          <w:color w:val="1F4E8C"/>
          <w:sz w:val="24"/>
          <w:szCs w:val="24"/>
        </w:rPr>
        <w:t xml:space="preserve">💼 Entrepreneuriale</w:t>
      </w:r>
    </w:p>
    <w:p>
      <w:pPr>
        <w:spacing w:before="80" w:after="80"/>
        <w:jc w:val="left"/>
      </w:pPr>
      <w:r>
        <w:rPr>
          <w:rFonts w:ascii="Arial" w:cs="Arial" w:eastAsia="Arial" w:hAnsi="Arial"/>
          <w:sz w:val="22"/>
          <w:szCs w:val="22"/>
        </w:rPr>
        <w:t xml:space="preserve">Création d'un modèle économique viable avec des revenus en phase 1 (inspection) permettant de financer la R&amp;D de la phase 2 (drone custom). La contrainte principale est d'atteindre la rentabilité opérationnelle avant d'engager des investissements lourds en développement matériel.</w:t>
      </w:r>
    </w:p>
    <w:p>
      <w:pPr>
        <w:spacing w:before="160" w:after="0"/>
      </w:pPr>
      <w:r>
        <w:t xml:space="preserve"/>
      </w:r>
    </w:p>
    <w:p>
      <w:pPr>
        <w:pStyle w:val="Heading1"/>
        <w:spacing w:before="360" w:after="180"/>
      </w:pPr>
      <w:r>
        <w:rPr>
          <w:rFonts w:ascii="Arial" w:cs="Arial" w:eastAsia="Arial" w:hAnsi="Arial"/>
          <w:b/>
          <w:bCs/>
          <w:color w:val="1F4E8C"/>
          <w:sz w:val="36"/>
          <w:szCs w:val="36"/>
        </w:rPr>
        <w:t xml:space="preserve">4. Architecture Technique du Drone</w:t>
      </w:r>
    </w:p>
    <w:p>
      <w:pPr>
        <w:pBdr>
          <w:bottom w:val="single" w:color="1F4E8C" w:sz="8" w:space="1"/>
        </w:pBdr>
        <w:spacing w:before="120" w:after="120"/>
      </w:pPr>
      <w:r>
        <w:t xml:space="preserve"/>
      </w:r>
    </w:p>
    <w:p>
      <w:pPr>
        <w:pStyle w:val="Heading2"/>
        <w:spacing w:before="240" w:after="120"/>
      </w:pPr>
      <w:r>
        <w:rPr>
          <w:rFonts w:ascii="Arial" w:cs="Arial" w:eastAsia="Arial" w:hAnsi="Arial"/>
          <w:b/>
          <w:bCs/>
          <w:color w:val="2E74B5"/>
          <w:sz w:val="28"/>
          <w:szCs w:val="28"/>
        </w:rPr>
        <w:t xml:space="preserve">4.1 Analyse du drone initial</w:t>
      </w:r>
    </w:p>
    <w:p>
      <w:pPr>
        <w:spacing w:before="80" w:after="80"/>
        <w:jc w:val="left"/>
      </w:pPr>
      <w:r>
        <w:rPr>
          <w:rFonts w:ascii="Arial" w:cs="Arial" w:eastAsia="Arial" w:hAnsi="Arial"/>
          <w:sz w:val="22"/>
          <w:szCs w:val="22"/>
        </w:rPr>
        <w:t xml:space="preserve">Le point de départ technique est un drone jouet quadricoptère équipé de 4 moteurs brushed. L'analyse initiale a révélé plusieurs limitations critiques :</w:t>
      </w:r>
    </w:p>
    <w:p>
      <w:pPr>
        <w:pStyle w:val="ListParagraph"/>
        <w:numPr>
          <w:ilvl w:val="0"/>
          <w:numId w:val="2"/>
        </w:numPr>
        <w:spacing w:before="60" w:after="60"/>
      </w:pPr>
      <w:r>
        <w:rPr>
          <w:rFonts w:ascii="Arial" w:cs="Arial" w:eastAsia="Arial" w:hAnsi="Arial"/>
          <w:sz w:val="22"/>
          <w:szCs w:val="22"/>
        </w:rPr>
        <w:t xml:space="preserve">Absence de gyroscope embarqué — cause principale d'instabilité</w:t>
      </w:r>
    </w:p>
    <w:p>
      <w:pPr>
        <w:pStyle w:val="ListParagraph"/>
        <w:numPr>
          <w:ilvl w:val="0"/>
          <w:numId w:val="2"/>
        </w:numPr>
        <w:spacing w:before="60" w:after="60"/>
      </w:pPr>
      <w:r>
        <w:rPr>
          <w:rFonts w:ascii="Arial" w:cs="Arial" w:eastAsia="Arial" w:hAnsi="Arial"/>
          <w:sz w:val="22"/>
          <w:szCs w:val="22"/>
        </w:rPr>
        <w:t xml:space="preserve">Aucun retour d'information (feedback) sur l'attitude du drone</w:t>
      </w:r>
    </w:p>
    <w:p>
      <w:pPr>
        <w:pStyle w:val="ListParagraph"/>
        <w:numPr>
          <w:ilvl w:val="0"/>
          <w:numId w:val="2"/>
        </w:numPr>
        <w:spacing w:before="60" w:after="60"/>
      </w:pPr>
      <w:r>
        <w:rPr>
          <w:rFonts w:ascii="Arial" w:cs="Arial" w:eastAsia="Arial" w:hAnsi="Arial"/>
          <w:sz w:val="22"/>
          <w:szCs w:val="22"/>
        </w:rPr>
        <w:t xml:space="preserve">Moteurs non calibrés avec puissances asymétriques</w:t>
      </w:r>
    </w:p>
    <w:p>
      <w:pPr>
        <w:pStyle w:val="ListParagraph"/>
        <w:numPr>
          <w:ilvl w:val="0"/>
          <w:numId w:val="2"/>
        </w:numPr>
        <w:spacing w:before="60" w:after="60"/>
      </w:pPr>
      <w:r>
        <w:rPr>
          <w:rFonts w:ascii="Arial" w:cs="Arial" w:eastAsia="Arial" w:hAnsi="Arial"/>
          <w:sz w:val="22"/>
          <w:szCs w:val="22"/>
        </w:rPr>
        <w:t xml:space="preserve">Absence de contrôleur de vol dédié</w:t>
      </w:r>
    </w:p>
    <w:p>
      <w:pPr>
        <w:spacing w:before="80" w:after="0"/>
      </w:pPr>
      <w:r>
        <w:t xml:space="preserve"/>
      </w:r>
    </w:p>
    <w:p>
      <w:pPr>
        <w:pStyle w:val="Heading2"/>
        <w:spacing w:before="240" w:after="120"/>
      </w:pPr>
      <w:r>
        <w:rPr>
          <w:rFonts w:ascii="Arial" w:cs="Arial" w:eastAsia="Arial" w:hAnsi="Arial"/>
          <w:b/>
          <w:bCs/>
          <w:color w:val="2E74B5"/>
          <w:sz w:val="28"/>
          <w:szCs w:val="28"/>
        </w:rPr>
        <w:t xml:space="preserve">4.2 Système IMU et stabilisation</w:t>
      </w:r>
    </w:p>
    <w:p>
      <w:pPr>
        <w:spacing w:before="80" w:after="80"/>
        <w:jc w:val="left"/>
      </w:pPr>
      <w:r>
        <w:rPr>
          <w:rFonts w:ascii="Arial" w:cs="Arial" w:eastAsia="Arial" w:hAnsi="Arial"/>
          <w:sz w:val="22"/>
          <w:szCs w:val="22"/>
        </w:rPr>
        <w:t xml:space="preserve">L'Inertial Measurement Unit (IMU) est le composant central permettant la stabilisation du drone. Il combine plusieurs capteurs pour mesurer en temps réel l'orientation et les accélérations de l'appareil.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Accéléromètre 3 axes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Mesure les forces d'accélération linéaire (X, Y, Z)</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Gyroscope 3 axes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Mesure les vitesses angulaires (roulis, tangage, lacet)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Magnétomètre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Orientation par rapport au nord magnétique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Baromètre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Altitude absolue par pression atmosphérique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Fréquence de mise à jour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200–1000 Hz selon le modèle IMU</w:t>
            </w:r>
          </w:p>
        </w:tc>
      </w:tr>
    </w:tbl>
    <w:p>
      <w:pPr>
        <w:spacing w:before="80" w:after="0"/>
      </w:pPr>
      <w:r>
        <w:t xml:space="preserve"/>
      </w:r>
    </w:p>
    <w:p>
      <w:pPr>
        <w:pStyle w:val="Heading2"/>
        <w:spacing w:before="240" w:after="120"/>
      </w:pPr>
      <w:r>
        <w:rPr>
          <w:rFonts w:ascii="Arial" w:cs="Arial" w:eastAsia="Arial" w:hAnsi="Arial"/>
          <w:b/>
          <w:bCs/>
          <w:color w:val="2E74B5"/>
          <w:sz w:val="28"/>
          <w:szCs w:val="28"/>
        </w:rPr>
        <w:t xml:space="preserve">4.3 Contrôleur PID</w:t>
      </w:r>
    </w:p>
    <w:p>
      <w:pPr>
        <w:spacing w:before="80" w:after="80"/>
        <w:jc w:val="left"/>
      </w:pPr>
      <w:r>
        <w:rPr>
          <w:rFonts w:ascii="Arial" w:cs="Arial" w:eastAsia="Arial" w:hAnsi="Arial"/>
          <w:sz w:val="22"/>
          <w:szCs w:val="22"/>
        </w:rPr>
        <w:t xml:space="preserve">Le Proportionnel-Intégral-Dérivé (PID) est l'algorithme de contrôle qui exploite les données IMU pour corriger dynamiquement les vitesses des moteurs. Pour chaque axe de rotation, le contrôleur calcule :</w:t>
      </w:r>
    </w:p>
    <w:p>
      <w:pPr>
        <w:pStyle w:val="ListParagraph"/>
        <w:numPr>
          <w:ilvl w:val="0"/>
          <w:numId w:val="2"/>
        </w:numPr>
        <w:spacing w:before="60" w:after="60"/>
      </w:pPr>
      <w:r>
        <w:rPr>
          <w:rFonts w:ascii="Arial" w:cs="Arial" w:eastAsia="Arial" w:hAnsi="Arial"/>
          <w:sz w:val="22"/>
          <w:szCs w:val="22"/>
        </w:rPr>
        <w:t xml:space="preserve">Terme P (Proportionnel) : correction immédiate proportionnelle à l'erreur actuelle</w:t>
      </w:r>
    </w:p>
    <w:p>
      <w:pPr>
        <w:pStyle w:val="ListParagraph"/>
        <w:numPr>
          <w:ilvl w:val="0"/>
          <w:numId w:val="2"/>
        </w:numPr>
        <w:spacing w:before="60" w:after="60"/>
      </w:pPr>
      <w:r>
        <w:rPr>
          <w:rFonts w:ascii="Arial" w:cs="Arial" w:eastAsia="Arial" w:hAnsi="Arial"/>
          <w:sz w:val="22"/>
          <w:szCs w:val="22"/>
        </w:rPr>
        <w:t xml:space="preserve">Terme I (Intégral) : correction des erreurs persistantes accumulées dans le temps</w:t>
      </w:r>
    </w:p>
    <w:p>
      <w:pPr>
        <w:pStyle w:val="ListParagraph"/>
        <w:numPr>
          <w:ilvl w:val="0"/>
          <w:numId w:val="2"/>
        </w:numPr>
        <w:spacing w:before="60" w:after="60"/>
      </w:pPr>
      <w:r>
        <w:rPr>
          <w:rFonts w:ascii="Arial" w:cs="Arial" w:eastAsia="Arial" w:hAnsi="Arial"/>
          <w:sz w:val="22"/>
          <w:szCs w:val="22"/>
        </w:rPr>
        <w:t xml:space="preserve">Terme D (Dérivé) : anticipation des variations rapides pour amortir les oscillations</w:t>
      </w:r>
    </w:p>
    <w:p>
      <w:pPr>
        <w:spacing w:before="80" w:after="0"/>
      </w:pPr>
      <w:r>
        <w:t xml:space="preserve"/>
      </w:r>
    </w:p>
    <w:p>
      <w:pPr>
        <w:pStyle w:val="Heading2"/>
        <w:spacing w:before="240" w:after="120"/>
      </w:pPr>
      <w:r>
        <w:rPr>
          <w:rFonts w:ascii="Arial" w:cs="Arial" w:eastAsia="Arial" w:hAnsi="Arial"/>
          <w:b/>
          <w:bCs/>
          <w:color w:val="2E74B5"/>
          <w:sz w:val="28"/>
          <w:szCs w:val="28"/>
        </w:rPr>
        <w:t xml:space="preserve">4.4 Système de transport par servo</w:t>
      </w:r>
    </w:p>
    <w:p>
      <w:pPr>
        <w:spacing w:before="80" w:after="80"/>
        <w:jc w:val="left"/>
      </w:pPr>
      <w:r>
        <w:rPr>
          <w:rFonts w:ascii="Arial" w:cs="Arial" w:eastAsia="Arial" w:hAnsi="Arial"/>
          <w:sz w:val="22"/>
          <w:szCs w:val="22"/>
        </w:rPr>
        <w:t xml:space="preserve">Le mécanisme de largage de charge repose sur un servomoteur à position contrôlée. Le système est conçu pour :</w:t>
      </w:r>
    </w:p>
    <w:p>
      <w:pPr>
        <w:pStyle w:val="ListParagraph"/>
        <w:numPr>
          <w:ilvl w:val="0"/>
          <w:numId w:val="2"/>
        </w:numPr>
        <w:spacing w:before="60" w:after="60"/>
      </w:pPr>
      <w:r>
        <w:rPr>
          <w:rFonts w:ascii="Arial" w:cs="Arial" w:eastAsia="Arial" w:hAnsi="Arial"/>
          <w:sz w:val="22"/>
          <w:szCs w:val="22"/>
        </w:rPr>
        <w:t xml:space="preserve">Porter une charge cible de 300 à 500 grammes</w:t>
      </w:r>
    </w:p>
    <w:p>
      <w:pPr>
        <w:pStyle w:val="ListParagraph"/>
        <w:numPr>
          <w:ilvl w:val="0"/>
          <w:numId w:val="2"/>
        </w:numPr>
        <w:spacing w:before="60" w:after="60"/>
      </w:pPr>
      <w:r>
        <w:rPr>
          <w:rFonts w:ascii="Arial" w:cs="Arial" w:eastAsia="Arial" w:hAnsi="Arial"/>
          <w:sz w:val="22"/>
          <w:szCs w:val="22"/>
        </w:rPr>
        <w:t xml:space="preserve">Permettre un largage précis déclenché à distance (signal RC ou autonome)</w:t>
      </w:r>
    </w:p>
    <w:p>
      <w:pPr>
        <w:pStyle w:val="ListParagraph"/>
        <w:numPr>
          <w:ilvl w:val="0"/>
          <w:numId w:val="2"/>
        </w:numPr>
        <w:spacing w:before="60" w:after="60"/>
      </w:pPr>
      <w:r>
        <w:rPr>
          <w:rFonts w:ascii="Arial" w:cs="Arial" w:eastAsia="Arial" w:hAnsi="Arial"/>
          <w:sz w:val="22"/>
          <w:szCs w:val="22"/>
        </w:rPr>
        <w:t xml:space="preserve">Minimiser l'impact de la charge variable sur le centre de gravité du drone</w:t>
      </w:r>
    </w:p>
    <w:p>
      <w:pPr>
        <w:pStyle w:val="ListParagraph"/>
        <w:numPr>
          <w:ilvl w:val="0"/>
          <w:numId w:val="2"/>
        </w:numPr>
        <w:spacing w:before="60" w:after="60"/>
      </w:pPr>
      <w:r>
        <w:rPr>
          <w:rFonts w:ascii="Arial" w:cs="Arial" w:eastAsia="Arial" w:hAnsi="Arial"/>
          <w:sz w:val="22"/>
          <w:szCs w:val="22"/>
        </w:rPr>
        <w:t xml:space="preserve">Tests progressifs de charge pour valider la stabilité du vol en conditions réelles</w:t>
      </w:r>
    </w:p>
    <w:p>
      <w:pPr>
        <w:spacing w:before="160" w:after="0"/>
      </w:pPr>
      <w:r>
        <w:t xml:space="preserve"/>
      </w:r>
    </w:p>
    <w:p>
      <w:pPr>
        <w:pStyle w:val="Heading1"/>
        <w:spacing w:before="360" w:after="180"/>
      </w:pPr>
      <w:r>
        <w:rPr>
          <w:rFonts w:ascii="Arial" w:cs="Arial" w:eastAsia="Arial" w:hAnsi="Arial"/>
          <w:b/>
          <w:bCs/>
          <w:color w:val="1F4E8C"/>
          <w:sz w:val="36"/>
          <w:szCs w:val="36"/>
        </w:rPr>
        <w:t xml:space="preserve">5. Cadre Réglementaire</w:t>
      </w:r>
    </w:p>
    <w:p>
      <w:pPr>
        <w:pBdr>
          <w:bottom w:val="single" w:color="1F4E8C" w:sz="8" w:space="1"/>
        </w:pBdr>
        <w:spacing w:before="120" w:after="120"/>
      </w:pPr>
      <w:r>
        <w:t xml:space="preserve"/>
      </w:r>
    </w:p>
    <w:p>
      <w:pPr>
        <w:spacing w:before="80" w:after="80"/>
        <w:jc w:val="left"/>
      </w:pPr>
      <w:r>
        <w:rPr>
          <w:rFonts w:ascii="Arial" w:cs="Arial" w:eastAsia="Arial" w:hAnsi="Arial"/>
          <w:sz w:val="22"/>
          <w:szCs w:val="22"/>
        </w:rPr>
        <w:t xml:space="preserve">La conformité réglementaire est un pilier non négociable du projet. En Belgique, les opérations de drones sont encadrées par la réglementation EASA (EU 2019/947) et supervisées par la DGTA (Direction Générale Transport Aérien).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8C" w:val="clear"/>
            <w:tcMar>
              <w:top w:type="dxa" w:w="100"/>
              <w:left w:type="dxa" w:w="120"/>
              <w:bottom w:type="dxa" w:w="100"/>
              <w:right w:type="dxa" w:w="120"/>
            </w:tcMar>
          </w:tcPr>
          <w:p>
            <w:r>
              <w:rPr>
                <w:rFonts w:ascii="Arial" w:cs="Arial" w:eastAsia="Arial" w:hAnsi="Arial"/>
                <w:b/>
                <w:bCs/>
                <w:color w:val="FFFFFF"/>
                <w:sz w:val="20"/>
                <w:szCs w:val="20"/>
              </w:rPr>
              <w:t xml:space="preserve">Catégorie</w:t>
            </w:r>
          </w:p>
        </w:tc>
        <w:tc>
          <w:tcPr>
            <w:tcW w:type="dxa" w:w="3500"/>
            <w:tcBorders>
              <w:top w:val="single" w:color="CCCCCC" w:sz="1"/>
              <w:left w:val="single" w:color="CCCCCC" w:sz="1"/>
              <w:bottom w:val="single" w:color="CCCCCC" w:sz="1"/>
              <w:right w:val="single" w:color="CCCCCC" w:sz="1"/>
            </w:tcBorders>
            <w:shd w:fill="1F4E8C" w:val="clear"/>
            <w:tcMar>
              <w:top w:type="dxa" w:w="100"/>
              <w:left w:type="dxa" w:w="120"/>
              <w:bottom w:type="dxa" w:w="100"/>
              <w:right w:type="dxa" w:w="120"/>
            </w:tcMar>
          </w:tcPr>
          <w:p>
            <w:r>
              <w:rPr>
                <w:rFonts w:ascii="Arial" w:cs="Arial" w:eastAsia="Arial" w:hAnsi="Arial"/>
                <w:b/>
                <w:bCs/>
                <w:color w:val="FFFFFF"/>
                <w:sz w:val="20"/>
                <w:szCs w:val="20"/>
              </w:rPr>
              <w:t xml:space="preserve">Conditions</w:t>
            </w:r>
          </w:p>
        </w:tc>
        <w:tc>
          <w:tcPr>
            <w:tcW w:type="dxa" w:w="3660"/>
            <w:tcBorders>
              <w:top w:val="single" w:color="CCCCCC" w:sz="1"/>
              <w:left w:val="single" w:color="CCCCCC" w:sz="1"/>
              <w:bottom w:val="single" w:color="CCCCCC" w:sz="1"/>
              <w:right w:val="single" w:color="CCCCCC" w:sz="1"/>
            </w:tcBorders>
            <w:shd w:fill="1F4E8C" w:val="clear"/>
            <w:tcMar>
              <w:top w:type="dxa" w:w="100"/>
              <w:left w:type="dxa" w:w="120"/>
              <w:bottom w:type="dxa" w:w="100"/>
              <w:right w:type="dxa" w:w="120"/>
            </w:tcMar>
          </w:tcPr>
          <w:p>
            <w:r>
              <w:rPr>
                <w:rFonts w:ascii="Arial" w:cs="Arial" w:eastAsia="Arial" w:hAnsi="Arial"/>
                <w:b/>
                <w:bCs/>
                <w:color w:val="FFFFFF"/>
                <w:sz w:val="20"/>
                <w:szCs w:val="20"/>
              </w:rPr>
              <w:t xml:space="preserve">Cas d'usage Arti-AirLink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 A3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ouverte, masse &lt; 250 g, loin des personnes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Inspections agricoles en zones rurales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Proximité des habitations, masse &lt; 4 kg, C2</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Inspections urbaines et périurbaines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Opérations commerciales, analyse de risque complète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Livraison commerciale (Phase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DGTA Belgique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Enregistrement opérateur, assurance RC, formation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Obligatoire dès Phase 1</w:t>
            </w:r>
          </w:p>
        </w:tc>
      </w:tr>
    </w:tbl>
    <w:p>
      <w:pPr>
        <w:spacing w:before="80" w:after="0"/>
      </w:pPr>
      <w:r>
        <w:t xml:space="preserve"/>
      </w:r>
    </w:p>
    <w:p>
      <w:pPr>
        <w:pStyle w:val="Heading2"/>
        <w:spacing w:before="240" w:after="120"/>
      </w:pPr>
      <w:r>
        <w:rPr>
          <w:rFonts w:ascii="Arial" w:cs="Arial" w:eastAsia="Arial" w:hAnsi="Arial"/>
          <w:b/>
          <w:bCs/>
          <w:color w:val="2E74B5"/>
          <w:sz w:val="28"/>
          <w:szCs w:val="28"/>
        </w:rPr>
        <w:t xml:space="preserve">5.1 Démarches obligatoires dès la Phase 1</w:t>
      </w:r>
    </w:p>
    <w:p>
      <w:pPr>
        <w:pStyle w:val="ListParagraph"/>
        <w:numPr>
          <w:ilvl w:val="0"/>
          <w:numId w:val="2"/>
        </w:numPr>
        <w:spacing w:before="60" w:after="60"/>
      </w:pPr>
      <w:r>
        <w:rPr>
          <w:rFonts w:ascii="Arial" w:cs="Arial" w:eastAsia="Arial" w:hAnsi="Arial"/>
          <w:sz w:val="22"/>
          <w:szCs w:val="22"/>
        </w:rPr>
        <w:t xml:space="preserve">Enregistrement de l'opérateur auprès de la DGTA</w:t>
      </w:r>
    </w:p>
    <w:p>
      <w:pPr>
        <w:pStyle w:val="ListParagraph"/>
        <w:numPr>
          <w:ilvl w:val="0"/>
          <w:numId w:val="2"/>
        </w:numPr>
        <w:spacing w:before="60" w:after="60"/>
      </w:pPr>
      <w:r>
        <w:rPr>
          <w:rFonts w:ascii="Arial" w:cs="Arial" w:eastAsia="Arial" w:hAnsi="Arial"/>
          <w:sz w:val="22"/>
          <w:szCs w:val="22"/>
        </w:rPr>
        <w:t xml:space="preserve">Souscription à une assurance responsabilité civile (RC)</w:t>
      </w:r>
    </w:p>
    <w:p>
      <w:pPr>
        <w:pStyle w:val="ListParagraph"/>
        <w:numPr>
          <w:ilvl w:val="0"/>
          <w:numId w:val="2"/>
        </w:numPr>
        <w:spacing w:before="60" w:after="60"/>
      </w:pPr>
      <w:r>
        <w:rPr>
          <w:rFonts w:ascii="Arial" w:cs="Arial" w:eastAsia="Arial" w:hAnsi="Arial"/>
          <w:sz w:val="22"/>
          <w:szCs w:val="22"/>
        </w:rPr>
        <w:t xml:space="preserve">Obtention du brevet de pilote A2 pour vols en zone habitée</w:t>
      </w:r>
    </w:p>
    <w:p>
      <w:pPr>
        <w:pStyle w:val="ListParagraph"/>
        <w:numPr>
          <w:ilvl w:val="0"/>
          <w:numId w:val="2"/>
        </w:numPr>
        <w:spacing w:before="60" w:after="60"/>
      </w:pPr>
      <w:r>
        <w:rPr>
          <w:rFonts w:ascii="Arial" w:cs="Arial" w:eastAsia="Arial" w:hAnsi="Arial"/>
          <w:sz w:val="22"/>
          <w:szCs w:val="22"/>
        </w:rPr>
        <w:t xml:space="preserve">Balisage et signalisation des zones de vol</w:t>
      </w:r>
    </w:p>
    <w:p>
      <w:pPr>
        <w:pStyle w:val="ListParagraph"/>
        <w:numPr>
          <w:ilvl w:val="0"/>
          <w:numId w:val="2"/>
        </w:numPr>
        <w:spacing w:before="60" w:after="60"/>
      </w:pPr>
      <w:r>
        <w:rPr>
          <w:rFonts w:ascii="Arial" w:cs="Arial" w:eastAsia="Arial" w:hAnsi="Arial"/>
          <w:sz w:val="22"/>
          <w:szCs w:val="22"/>
        </w:rPr>
        <w:t xml:space="preserve">Tenue d'un registre des vols opérationnels</w:t>
      </w:r>
    </w:p>
    <w:p>
      <w:pPr>
        <w:spacing w:before="160" w:after="0"/>
      </w:pPr>
      <w:r>
        <w:t xml:space="preserve"/>
      </w:r>
    </w:p>
    <w:p>
      <w:pPr>
        <w:pStyle w:val="Heading1"/>
        <w:spacing w:before="360" w:after="180"/>
      </w:pPr>
      <w:r>
        <w:rPr>
          <w:rFonts w:ascii="Arial" w:cs="Arial" w:eastAsia="Arial" w:hAnsi="Arial"/>
          <w:b/>
          <w:bCs/>
          <w:color w:val="1F4E8C"/>
          <w:sz w:val="36"/>
          <w:szCs w:val="36"/>
        </w:rPr>
        <w:t xml:space="preserve">6. Stratégie de Développement Hybride</w:t>
      </w:r>
    </w:p>
    <w:p>
      <w:pPr>
        <w:pBdr>
          <w:bottom w:val="single" w:color="1F4E8C" w:sz="8" w:space="1"/>
        </w:pBdr>
        <w:spacing w:before="120" w:after="120"/>
      </w:pPr>
      <w:r>
        <w:t xml:space="preserve"/>
      </w:r>
    </w:p>
    <w:p>
      <w:pPr>
        <w:spacing w:before="80" w:after="80"/>
        <w:jc w:val="left"/>
      </w:pPr>
      <w:r>
        <w:rPr>
          <w:rFonts w:ascii="Arial" w:cs="Arial" w:eastAsia="Arial" w:hAnsi="Arial"/>
          <w:sz w:val="22"/>
          <w:szCs w:val="22"/>
        </w:rPr>
        <w:t xml:space="preserve">La stratégie hybride consiste à combiner l'utilisation d'un drone commercial disponible immédiatement avec le développement en parallèle d'un drone custom optimisé pour les besoins spécifiques d'Arti-AirLink.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F4E8C"/>
                <w:sz w:val="22"/>
                <w:szCs w:val="22"/>
              </w:rPr>
              <w:t xml:space="preserve">Drone Commercial (Court terme)</w:t>
            </w:r>
          </w:p>
          <w:p>
            <w:pPr>
              <w:spacing w:before="0" w:after="0"/>
            </w:pPr>
            <w:r>
              <w:t xml:space="preserve"/>
            </w:r>
          </w:p>
          <w:p>
            <w:pPr>
              <w:pStyle w:val="ListParagraph"/>
              <w:numPr>
                <w:ilvl w:val="0"/>
                <w:numId w:val="2"/>
              </w:numPr>
              <w:spacing w:before="60" w:after="60"/>
            </w:pPr>
            <w:r>
              <w:rPr>
                <w:rFonts w:ascii="Arial" w:cs="Arial" w:eastAsia="Arial" w:hAnsi="Arial"/>
                <w:sz w:val="22"/>
                <w:szCs w:val="22"/>
              </w:rPr>
              <w:t xml:space="preserve">Disponible immédiatement sur le marché</w:t>
            </w:r>
          </w:p>
          <w:p>
            <w:pPr>
              <w:pStyle w:val="ListParagraph"/>
              <w:numPr>
                <w:ilvl w:val="0"/>
                <w:numId w:val="2"/>
              </w:numPr>
              <w:spacing w:before="60" w:after="60"/>
            </w:pPr>
            <w:r>
              <w:rPr>
                <w:rFonts w:ascii="Arial" w:cs="Arial" w:eastAsia="Arial" w:hAnsi="Arial"/>
                <w:sz w:val="22"/>
                <w:szCs w:val="22"/>
              </w:rPr>
              <w:t xml:space="preserve">Coût d'acquisition faible (500–2000 €)</w:t>
            </w:r>
          </w:p>
          <w:p>
            <w:pPr>
              <w:pStyle w:val="ListParagraph"/>
              <w:numPr>
                <w:ilvl w:val="0"/>
                <w:numId w:val="2"/>
              </w:numPr>
              <w:spacing w:before="60" w:after="60"/>
            </w:pPr>
            <w:r>
              <w:rPr>
                <w:rFonts w:ascii="Arial" w:cs="Arial" w:eastAsia="Arial" w:hAnsi="Arial"/>
                <w:sz w:val="22"/>
                <w:szCs w:val="22"/>
              </w:rPr>
              <w:t xml:space="preserve">Conforme aux normes EASA existantes</w:t>
            </w:r>
          </w:p>
          <w:p>
            <w:pPr>
              <w:pStyle w:val="ListParagraph"/>
              <w:numPr>
                <w:ilvl w:val="0"/>
                <w:numId w:val="2"/>
              </w:numPr>
              <w:spacing w:before="60" w:after="60"/>
            </w:pPr>
            <w:r>
              <w:rPr>
                <w:rFonts w:ascii="Arial" w:cs="Arial" w:eastAsia="Arial" w:hAnsi="Arial"/>
                <w:sz w:val="22"/>
                <w:szCs w:val="22"/>
              </w:rPr>
              <w:t xml:space="preserve">Permet de démarrer les missions d'inspection rapidement</w:t>
            </w:r>
          </w:p>
          <w:p>
            <w:pPr>
              <w:pStyle w:val="ListParagraph"/>
              <w:numPr>
                <w:ilvl w:val="0"/>
                <w:numId w:val="2"/>
              </w:numPr>
              <w:spacing w:before="60" w:after="60"/>
            </w:pPr>
            <w:r>
              <w:rPr>
                <w:rFonts w:ascii="Arial" w:cs="Arial" w:eastAsia="Arial" w:hAnsi="Arial"/>
                <w:sz w:val="22"/>
                <w:szCs w:val="22"/>
              </w:rPr>
              <w:t xml:space="preserve">Génère des revenus dès la Phase 1</w:t>
            </w:r>
          </w:p>
        </w:tc>
        <w:tc>
          <w:tcPr>
            <w:tcW w:type="dxa" w:w="4760"/>
            <w:tcBorders>
              <w:top w:val="none" w:color="FFFFFF" w:sz="0"/>
              <w:left w:val="none" w:color="FFFFFF" w:sz="0"/>
              <w:bottom w:val="none" w:color="FFFFFF" w:sz="0"/>
              <w:right w:val="none" w:color="FFFFFF" w:sz="0"/>
            </w:tcBorders>
            <w:tcMar>
              <w:top w:type="dxa" w:w="80"/>
              <w:left w:type="dxa" w:w="200"/>
              <w:bottom w:type="dxa" w:w="80"/>
              <w:right w:type="dxa" w:w="0"/>
            </w:tcMar>
          </w:tcPr>
          <w:p>
            <w:r>
              <w:rPr>
                <w:rFonts w:ascii="Arial" w:cs="Arial" w:eastAsia="Arial" w:hAnsi="Arial"/>
                <w:b/>
                <w:bCs/>
                <w:color w:val="1F4E8C"/>
                <w:sz w:val="22"/>
                <w:szCs w:val="22"/>
              </w:rPr>
              <w:t xml:space="preserve">Drone Custom (Moyen terme)</w:t>
            </w:r>
          </w:p>
          <w:p>
            <w:pPr>
              <w:spacing w:before="0" w:after="0"/>
            </w:pPr>
            <w:r>
              <w:t xml:space="preserve"/>
            </w:r>
          </w:p>
          <w:p>
            <w:pPr>
              <w:pStyle w:val="ListParagraph"/>
              <w:numPr>
                <w:ilvl w:val="0"/>
                <w:numId w:val="2"/>
              </w:numPr>
              <w:spacing w:before="60" w:after="60"/>
            </w:pPr>
            <w:r>
              <w:rPr>
                <w:rFonts w:ascii="Arial" w:cs="Arial" w:eastAsia="Arial" w:hAnsi="Arial"/>
                <w:sz w:val="22"/>
                <w:szCs w:val="22"/>
              </w:rPr>
              <w:t xml:space="preserve">Optimisé pour charge 300–500 g</w:t>
            </w:r>
          </w:p>
          <w:p>
            <w:pPr>
              <w:pStyle w:val="ListParagraph"/>
              <w:numPr>
                <w:ilvl w:val="0"/>
                <w:numId w:val="2"/>
              </w:numPr>
              <w:spacing w:before="60" w:after="60"/>
            </w:pPr>
            <w:r>
              <w:rPr>
                <w:rFonts w:ascii="Arial" w:cs="Arial" w:eastAsia="Arial" w:hAnsi="Arial"/>
                <w:sz w:val="22"/>
                <w:szCs w:val="22"/>
              </w:rPr>
              <w:t xml:space="preserve">IMU et PID personnalisés</w:t>
            </w:r>
          </w:p>
          <w:p>
            <w:pPr>
              <w:pStyle w:val="ListParagraph"/>
              <w:numPr>
                <w:ilvl w:val="0"/>
                <w:numId w:val="2"/>
              </w:numPr>
              <w:spacing w:before="60" w:after="60"/>
            </w:pPr>
            <w:r>
              <w:rPr>
                <w:rFonts w:ascii="Arial" w:cs="Arial" w:eastAsia="Arial" w:hAnsi="Arial"/>
                <w:sz w:val="22"/>
                <w:szCs w:val="22"/>
              </w:rPr>
              <w:t xml:space="preserve">Autonomie et endurance améliorées</w:t>
            </w:r>
          </w:p>
          <w:p>
            <w:pPr>
              <w:pStyle w:val="ListParagraph"/>
              <w:numPr>
                <w:ilvl w:val="0"/>
                <w:numId w:val="2"/>
              </w:numPr>
              <w:spacing w:before="60" w:after="60"/>
            </w:pPr>
            <w:r>
              <w:rPr>
                <w:rFonts w:ascii="Arial" w:cs="Arial" w:eastAsia="Arial" w:hAnsi="Arial"/>
                <w:sz w:val="22"/>
                <w:szCs w:val="22"/>
              </w:rPr>
              <w:t xml:space="preserve">Coût de production maîtrisé à l'échelle</w:t>
            </w:r>
          </w:p>
          <w:p>
            <w:pPr>
              <w:pStyle w:val="ListParagraph"/>
              <w:numPr>
                <w:ilvl w:val="0"/>
                <w:numId w:val="2"/>
              </w:numPr>
              <w:spacing w:before="60" w:after="60"/>
            </w:pPr>
            <w:r>
              <w:rPr>
                <w:rFonts w:ascii="Arial" w:cs="Arial" w:eastAsia="Arial" w:hAnsi="Arial"/>
                <w:sz w:val="22"/>
                <w:szCs w:val="22"/>
              </w:rPr>
              <w:t xml:space="preserve">Propriété intellectuelle et avantage concurrentiel</w:t>
            </w:r>
          </w:p>
        </w:tc>
      </w:tr>
    </w:tbl>
    <w:p>
      <w:pPr>
        <w:spacing w:before="160" w:after="0"/>
      </w:pPr>
      <w:r>
        <w:t xml:space="preserve"/>
      </w:r>
    </w:p>
    <w:p>
      <w:pPr>
        <w:pStyle w:val="Heading1"/>
        <w:spacing w:before="360" w:after="180"/>
      </w:pPr>
      <w:r>
        <w:rPr>
          <w:rFonts w:ascii="Arial" w:cs="Arial" w:eastAsia="Arial" w:hAnsi="Arial"/>
          <w:b/>
          <w:bCs/>
          <w:color w:val="1F4E8C"/>
          <w:sz w:val="36"/>
          <w:szCs w:val="36"/>
        </w:rPr>
        <w:t xml:space="preserve">7. Modèle Économique</w:t>
      </w:r>
    </w:p>
    <w:p>
      <w:pPr>
        <w:pBdr>
          <w:bottom w:val="single" w:color="1F4E8C" w:sz="8" w:space="1"/>
        </w:pBdr>
        <w:spacing w:before="120" w:after="120"/>
      </w:pPr>
      <w:r>
        <w:t xml:space="preserve"/>
      </w:r>
    </w:p>
    <w:p>
      <w:pPr>
        <w:spacing w:before="80" w:after="80"/>
        <w:jc w:val="left"/>
      </w:pPr>
      <w:r>
        <w:rPr>
          <w:rFonts w:ascii="Arial" w:cs="Arial" w:eastAsia="Arial" w:hAnsi="Arial"/>
          <w:sz w:val="22"/>
          <w:szCs w:val="22"/>
        </w:rPr>
        <w:t xml:space="preserve">Le modèle économique d'Arti-AirLink repose sur une approche en trois phases progressives, chaque phase finançant la suivante pour limiter le recours à des capitaux extérieurs dans les premières années.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CCCCCC" w:sz="1"/>
              <w:left w:val="single" w:color="CCCCCC" w:sz="1"/>
              <w:bottom w:val="single" w:color="CCCCCC" w:sz="1"/>
              <w:right w:val="single" w:color="CCCCCC" w:sz="1"/>
            </w:tcBorders>
            <w:shd w:fill="1F4E8C"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8C" w:val="clear"/>
            <w:tcMar>
              <w:top w:type="dxa" w:w="100"/>
              <w:left w:type="dxa" w:w="120"/>
              <w:bottom w:type="dxa" w:w="100"/>
              <w:right w:type="dxa" w:w="120"/>
            </w:tcMar>
          </w:tcPr>
          <w:p>
            <w:r>
              <w:rPr>
                <w:rFonts w:ascii="Arial" w:cs="Arial" w:eastAsia="Arial" w:hAnsi="Arial"/>
                <w:b/>
                <w:bCs/>
                <w:color w:val="FFFFFF"/>
                <w:sz w:val="20"/>
                <w:szCs w:val="20"/>
              </w:rPr>
              <w:t xml:space="preserve">Période</w:t>
            </w:r>
          </w:p>
        </w:tc>
        <w:tc>
          <w:tcPr>
            <w:tcW w:type="dxa" w:w="3000"/>
            <w:tcBorders>
              <w:top w:val="single" w:color="CCCCCC" w:sz="1"/>
              <w:left w:val="single" w:color="CCCCCC" w:sz="1"/>
              <w:bottom w:val="single" w:color="CCCCCC" w:sz="1"/>
              <w:right w:val="single" w:color="CCCCCC" w:sz="1"/>
            </w:tcBorders>
            <w:shd w:fill="1F4E8C" w:val="clear"/>
            <w:tcMar>
              <w:top w:type="dxa" w:w="100"/>
              <w:left w:type="dxa" w:w="120"/>
              <w:bottom w:type="dxa" w:w="100"/>
              <w:right w:type="dxa" w:w="120"/>
            </w:tcMar>
          </w:tcPr>
          <w:p>
            <w:r>
              <w:rPr>
                <w:rFonts w:ascii="Arial" w:cs="Arial" w:eastAsia="Arial" w:hAnsi="Arial"/>
                <w:b/>
                <w:bCs/>
                <w:color w:val="FFFFFF"/>
                <w:sz w:val="20"/>
                <w:szCs w:val="20"/>
              </w:rPr>
              <w:t xml:space="preserve">Activité principale</w:t>
            </w:r>
          </w:p>
        </w:tc>
        <w:tc>
          <w:tcPr>
            <w:tcW w:type="dxa" w:w="3060"/>
            <w:tcBorders>
              <w:top w:val="single" w:color="CCCCCC" w:sz="1"/>
              <w:left w:val="single" w:color="CCCCCC" w:sz="1"/>
              <w:bottom w:val="single" w:color="CCCCCC" w:sz="1"/>
              <w:right w:val="single" w:color="CCCCCC" w:sz="1"/>
            </w:tcBorders>
            <w:shd w:fill="1F4E8C" w:val="clear"/>
            <w:tcMar>
              <w:top w:type="dxa" w:w="100"/>
              <w:left w:type="dxa" w:w="120"/>
              <w:bottom w:type="dxa" w:w="100"/>
              <w:right w:type="dxa" w:w="120"/>
            </w:tcMar>
          </w:tcPr>
          <w:p>
            <w:r>
              <w:rPr>
                <w:rFonts w:ascii="Arial" w:cs="Arial" w:eastAsia="Arial" w:hAnsi="Arial"/>
                <w:b/>
                <w:bCs/>
                <w:color w:val="FFFFFF"/>
                <w:sz w:val="20"/>
                <w:szCs w:val="20"/>
              </w:rPr>
              <w:t xml:space="preserve">Revenus estimés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Inspection industrielle &amp; agricole en Belgique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15 000 – 40 000 €/an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12–24 mois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R&amp;D drone custom, tests de transport léger</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30 000 – 70 000 €/an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24–48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Expansion internationale (RDC, Afrique)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100 000 €+/an</w:t>
            </w:r>
          </w:p>
        </w:tc>
      </w:tr>
    </w:tbl>
    <w:p>
      <w:pPr>
        <w:spacing w:before="80" w:after="0"/>
      </w:pPr>
      <w:r>
        <w:t xml:space="preserve"/>
      </w:r>
    </w:p>
    <w:p>
      <w:pPr>
        <w:pStyle w:val="Heading2"/>
        <w:spacing w:before="240" w:after="120"/>
      </w:pPr>
      <w:r>
        <w:rPr>
          <w:rFonts w:ascii="Arial" w:cs="Arial" w:eastAsia="Arial" w:hAnsi="Arial"/>
          <w:b/>
          <w:bCs/>
          <w:color w:val="2E74B5"/>
          <w:sz w:val="28"/>
          <w:szCs w:val="28"/>
        </w:rPr>
        <w:t xml:space="preserve">7.1 Sources de revenus</w:t>
      </w:r>
    </w:p>
    <w:p>
      <w:pPr>
        <w:pStyle w:val="ListParagraph"/>
        <w:numPr>
          <w:ilvl w:val="0"/>
          <w:numId w:val="2"/>
        </w:numPr>
        <w:spacing w:before="60" w:after="60"/>
      </w:pPr>
      <w:r>
        <w:rPr>
          <w:rFonts w:ascii="Arial" w:cs="Arial" w:eastAsia="Arial" w:hAnsi="Arial"/>
          <w:sz w:val="22"/>
          <w:szCs w:val="22"/>
        </w:rPr>
        <w:t xml:space="preserve">Services d'inspection : agriculture (cultures, irrigation), infrastructure (lignes HT, ponts), bâtiment (toitures, façades)</w:t>
      </w:r>
    </w:p>
    <w:p>
      <w:pPr>
        <w:pStyle w:val="ListParagraph"/>
        <w:numPr>
          <w:ilvl w:val="0"/>
          <w:numId w:val="2"/>
        </w:numPr>
        <w:spacing w:before="60" w:after="60"/>
      </w:pPr>
      <w:r>
        <w:rPr>
          <w:rFonts w:ascii="Arial" w:cs="Arial" w:eastAsia="Arial" w:hAnsi="Arial"/>
          <w:sz w:val="22"/>
          <w:szCs w:val="22"/>
        </w:rPr>
        <w:t xml:space="preserve">Location de drones avec opérateur certifié</w:t>
      </w:r>
    </w:p>
    <w:p>
      <w:pPr>
        <w:pStyle w:val="ListParagraph"/>
        <w:numPr>
          <w:ilvl w:val="0"/>
          <w:numId w:val="2"/>
        </w:numPr>
        <w:spacing w:before="60" w:after="60"/>
      </w:pPr>
      <w:r>
        <w:rPr>
          <w:rFonts w:ascii="Arial" w:cs="Arial" w:eastAsia="Arial" w:hAnsi="Arial"/>
          <w:sz w:val="22"/>
          <w:szCs w:val="22"/>
        </w:rPr>
        <w:t xml:space="preserve">Formation et conseil en réglementation drone</w:t>
      </w:r>
    </w:p>
    <w:p>
      <w:pPr>
        <w:pStyle w:val="ListParagraph"/>
        <w:numPr>
          <w:ilvl w:val="0"/>
          <w:numId w:val="2"/>
        </w:numPr>
        <w:spacing w:before="60" w:after="60"/>
      </w:pPr>
      <w:r>
        <w:rPr>
          <w:rFonts w:ascii="Arial" w:cs="Arial" w:eastAsia="Arial" w:hAnsi="Arial"/>
          <w:sz w:val="22"/>
          <w:szCs w:val="22"/>
        </w:rPr>
        <w:t xml:space="preserve">Transport léger en zone rurale et périurbaine (Phase 3)</w:t>
      </w:r>
    </w:p>
    <w:p>
      <w:pPr>
        <w:spacing w:before="80" w:after="0"/>
      </w:pPr>
      <w:r>
        <w:t xml:space="preserve"/>
      </w:r>
    </w:p>
    <w:p>
      <w:pPr>
        <w:pStyle w:val="Heading2"/>
        <w:spacing w:before="240" w:after="120"/>
      </w:pPr>
      <w:r>
        <w:rPr>
          <w:rFonts w:ascii="Arial" w:cs="Arial" w:eastAsia="Arial" w:hAnsi="Arial"/>
          <w:b/>
          <w:bCs/>
          <w:color w:val="2E74B5"/>
          <w:sz w:val="28"/>
          <w:szCs w:val="28"/>
        </w:rPr>
        <w:t xml:space="preserve">7.2 Structure de coûts</w:t>
      </w:r>
    </w:p>
    <w:p>
      <w:pPr>
        <w:pStyle w:val="ListParagraph"/>
        <w:numPr>
          <w:ilvl w:val="0"/>
          <w:numId w:val="2"/>
        </w:numPr>
        <w:spacing w:before="60" w:after="60"/>
      </w:pPr>
      <w:r>
        <w:rPr>
          <w:rFonts w:ascii="Arial" w:cs="Arial" w:eastAsia="Arial" w:hAnsi="Arial"/>
          <w:sz w:val="22"/>
          <w:szCs w:val="22"/>
        </w:rPr>
        <w:t xml:space="preserve">Équipement : 1 500–5 000 € (Phase 1), 15 000–30 000 € (Phase 2)</w:t>
      </w:r>
    </w:p>
    <w:p>
      <w:pPr>
        <w:pStyle w:val="ListParagraph"/>
        <w:numPr>
          <w:ilvl w:val="0"/>
          <w:numId w:val="2"/>
        </w:numPr>
        <w:spacing w:before="60" w:after="60"/>
      </w:pPr>
      <w:r>
        <w:rPr>
          <w:rFonts w:ascii="Arial" w:cs="Arial" w:eastAsia="Arial" w:hAnsi="Arial"/>
          <w:sz w:val="22"/>
          <w:szCs w:val="22"/>
        </w:rPr>
        <w:t xml:space="preserve">Certifications et assurances : 800–2 000 €/an</w:t>
      </w:r>
    </w:p>
    <w:p>
      <w:pPr>
        <w:pStyle w:val="ListParagraph"/>
        <w:numPr>
          <w:ilvl w:val="0"/>
          <w:numId w:val="2"/>
        </w:numPr>
        <w:spacing w:before="60" w:after="60"/>
      </w:pPr>
      <w:r>
        <w:rPr>
          <w:rFonts w:ascii="Arial" w:cs="Arial" w:eastAsia="Arial" w:hAnsi="Arial"/>
          <w:sz w:val="22"/>
          <w:szCs w:val="22"/>
        </w:rPr>
        <w:t xml:space="preserve">Maintenance et pièces de rechange : 10–15 % du CA</w:t>
      </w:r>
    </w:p>
    <w:p>
      <w:pPr>
        <w:pStyle w:val="ListParagraph"/>
        <w:numPr>
          <w:ilvl w:val="0"/>
          <w:numId w:val="2"/>
        </w:numPr>
        <w:spacing w:before="60" w:after="60"/>
      </w:pPr>
      <w:r>
        <w:rPr>
          <w:rFonts w:ascii="Arial" w:cs="Arial" w:eastAsia="Arial" w:hAnsi="Arial"/>
          <w:sz w:val="22"/>
          <w:szCs w:val="22"/>
        </w:rPr>
        <w:t xml:space="preserve">R&amp;D drone custom : 20 000–50 000 € sur 24 mois</w:t>
      </w:r>
    </w:p>
    <w:p>
      <w:pPr>
        <w:spacing w:before="160" w:after="0"/>
      </w:pPr>
      <w:r>
        <w:t xml:space="preserve"/>
      </w:r>
    </w:p>
    <w:p>
      <w:pPr>
        <w:pStyle w:val="Heading1"/>
        <w:spacing w:before="360" w:after="180"/>
      </w:pPr>
      <w:r>
        <w:rPr>
          <w:rFonts w:ascii="Arial" w:cs="Arial" w:eastAsia="Arial" w:hAnsi="Arial"/>
          <w:b/>
          <w:bCs/>
          <w:color w:val="1F4E8C"/>
          <w:sz w:val="36"/>
          <w:szCs w:val="36"/>
        </w:rPr>
        <w:t xml:space="preserve">8. Perspectives et Innovations Futures</w:t>
      </w:r>
    </w:p>
    <w:p>
      <w:pPr>
        <w:pBdr>
          <w:bottom w:val="single" w:color="1F4E8C" w:sz="8" w:space="1"/>
        </w:pBdr>
        <w:spacing w:before="120" w:after="120"/>
      </w:pPr>
      <w:r>
        <w:t xml:space="preserve"/>
      </w:r>
    </w:p>
    <w:p>
      <w:pPr>
        <w:pStyle w:val="Heading2"/>
        <w:spacing w:before="240" w:after="120"/>
      </w:pPr>
      <w:r>
        <w:rPr>
          <w:rFonts w:ascii="Arial" w:cs="Arial" w:eastAsia="Arial" w:hAnsi="Arial"/>
          <w:b/>
          <w:bCs/>
          <w:color w:val="2E74B5"/>
          <w:sz w:val="28"/>
          <w:szCs w:val="28"/>
        </w:rPr>
        <w:t xml:space="preserve">8.1 Intelligence artificielle embarquée</w:t>
      </w:r>
    </w:p>
    <w:p>
      <w:pPr>
        <w:spacing w:before="80" w:after="80"/>
        <w:jc w:val="left"/>
      </w:pPr>
      <w:r>
        <w:rPr>
          <w:rFonts w:ascii="Arial" w:cs="Arial" w:eastAsia="Arial" w:hAnsi="Arial"/>
          <w:sz w:val="22"/>
          <w:szCs w:val="22"/>
        </w:rPr>
        <w:t xml:space="preserve">L'intégration de modules IA permettra d'automatiser la détection d'anomalies lors des missions d'inspection. Des algorithmes de vision par ordinateur (Computer Vision) pourront identifier des défauts de structure, des zones de stress hydrique dans les cultures ou des anomalies thermiques sur des équipements industriels.</w:t>
      </w:r>
    </w:p>
    <w:p>
      <w:pPr>
        <w:spacing w:before="80" w:after="0"/>
      </w:pPr>
      <w:r>
        <w:t xml:space="preserve"/>
      </w:r>
    </w:p>
    <w:p>
      <w:pPr>
        <w:pStyle w:val="Heading2"/>
        <w:spacing w:before="240" w:after="120"/>
      </w:pPr>
      <w:r>
        <w:rPr>
          <w:rFonts w:ascii="Arial" w:cs="Arial" w:eastAsia="Arial" w:hAnsi="Arial"/>
          <w:b/>
          <w:bCs/>
          <w:color w:val="2E74B5"/>
          <w:sz w:val="28"/>
          <w:szCs w:val="28"/>
        </w:rPr>
        <w:t xml:space="preserve">8.2 Optimisation énergétique</w:t>
      </w:r>
    </w:p>
    <w:p>
      <w:pPr>
        <w:spacing w:before="80" w:after="80"/>
        <w:jc w:val="left"/>
      </w:pPr>
      <w:r>
        <w:rPr>
          <w:rFonts w:ascii="Arial" w:cs="Arial" w:eastAsia="Arial" w:hAnsi="Arial"/>
          <w:sz w:val="22"/>
          <w:szCs w:val="22"/>
        </w:rPr>
        <w:t xml:space="preserve">Le développement de batteries LiPo haute densité et de systèmes de recharge rapide sur le terrain est un axe prioritaire. Des solutions de recharge solaire pour les opérations en zone isolée (notamment en RDC) sont à l'étude.</w:t>
      </w:r>
    </w:p>
    <w:p>
      <w:pPr>
        <w:spacing w:before="80" w:after="0"/>
      </w:pPr>
      <w:r>
        <w:t xml:space="preserve"/>
      </w:r>
    </w:p>
    <w:p>
      <w:pPr>
        <w:pStyle w:val="Heading2"/>
        <w:spacing w:before="240" w:after="120"/>
      </w:pPr>
      <w:r>
        <w:rPr>
          <w:rFonts w:ascii="Arial" w:cs="Arial" w:eastAsia="Arial" w:hAnsi="Arial"/>
          <w:b/>
          <w:bCs/>
          <w:color w:val="2E74B5"/>
          <w:sz w:val="28"/>
          <w:szCs w:val="28"/>
        </w:rPr>
        <w:t xml:space="preserve">8.3 Expansion africaine</w:t>
      </w:r>
    </w:p>
    <w:p>
      <w:pPr>
        <w:spacing w:before="80" w:after="80"/>
        <w:jc w:val="left"/>
      </w:pPr>
      <w:r>
        <w:rPr>
          <w:rFonts w:ascii="Arial" w:cs="Arial" w:eastAsia="Arial" w:hAnsi="Arial"/>
          <w:sz w:val="22"/>
          <w:szCs w:val="22"/>
        </w:rPr>
        <w:t xml:space="preserve">La RDC présente un potentiel considérable pour le transport de médicaments, de kits médicaux et de petits équipements dans les zones à faible couverture routière. Des partenariats avec des ONG et des acteurs de la santé publique pourraient constituer les premiers clients sur ce marché.</w:t>
      </w:r>
    </w:p>
    <w:p>
      <w:pPr>
        <w:spacing w:before="160" w:after="0"/>
      </w:pPr>
      <w:r>
        <w:t xml:space="preserve"/>
      </w:r>
    </w:p>
    <w:p>
      <w:pPr>
        <w:pStyle w:val="Heading1"/>
        <w:spacing w:before="360" w:after="180"/>
      </w:pPr>
      <w:r>
        <w:rPr>
          <w:rFonts w:ascii="Arial" w:cs="Arial" w:eastAsia="Arial" w:hAnsi="Arial"/>
          <w:b/>
          <w:bCs/>
          <w:color w:val="1F4E8C"/>
          <w:sz w:val="36"/>
          <w:szCs w:val="36"/>
        </w:rPr>
        <w:t xml:space="preserve">9. Conclusion</w:t>
      </w:r>
    </w:p>
    <w:p>
      <w:pPr>
        <w:pBdr>
          <w:bottom w:val="single" w:color="1F4E8C" w:sz="8" w:space="1"/>
        </w:pBdr>
        <w:spacing w:before="120" w:after="120"/>
      </w:pPr>
      <w:r>
        <w:t xml:space="preserve"/>
      </w:r>
    </w:p>
    <w:p>
      <w:pPr>
        <w:spacing w:before="80" w:after="80"/>
        <w:jc w:val="both"/>
      </w:pPr>
      <w:r>
        <w:rPr>
          <w:rFonts w:ascii="Arial" w:cs="Arial" w:eastAsia="Arial" w:hAnsi="Arial"/>
          <w:sz w:val="22"/>
          <w:szCs w:val="22"/>
        </w:rPr>
        <w:t xml:space="preserve">Le projet Arti-AirLink est techniquement réalisable et économiquement viable à condition d'adopter une approche progressive et structurée. La phase d'inspection constitue un point d'entrée stratégique idéal : elle génère des revenus rapides, renforce la crédibilité du projet auprès des partenaires et investisseurs, et permet d'accumuler une expérience opérationnelle précieuse pour les phases suivantes.</w:t>
      </w:r>
    </w:p>
    <w:p>
      <w:pPr>
        <w:spacing w:before="80" w:after="0"/>
      </w:pPr>
      <w:r>
        <w:t xml:space="preserve"/>
      </w:r>
    </w:p>
    <w:p>
      <w:pPr>
        <w:spacing w:before="80" w:after="80"/>
        <w:jc w:val="both"/>
      </w:pPr>
      <w:r>
        <w:rPr>
          <w:rFonts w:ascii="Arial" w:cs="Arial" w:eastAsia="Arial" w:hAnsi="Arial"/>
          <w:sz w:val="22"/>
          <w:szCs w:val="22"/>
        </w:rPr>
        <w:t xml:space="preserve">La combinaison d'une rigueur technique (IMU, PID, système de largage), d'une conformité réglementaire proactive et d'un modèle économique autofinancé positionne Arti-AirLink comme un acteur sérieux et différencié sur le marché européen des drones civils, avec une vision d'expansion africaine unique.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8C"/>
                <w:sz w:val="24"/>
                <w:szCs w:val="24"/>
              </w:rPr>
              <w:t xml:space="preserve">Facteurs clés de succès</w:t>
            </w:r>
          </w:p>
          <w:p>
            <w:pPr>
              <w:pStyle w:val="ListParagraph"/>
              <w:numPr>
                <w:ilvl w:val="0"/>
                <w:numId w:val="2"/>
              </w:numPr>
              <w:spacing w:before="60" w:after="40"/>
            </w:pPr>
            <w:r>
              <w:rPr>
                <w:rFonts w:ascii="Arial" w:cs="Arial" w:eastAsia="Arial" w:hAnsi="Arial"/>
                <w:sz w:val="20"/>
                <w:szCs w:val="20"/>
              </w:rPr>
              <w:t xml:space="preserve">Maîtrise technique : stabilisation, transport, autonomie</w:t>
            </w:r>
          </w:p>
          <w:p>
            <w:pPr>
              <w:pStyle w:val="ListParagraph"/>
              <w:numPr>
                <w:ilvl w:val="0"/>
                <w:numId w:val="2"/>
              </w:numPr>
              <w:spacing w:before="60" w:after="40"/>
            </w:pPr>
            <w:r>
              <w:rPr>
                <w:rFonts w:ascii="Arial" w:cs="Arial" w:eastAsia="Arial" w:hAnsi="Arial"/>
                <w:sz w:val="20"/>
                <w:szCs w:val="20"/>
              </w:rPr>
              <w:t xml:space="preserve">Conformité réglementaire DGTA/EASA dès le premier jour</w:t>
            </w:r>
          </w:p>
          <w:p>
            <w:pPr>
              <w:pStyle w:val="ListParagraph"/>
              <w:numPr>
                <w:ilvl w:val="0"/>
                <w:numId w:val="2"/>
              </w:numPr>
              <w:spacing w:before="60" w:after="40"/>
            </w:pPr>
            <w:r>
              <w:rPr>
                <w:rFonts w:ascii="Arial" w:cs="Arial" w:eastAsia="Arial" w:hAnsi="Arial"/>
                <w:sz w:val="20"/>
                <w:szCs w:val="20"/>
              </w:rPr>
              <w:t xml:space="preserve">Modèle hybride limitant les risques financiers</w:t>
            </w:r>
          </w:p>
          <w:p>
            <w:pPr>
              <w:pStyle w:val="ListParagraph"/>
              <w:numPr>
                <w:ilvl w:val="0"/>
                <w:numId w:val="2"/>
              </w:numPr>
              <w:spacing w:before="60" w:after="40"/>
            </w:pPr>
            <w:r>
              <w:rPr>
                <w:rFonts w:ascii="Arial" w:cs="Arial" w:eastAsia="Arial" w:hAnsi="Arial"/>
                <w:sz w:val="20"/>
                <w:szCs w:val="20"/>
              </w:rPr>
              <w:t xml:space="preserve">Vision long terme avec ancrage local fort</w:t>
            </w:r>
          </w:p>
          <w:p>
            <w:pPr>
              <w:pStyle w:val="ListParagraph"/>
              <w:numPr>
                <w:ilvl w:val="0"/>
                <w:numId w:val="2"/>
              </w:numPr>
              <w:spacing w:before="60" w:after="40"/>
            </w:pPr>
            <w:r>
              <w:rPr>
                <w:rFonts w:ascii="Arial" w:cs="Arial" w:eastAsia="Arial" w:hAnsi="Arial"/>
                <w:sz w:val="20"/>
                <w:szCs w:val="20"/>
              </w:rPr>
              <w:t xml:space="preserve">Différenciation par l'IA et l'optimisation énergétique</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8C" w:sz="4" w:space="1"/>
      </w:pBdr>
      <w:spacing w:before="100"/>
      <w:jc w:val="center"/>
    </w:pPr>
    <w:r>
      <w:rPr>
        <w:rFonts w:ascii="Arial" w:cs="Arial" w:eastAsia="Arial" w:hAnsi="Arial"/>
        <w:color w:val="666666"/>
        <w:sz w:val="18"/>
        <w:szCs w:val="18"/>
      </w:rPr>
      <w:t xml:space="preserve">Arti-AirLink — Rapport Scientifique et Stratégique   |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8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2026-03-28T01:30:04.447Z</dcterms:created>
  <dcterms:modified xsi:type="dcterms:W3CDTF">2026-03-28T01:30:04.448Z</dcterms:modified>
</cp:coreProperties>
</file>

<file path=docProps/custom.xml><?xml version="1.0" encoding="utf-8"?>
<Properties xmlns="http://schemas.openxmlformats.org/officeDocument/2006/custom-properties" xmlns:vt="http://schemas.openxmlformats.org/officeDocument/2006/docPropsVTypes"/>
</file>