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73"/>
        <w:pBdr/>
        <w:spacing/>
        <w:ind/>
        <w:rPr/>
      </w:pPr>
      <w:r>
        <w:t xml:space="preserve">Voici une première synthèse centrée sur la période </w:t>
      </w:r>
      <w:r>
        <w:rPr>
          <w:b/>
          <w:bCs/>
        </w:rPr>
        <w:t xml:space="preserve">mi</w:t>
        <w:noBreakHyphen/>
        <w:t xml:space="preserve">février – mi</w:t>
        <w:noBreakHyphen/>
        <w:t xml:space="preserve">mars 2026</w:t>
      </w:r>
      <w:r>
        <w:t xml:space="preserve"> et sur l’UE/France, avec un fort filtrage sur : maladies cardiaques chroniques, suivi à domicile / télésurveillance, usage significatif d’IA.</w:t>
      </w:r>
      <w:r/>
    </w:p>
    <w:p>
      <w:pPr>
        <w:pStyle w:val="773"/>
        <w:pBdr/>
        <w:spacing/>
        <w:ind/>
        <w:rPr/>
      </w:pPr>
      <w:r>
        <mc:AlternateContent>
          <mc:Choice Requires="wpg">
            <w:drawing>
              <wp:inline xmlns:wp="http://schemas.openxmlformats.org/drawingml/2006/wordprocessingDrawing" distT="0" distB="0" distL="0" distR="0">
                <wp:extent cx="889254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8892720" cy="19080"/>
                        </a:xfrm>
                        <a:prstGeom prst="rect">
                          <a:avLst/>
                        </a:prstGeom>
                        <a:solidFill>
                          <a:srgbClr val="A0A0A0"/>
                        </a:solidFill>
                        <a:ln w="0">
                          <a:noFill/>
                        </a:ln>
                      </wps:spPr>
                      <wps:bodyPr rot="0">
                        <a:prstTxWarp prst="textNoShape">
                          <a:avLst/>
                        </a:prstTxWarp>
                        <a:noAutofit/>
                      </wps:bodyPr>
                    </wps:wsp>
                  </a:graphicData>
                </a:graphic>
              </wp:inline>
            </w:drawing>
          </mc:Choice>
          <mc:Fallback>
            <w:pict>
              <v:shape id="shape 1" o:spid="_x0000_s1" o:spt="1" type="#_x0000_t1" style="width:700.20pt;height:1.50pt;mso-wrap-distance-left:0.00pt;mso-wrap-distance-top:0.00pt;mso-wrap-distance-right:0.00pt;mso-wrap-distance-bottom:0.00pt;visibility:visible;" fillcolor="#A0A0A0" stroked="f" strokeweight="0.00pt"/>
            </w:pict>
          </mc:Fallback>
        </mc:AlternateContent>
      </w:r>
      <w:r/>
    </w:p>
    <w:p>
      <w:pPr>
        <w:pStyle w:val="773"/>
        <w:pBdr/>
        <w:spacing/>
        <w:ind/>
        <w:rPr>
          <w:b/>
          <w:bCs/>
        </w:rPr>
      </w:pPr>
      <w:r>
        <w:rPr>
          <w:b/>
          <w:bCs/>
        </w:rPr>
        <w:t xml:space="preserve">Tableau de veille (trié par pertinence puis récence)</w:t>
      </w:r>
      <w:r>
        <w:rPr>
          <w:b/>
          <w:bCs/>
        </w:rPr>
      </w:r>
    </w:p>
    <w:tbl>
      <w:tblPr>
        <w:tblW w:w="14003" w:type="dxa"/>
        <w:tblInd w:w="0" w:type="dxa"/>
        <w:tblBorders/>
        <w:tblLayout w:type="fixed"/>
        <w:tblCellMar>
          <w:left w:w="15" w:type="dxa"/>
          <w:top w:w="15" w:type="dxa"/>
          <w:right w:w="15" w:type="dxa"/>
          <w:bottom w:w="15" w:type="dxa"/>
        </w:tblCellMar>
        <w:tblLook w:val="04A0" w:firstRow="1" w:lastRow="0" w:firstColumn="1" w:lastColumn="0" w:noHBand="0" w:noVBand="1"/>
      </w:tblPr>
      <w:tblGrid>
        <w:gridCol w:w="871"/>
        <w:gridCol w:w="1539"/>
        <w:gridCol w:w="1134"/>
        <w:gridCol w:w="1984"/>
        <w:gridCol w:w="2761"/>
        <w:gridCol w:w="3759"/>
        <w:gridCol w:w="1955"/>
      </w:tblGrid>
      <w:tr>
        <w:trPr>
          <w:trHeight w:val="1552"/>
          <w:tblHeader/>
        </w:trPr>
        <w:tc>
          <w:tcPr>
            <w:tcBorders/>
            <w:tcW w:w="871" w:type="dxa"/>
            <w:vAlign w:val="center"/>
            <w:textDirection w:val="lrTb"/>
            <w:noWrap w:val="false"/>
          </w:tcPr>
          <w:p>
            <w:pPr>
              <w:pStyle w:val="773"/>
              <w:pBdr/>
              <w:spacing w:after="160" w:before="0"/>
              <w:ind/>
              <w:rPr>
                <w:b/>
                <w:bCs/>
              </w:rPr>
            </w:pPr>
            <w:r>
              <w:rPr>
                <w:b/>
                <w:bCs/>
              </w:rPr>
              <w:t xml:space="preserve">Date (2026)</w:t>
            </w:r>
            <w:r>
              <w:rPr>
                <w:b/>
                <w:bCs/>
              </w:rPr>
            </w:r>
          </w:p>
        </w:tc>
        <w:tc>
          <w:tcPr>
            <w:tcBorders/>
            <w:tcW w:w="1539" w:type="dxa"/>
            <w:vAlign w:val="center"/>
            <w:textDirection w:val="lrTb"/>
            <w:noWrap w:val="false"/>
          </w:tcPr>
          <w:p>
            <w:pPr>
              <w:pStyle w:val="773"/>
              <w:pBdr/>
              <w:spacing w:after="160" w:before="0"/>
              <w:ind/>
              <w:rPr>
                <w:b/>
                <w:bCs/>
              </w:rPr>
            </w:pPr>
            <w:r>
              <w:rPr>
                <w:b/>
                <w:bCs/>
              </w:rPr>
              <w:t xml:space="preserve">Titre</w:t>
            </w:r>
            <w:r>
              <w:rPr>
                <w:b/>
                <w:bCs/>
              </w:rPr>
            </w:r>
          </w:p>
        </w:tc>
        <w:tc>
          <w:tcPr>
            <w:tcBorders/>
            <w:tcW w:w="1134" w:type="dxa"/>
            <w:vAlign w:val="center"/>
            <w:textDirection w:val="lrTb"/>
            <w:noWrap w:val="false"/>
          </w:tcPr>
          <w:p>
            <w:pPr>
              <w:pStyle w:val="773"/>
              <w:pBdr/>
              <w:spacing w:after="160" w:before="0"/>
              <w:ind/>
              <w:rPr>
                <w:b/>
                <w:bCs/>
              </w:rPr>
            </w:pPr>
            <w:r>
              <w:rPr>
                <w:b/>
                <w:bCs/>
              </w:rPr>
              <w:t xml:space="preserve">Type d’info</w:t>
            </w:r>
            <w:r>
              <w:rPr>
                <w:b/>
                <w:bCs/>
              </w:rPr>
            </w:r>
          </w:p>
        </w:tc>
        <w:tc>
          <w:tcPr>
            <w:tcBorders/>
            <w:tcW w:w="1984" w:type="dxa"/>
            <w:vAlign w:val="center"/>
            <w:textDirection w:val="lrTb"/>
            <w:noWrap w:val="false"/>
          </w:tcPr>
          <w:p>
            <w:pPr>
              <w:pStyle w:val="773"/>
              <w:pBdr/>
              <w:spacing w:after="160" w:before="0"/>
              <w:ind/>
              <w:rPr>
                <w:b/>
                <w:bCs/>
              </w:rPr>
            </w:pPr>
            <w:r>
              <w:rPr>
                <w:b/>
                <w:bCs/>
              </w:rPr>
              <w:t xml:space="preserve">Acteurs clés</w:t>
            </w:r>
            <w:r>
              <w:rPr>
                <w:b/>
                <w:bCs/>
              </w:rPr>
            </w:r>
          </w:p>
        </w:tc>
        <w:tc>
          <w:tcPr>
            <w:tcBorders/>
            <w:tcW w:w="2761" w:type="dxa"/>
            <w:vAlign w:val="center"/>
            <w:textDirection w:val="lrTb"/>
            <w:noWrap w:val="false"/>
          </w:tcPr>
          <w:p>
            <w:pPr>
              <w:pStyle w:val="773"/>
              <w:pBdr/>
              <w:spacing w:after="160" w:before="0"/>
              <w:ind/>
              <w:rPr>
                <w:b/>
                <w:bCs/>
              </w:rPr>
            </w:pPr>
            <w:r>
              <w:rPr>
                <w:b/>
                <w:bCs/>
              </w:rPr>
              <w:t xml:space="preserve">Synthèse</w:t>
            </w:r>
            <w:r>
              <w:rPr>
                <w:b/>
                <w:bCs/>
              </w:rPr>
            </w:r>
          </w:p>
        </w:tc>
        <w:tc>
          <w:tcPr>
            <w:tcBorders/>
            <w:tcW w:w="3759" w:type="dxa"/>
            <w:vAlign w:val="center"/>
            <w:textDirection w:val="lrTb"/>
            <w:noWrap w:val="false"/>
          </w:tcPr>
          <w:p>
            <w:pPr>
              <w:pStyle w:val="773"/>
              <w:pBdr/>
              <w:spacing w:after="160" w:before="0"/>
              <w:ind/>
              <w:rPr>
                <w:b/>
                <w:bCs/>
              </w:rPr>
            </w:pPr>
            <w:r>
              <w:rPr>
                <w:b/>
                <w:bCs/>
              </w:rPr>
              <w:t xml:space="preserve">Impact Stratégique (patients / soignants / industriels)</w:t>
            </w:r>
            <w:r>
              <w:rPr>
                <w:b/>
                <w:bCs/>
              </w:rPr>
            </w:r>
          </w:p>
        </w:tc>
        <w:tc>
          <w:tcPr>
            <w:tcBorders/>
            <w:tcW w:w="1955" w:type="dxa"/>
            <w:vAlign w:val="center"/>
            <w:textDirection w:val="lrTb"/>
            <w:noWrap w:val="false"/>
          </w:tcPr>
          <w:p>
            <w:pPr>
              <w:pStyle w:val="773"/>
              <w:pBdr/>
              <w:spacing w:after="160" w:before="0"/>
              <w:ind/>
              <w:rPr>
                <w:b/>
                <w:bCs/>
              </w:rPr>
            </w:pPr>
            <w:r>
              <w:rPr>
                <w:b/>
                <w:bCs/>
              </w:rPr>
              <w:t xml:space="preserve">Lien / Source</w:t>
            </w:r>
            <w:r>
              <w:rPr>
                <w:b/>
                <w:bCs/>
              </w:rPr>
            </w:r>
          </w:p>
        </w:tc>
      </w:tr>
      <w:tr>
        <w:trPr/>
        <w:tc>
          <w:tcPr>
            <w:tcBorders/>
            <w:tcW w:w="871" w:type="dxa"/>
            <w:vAlign w:val="center"/>
            <w:textDirection w:val="lrTb"/>
            <w:noWrap w:val="false"/>
          </w:tcPr>
          <w:p>
            <w:pPr>
              <w:pStyle w:val="773"/>
              <w:widowControl w:val="true"/>
              <w:pBdr/>
              <w:bidi w:val="false"/>
              <w:spacing w:after="160" w:before="0" w:line="278" w:lineRule="auto"/>
              <w:ind/>
              <w:jc w:val="left"/>
              <w:rPr/>
            </w:pPr>
            <w:r>
              <w:t xml:space="preserve">23 fév.</w:t>
            </w:r>
            <w:r/>
          </w:p>
        </w:tc>
        <w:tc>
          <w:tcPr>
            <w:tcBorders/>
            <w:tcW w:w="1539" w:type="dxa"/>
            <w:vAlign w:val="center"/>
            <w:textDirection w:val="lrTb"/>
            <w:noWrap w:val="false"/>
          </w:tcPr>
          <w:p>
            <w:pPr>
              <w:pStyle w:val="773"/>
              <w:widowControl w:val="true"/>
              <w:pBdr/>
              <w:bidi w:val="false"/>
              <w:spacing w:after="160" w:before="0" w:line="278" w:lineRule="auto"/>
              <w:ind/>
              <w:jc w:val="left"/>
              <w:rPr/>
            </w:pPr>
            <w:r>
              <w:t xml:space="preserve">Télémonitoring continu de l’insuffisance cardiaque par analyse vocale personnalisée</w:t>
            </w:r>
            <w:r/>
          </w:p>
        </w:tc>
        <w:tc>
          <w:tcPr>
            <w:tcBorders/>
            <w:tcW w:w="1134" w:type="dxa"/>
            <w:vAlign w:val="center"/>
            <w:textDirection w:val="lrTb"/>
            <w:noWrap w:val="false"/>
          </w:tcPr>
          <w:p>
            <w:pPr>
              <w:pStyle w:val="773"/>
              <w:widowControl w:val="true"/>
              <w:pBdr/>
              <w:bidi w:val="false"/>
              <w:spacing w:after="160" w:before="0" w:line="278" w:lineRule="auto"/>
              <w:ind/>
              <w:jc w:val="left"/>
              <w:rPr/>
            </w:pPr>
            <w:r>
              <w:t xml:space="preserve">Préprint / étude de recherche</w:t>
            </w:r>
            <w:r/>
          </w:p>
        </w:tc>
        <w:tc>
          <w:tcPr>
            <w:tcBorders/>
            <w:tcW w:w="1984" w:type="dxa"/>
            <w:vAlign w:val="center"/>
            <w:textDirection w:val="lrTb"/>
            <w:noWrap w:val="false"/>
          </w:tcPr>
          <w:p>
            <w:pPr>
              <w:pStyle w:val="773"/>
              <w:widowControl w:val="true"/>
              <w:pBdr/>
              <w:bidi w:val="false"/>
              <w:spacing w:after="160" w:before="0" w:line="278" w:lineRule="auto"/>
              <w:ind/>
              <w:jc w:val="left"/>
              <w:rPr/>
            </w:pPr>
            <w:r>
              <w:t xml:space="preserve">Université(s) européennes non nommées (auteurs arXiv), structures de cardiologie impliquées</w:t>
            </w:r>
            <w:r/>
          </w:p>
        </w:tc>
        <w:tc>
          <w:tcPr>
            <w:tcBorders/>
            <w:tcW w:w="2761" w:type="dxa"/>
            <w:vAlign w:val="center"/>
            <w:textDirection w:val="lrTb"/>
            <w:noWrap w:val="false"/>
          </w:tcPr>
          <w:p>
            <w:pPr>
              <w:pStyle w:val="773"/>
              <w:widowControl w:val="true"/>
              <w:pBdr/>
              <w:bidi w:val="false"/>
              <w:spacing w:after="160" w:before="0" w:line="278" w:lineRule="auto"/>
              <w:ind/>
              <w:jc w:val="left"/>
              <w:rPr/>
            </w:pPr>
            <w:r>
              <w:t xml:space="preserve">Étude proposant un modèle d’IA (deep learning) analysant la dynamique de la voix de patients insuffisants cardiaques, enregistrée en continu à d</w:t>
            </w:r>
            <w:r>
              <w:t xml:space="preserve">omicile, pour prédire les épisodes de décompensation. Le système personnalise les profils vocaux de chaque patient et montre une forte sensibilité pour détecter la détérioration avant l’aggravation clinique, dans une logique de télésurveillance continue. (</w:t>
            </w:r>
            <w:hyperlink r:id="rId15" w:tooltip="https://arxiv.org/abs/2602.19674?utm_source=openai" w:history="1">
              <w:r>
                <w:rPr>
                  <w:rStyle w:val="799"/>
                </w:rPr>
                <w:t xml:space="preserve">https://arxiv.org/abs/2602.19674?utm_source=openai</w:t>
              </w:r>
            </w:hyperlink>
            <w:r>
              <w:t xml:space="preserve">)</w:t>
            </w:r>
            <w:r/>
          </w:p>
        </w:tc>
        <w:tc>
          <w:tcPr>
            <w:tcBorders/>
            <w:tcW w:w="3759" w:type="dxa"/>
            <w:vAlign w:val="center"/>
            <w:textDirection w:val="lrTb"/>
            <w:noWrap w:val="false"/>
          </w:tcPr>
          <w:p>
            <w:pPr>
              <w:pStyle w:val="773"/>
              <w:widowControl w:val="true"/>
              <w:pBdr/>
              <w:bidi w:val="false"/>
              <w:spacing w:after="160" w:before="0" w:line="278" w:lineRule="auto"/>
              <w:ind/>
              <w:jc w:val="left"/>
              <w:rPr/>
            </w:pPr>
            <w:r>
              <w:rPr>
                <w:b/>
                <w:bCs/>
              </w:rPr>
              <w:t xml:space="preserve">Patients</w:t>
            </w:r>
            <w:r>
              <w:t xml:space="preserve"> : possibilité d’un suivi “sans friction”, passif, avec détection précoce d’épisodes de décompensation. </w:t>
            </w:r>
            <w:r>
              <w:rPr>
                <w:b/>
                <w:bCs/>
              </w:rPr>
              <w:t xml:space="preserve">Soignants</w:t>
            </w:r>
            <w:r>
              <w:t xml:space="preserve"> : nouvel outil de triage et d’alerte à intégrer dans les plateformes de télésurveillance existantes (ex : programmes de télésurveillance IC en France), mais pose la question des protocoles d’alerte et de gestion des faux positifs. </w:t>
            </w:r>
            <w:r>
              <w:rPr>
                <w:b/>
                <w:bCs/>
              </w:rPr>
              <w:t xml:space="preserve">Industriels</w:t>
            </w:r>
            <w:r>
              <w:t xml:space="preserve"> : ouverture d’un segment “digital biomarkers vocaux” à intégre</w:t>
            </w:r>
            <w:r>
              <w:t xml:space="preserve">r dans les solutions de RPM cardiaque (applications mobiles, objets connectés) et à positionner vis-à-vis des capteurs classiques (poids, tension, fréquence cardiaque). Stratégie à anticiper sur les données vocales (hébergement, consentement, RGPD/IA Act).</w:t>
            </w:r>
            <w:r/>
          </w:p>
        </w:tc>
        <w:tc>
          <w:tcPr>
            <w:tcBorders/>
            <w:tcW w:w="1955" w:type="dxa"/>
            <w:vAlign w:val="center"/>
            <w:textDirection w:val="lrTb"/>
            <w:noWrap w:val="false"/>
          </w:tcPr>
          <w:p>
            <w:pPr>
              <w:pStyle w:val="773"/>
              <w:pBdr/>
              <w:spacing w:after="160" w:before="0"/>
              <w:ind/>
              <w:rPr>
                <w:lang w:val="en-US"/>
              </w:rPr>
            </w:pPr>
            <w:r>
              <w:rPr>
                <w:lang w:val="en-US"/>
              </w:rPr>
              <w:t xml:space="preserve">Préprint arXiv “Continuous Telemonitoring of Heart Failure using Personalised Speech Dynamics” (</w:t>
            </w:r>
            <w:hyperlink r:id="rId16" w:tooltip="https://arxiv.org/abs/2602.19674?utm_source=openai" w:history="1">
              <w:r>
                <w:rPr>
                  <w:rStyle w:val="799"/>
                  <w:lang w:val="en-US"/>
                </w:rPr>
                <w:t xml:space="preserve">https://arxiv.org/abs/2602.19674?utm_source=openai</w:t>
              </w:r>
            </w:hyperlink>
            <w:r>
              <w:rPr>
                <w:lang w:val="en-US"/>
              </w:rPr>
              <w:t xml:space="preserve">)</w:t>
            </w:r>
            <w:r>
              <w:rPr>
                <w:lang w:val="en-US"/>
              </w:rPr>
            </w:r>
          </w:p>
        </w:tc>
      </w:tr>
      <w:tr>
        <w:trPr/>
        <w:tc>
          <w:tcPr>
            <w:tcBorders/>
            <w:tcW w:w="871" w:type="dxa"/>
            <w:vAlign w:val="center"/>
            <w:textDirection w:val="lrTb"/>
            <w:noWrap w:val="false"/>
          </w:tcPr>
          <w:p>
            <w:pPr>
              <w:pStyle w:val="773"/>
              <w:widowControl w:val="true"/>
              <w:pBdr/>
              <w:bidi w:val="false"/>
              <w:spacing w:after="160" w:before="0" w:line="278" w:lineRule="auto"/>
              <w:ind/>
              <w:jc w:val="left"/>
              <w:rPr/>
            </w:pPr>
            <w:r>
              <w:t xml:space="preserve">3 mars</w:t>
            </w:r>
            <w:r/>
          </w:p>
        </w:tc>
        <w:tc>
          <w:tcPr>
            <w:tcBorders/>
            <w:tcW w:w="1539" w:type="dxa"/>
            <w:vAlign w:val="center"/>
            <w:textDirection w:val="lrTb"/>
            <w:noWrap w:val="false"/>
          </w:tcPr>
          <w:p>
            <w:pPr>
              <w:pStyle w:val="773"/>
              <w:widowControl w:val="true"/>
              <w:pBdr/>
              <w:bidi w:val="false"/>
              <w:spacing w:after="160" w:before="0" w:line="278" w:lineRule="auto"/>
              <w:ind/>
              <w:jc w:val="left"/>
              <w:rPr/>
            </w:pPr>
            <w:r>
              <w:t xml:space="preserve">Détection de cardiopathies structurelles par modèles fondation ECG interprétables</w:t>
            </w:r>
            <w:r/>
          </w:p>
        </w:tc>
        <w:tc>
          <w:tcPr>
            <w:tcBorders/>
            <w:tcW w:w="1134" w:type="dxa"/>
            <w:vAlign w:val="center"/>
            <w:textDirection w:val="lrTb"/>
            <w:noWrap w:val="false"/>
          </w:tcPr>
          <w:p>
            <w:pPr>
              <w:pStyle w:val="773"/>
              <w:widowControl w:val="true"/>
              <w:pBdr/>
              <w:bidi w:val="false"/>
              <w:spacing w:after="160" w:before="0" w:line="278" w:lineRule="auto"/>
              <w:ind/>
              <w:jc w:val="left"/>
              <w:rPr/>
            </w:pPr>
            <w:r>
              <w:t xml:space="preserve">Préprint / recherche méthodo</w:t>
            </w:r>
            <w:r/>
          </w:p>
        </w:tc>
        <w:tc>
          <w:tcPr>
            <w:tcBorders/>
            <w:tcW w:w="1984" w:type="dxa"/>
            <w:vAlign w:val="center"/>
            <w:textDirection w:val="lrTb"/>
            <w:noWrap w:val="false"/>
          </w:tcPr>
          <w:p>
            <w:pPr>
              <w:pStyle w:val="773"/>
              <w:widowControl w:val="true"/>
              <w:pBdr/>
              <w:bidi w:val="false"/>
              <w:spacing w:after="160" w:before="0" w:line="278" w:lineRule="auto"/>
              <w:ind/>
              <w:jc w:val="left"/>
              <w:rPr/>
            </w:pPr>
            <w:r>
              <w:t xml:space="preserve">Consortium académique (probablement UE/US), services de cardiologie, data scientists</w:t>
            </w:r>
            <w:r/>
          </w:p>
        </w:tc>
        <w:tc>
          <w:tcPr>
            <w:tcBorders/>
            <w:tcW w:w="2761" w:type="dxa"/>
            <w:vAlign w:val="center"/>
            <w:textDirection w:val="lrTb"/>
            <w:noWrap w:val="false"/>
          </w:tcPr>
          <w:p>
            <w:pPr>
              <w:pStyle w:val="773"/>
              <w:widowControl w:val="true"/>
              <w:pBdr/>
              <w:bidi w:val="false"/>
              <w:spacing w:after="160" w:before="0" w:line="278" w:lineRule="auto"/>
              <w:ind/>
              <w:jc w:val="left"/>
              <w:rPr/>
            </w:pPr>
            <w:r>
              <w:t xml:space="preserve">Article décrivant l’utilisation d’un modèle fondation ECG couplé à un modèle additif généralisé interprétable pour détecter les cardiopathies structurelles à partir d’ECG standards. L’objectif : permettre un dépistage à large échelle via des ECG acq</w:t>
            </w:r>
            <w:r>
              <w:t xml:space="preserve">uis en ville ou à domicile (dispositifs connectés), tout en gardant une bonne explicabilité pour les cliniciens. Application directe possible dans des scénarios de télésurveillance cardiaque (IC, cardiopathies à risque) via ECG périodiques ou en continu. (</w:t>
            </w:r>
            <w:hyperlink r:id="rId17" w:tooltip="https://arxiv.org/abs/2603.02616?utm_source=openai" w:history="1">
              <w:r>
                <w:rPr>
                  <w:rStyle w:val="799"/>
                </w:rPr>
                <w:t xml:space="preserve">https://arxiv.org/abs/2603.02616?utm_source=openai</w:t>
              </w:r>
            </w:hyperlink>
            <w:r>
              <w:t xml:space="preserve">)</w:t>
            </w:r>
            <w:r/>
          </w:p>
        </w:tc>
        <w:tc>
          <w:tcPr>
            <w:tcBorders/>
            <w:tcW w:w="3759" w:type="dxa"/>
            <w:vAlign w:val="center"/>
            <w:textDirection w:val="lrTb"/>
            <w:noWrap w:val="false"/>
          </w:tcPr>
          <w:p>
            <w:pPr>
              <w:pStyle w:val="773"/>
              <w:widowControl w:val="true"/>
              <w:pBdr/>
              <w:bidi w:val="false"/>
              <w:spacing w:after="160" w:before="0" w:line="278" w:lineRule="auto"/>
              <w:ind/>
              <w:jc w:val="left"/>
              <w:rPr/>
            </w:pPr>
            <w:r>
              <w:rPr>
                <w:b/>
                <w:bCs/>
              </w:rPr>
              <w:t xml:space="preserve">Patients</w:t>
            </w:r>
            <w:r>
              <w:t xml:space="preserve"> : renforcement du dépistage précoce des atteintes structurelles, y compris pour des patients suivis à domicile ou peu vus en présentiel. </w:t>
            </w:r>
            <w:r>
              <w:rPr>
                <w:b/>
                <w:bCs/>
              </w:rPr>
              <w:t xml:space="preserve">Soignants</w:t>
            </w:r>
            <w:r>
              <w:t xml:space="preserve"> : met à disposition des scores explicables (GAM) issus d’un modèle fondation, facilitant l’acceptabilité dans les RCP et les décisions d’escalade (écho, consultation spécialisée). </w:t>
            </w:r>
            <w:r>
              <w:rPr>
                <w:b/>
                <w:bCs/>
              </w:rPr>
              <w:t xml:space="preserve">Industriels</w:t>
            </w:r>
            <w:r>
              <w:t xml:space="preserve"> : forte opportunité pour les</w:t>
            </w:r>
            <w:r>
              <w:t xml:space="preserve"> fabricants de dispositifs ECG connectés et plateformes SaaS de télécardiologie d’embarquer ces modèles, à condition de travailler sur la validation clinique dans un cadre CE MDR / IA Act. Positionnement stratégique sur l’interprétabilité vs boîtes noires.</w:t>
            </w:r>
            <w:r/>
          </w:p>
        </w:tc>
        <w:tc>
          <w:tcPr>
            <w:tcBorders/>
            <w:tcW w:w="1955" w:type="dxa"/>
            <w:vAlign w:val="center"/>
            <w:textDirection w:val="lrTb"/>
            <w:noWrap w:val="false"/>
          </w:tcPr>
          <w:p>
            <w:pPr>
              <w:pStyle w:val="773"/>
              <w:pBdr/>
              <w:spacing w:after="160" w:before="0"/>
              <w:ind/>
              <w:rPr>
                <w:lang w:val="en-US"/>
              </w:rPr>
            </w:pPr>
            <w:r>
              <w:rPr>
                <w:lang w:val="en-US"/>
              </w:rPr>
              <w:t xml:space="preserve">Préprint arXiv “Detecting Structural Heart Disease from Electrocardiograms via a Generalized Additive Model of Interpretable Foundation-Model Predictors” (</w:t>
            </w:r>
            <w:hyperlink r:id="rId18" w:tooltip="https://arxiv.org/abs/2603.02616?utm_source=openai" w:history="1">
              <w:r>
                <w:rPr>
                  <w:rStyle w:val="799"/>
                  <w:lang w:val="en-US"/>
                </w:rPr>
                <w:t xml:space="preserve">https://arxiv.org/abs/2603.02616?utm_source=openai</w:t>
              </w:r>
            </w:hyperlink>
            <w:r>
              <w:rPr>
                <w:lang w:val="en-US"/>
              </w:rPr>
              <w:t xml:space="preserve">)</w:t>
            </w:r>
            <w:r>
              <w:rPr>
                <w:lang w:val="en-US"/>
              </w:rPr>
            </w:r>
          </w:p>
        </w:tc>
      </w:tr>
      <w:tr>
        <w:trPr/>
        <w:tc>
          <w:tcPr>
            <w:tcBorders/>
            <w:tcW w:w="871" w:type="dxa"/>
            <w:vAlign w:val="center"/>
            <w:textDirection w:val="lrTb"/>
            <w:noWrap w:val="false"/>
          </w:tcPr>
          <w:p>
            <w:pPr>
              <w:pStyle w:val="773"/>
              <w:widowControl w:val="true"/>
              <w:pBdr/>
              <w:bidi w:val="false"/>
              <w:spacing w:after="160" w:before="0" w:line="278" w:lineRule="auto"/>
              <w:ind/>
              <w:jc w:val="left"/>
              <w:rPr/>
            </w:pPr>
            <w:r>
              <w:t xml:space="preserve">19 jan. (mais fortement commenté encore en fév.–mars)</w:t>
            </w:r>
            <w:r/>
          </w:p>
        </w:tc>
        <w:tc>
          <w:tcPr>
            <w:tcBorders/>
            <w:tcW w:w="1539" w:type="dxa"/>
            <w:vAlign w:val="center"/>
            <w:textDirection w:val="lrTb"/>
            <w:noWrap w:val="false"/>
          </w:tcPr>
          <w:p>
            <w:pPr>
              <w:pStyle w:val="773"/>
              <w:widowControl w:val="true"/>
              <w:pBdr/>
              <w:bidi w:val="false"/>
              <w:spacing w:after="160" w:before="0" w:line="278" w:lineRule="auto"/>
              <w:ind/>
              <w:jc w:val="left"/>
              <w:rPr/>
            </w:pPr>
            <w:r>
              <w:t xml:space="preserve">ECGomics : plateforme ouverte pour biomarqueurs numériques ECG en contexte clinique et domicile</w:t>
            </w:r>
            <w:r/>
          </w:p>
        </w:tc>
        <w:tc>
          <w:tcPr>
            <w:tcBorders/>
            <w:tcW w:w="1134" w:type="dxa"/>
            <w:vAlign w:val="center"/>
            <w:textDirection w:val="lrTb"/>
            <w:noWrap w:val="false"/>
          </w:tcPr>
          <w:p>
            <w:pPr>
              <w:pStyle w:val="773"/>
              <w:widowControl w:val="true"/>
              <w:pBdr/>
              <w:bidi w:val="false"/>
              <w:spacing w:after="160" w:before="0" w:line="278" w:lineRule="auto"/>
              <w:ind/>
              <w:jc w:val="left"/>
              <w:rPr/>
            </w:pPr>
            <w:r>
              <w:t xml:space="preserve">Plateforme open source / article méthodo</w:t>
            </w:r>
            <w:r/>
          </w:p>
        </w:tc>
        <w:tc>
          <w:tcPr>
            <w:tcBorders/>
            <w:tcW w:w="1984" w:type="dxa"/>
            <w:vAlign w:val="center"/>
            <w:textDirection w:val="lrTb"/>
            <w:noWrap w:val="false"/>
          </w:tcPr>
          <w:p>
            <w:pPr>
              <w:pStyle w:val="773"/>
              <w:widowControl w:val="true"/>
              <w:pBdr/>
              <w:bidi w:val="false"/>
              <w:spacing w:after="160" w:before="0" w:line="278" w:lineRule="auto"/>
              <w:ind/>
              <w:jc w:val="left"/>
              <w:rPr/>
            </w:pPr>
            <w:r>
              <w:t xml:space="preserve">Consortium ECGomics (académique), hôpitaux européens, développeurs open source</w:t>
            </w:r>
            <w:r/>
          </w:p>
        </w:tc>
        <w:tc>
          <w:tcPr>
            <w:tcBorders/>
            <w:tcW w:w="2761" w:type="dxa"/>
            <w:vAlign w:val="center"/>
            <w:textDirection w:val="lrTb"/>
            <w:noWrap w:val="false"/>
          </w:tcPr>
          <w:p>
            <w:pPr>
              <w:pStyle w:val="773"/>
              <w:widowControl w:val="true"/>
              <w:pBdr/>
              <w:bidi w:val="false"/>
              <w:spacing w:after="160" w:before="0" w:line="278" w:lineRule="auto"/>
              <w:ind/>
              <w:jc w:val="left"/>
              <w:rPr/>
            </w:pPr>
            <w:r>
              <w:t xml:space="preserve">ECGomi</w:t>
            </w:r>
            <w:r>
              <w:t xml:space="preserve">cs propose un cadre et une plateforme open source pour décomposer finement le signal ECG en biomarqueurs numériques exploités par des modèles d’IA. La plateforme est conçue pour une utilisation à la fois en environnement hospitalier et en suivi décentralis</w:t>
            </w:r>
            <w:r>
              <w:t xml:space="preserve">é, permettant de relier des signaux ECG collectés à domicile (dispositifs/patchs) à des modèles prédictifs pour divers risques cardiaques chroniques. L’architecture duale (recherche + production) vise explicitement la gestion en vie réelle et à domicile. (</w:t>
            </w:r>
            <w:hyperlink r:id="rId19" w:tooltip="https://arxiv.org/abs/2601.15326?utm_source=openai" w:history="1">
              <w:r>
                <w:rPr>
                  <w:rStyle w:val="799"/>
                </w:rPr>
                <w:t xml:space="preserve">https://arxiv.org/abs/2601.15326?utm_source=openai</w:t>
              </w:r>
            </w:hyperlink>
            <w:r>
              <w:t xml:space="preserve">)</w:t>
            </w:r>
            <w:r/>
          </w:p>
        </w:tc>
        <w:tc>
          <w:tcPr>
            <w:tcBorders/>
            <w:tcW w:w="3759" w:type="dxa"/>
            <w:vAlign w:val="center"/>
            <w:textDirection w:val="lrTb"/>
            <w:noWrap w:val="false"/>
          </w:tcPr>
          <w:p>
            <w:pPr>
              <w:pStyle w:val="773"/>
              <w:widowControl w:val="true"/>
              <w:pBdr/>
              <w:bidi w:val="false"/>
              <w:spacing w:after="160" w:before="0" w:line="278" w:lineRule="auto"/>
              <w:ind/>
              <w:jc w:val="left"/>
              <w:rPr/>
            </w:pPr>
            <w:r>
              <w:rPr>
                <w:b/>
                <w:bCs/>
              </w:rPr>
              <w:t xml:space="preserve">Patients</w:t>
            </w:r>
            <w:r>
              <w:t xml:space="preserve"> : possibilité à terme de bénéficier d’outils de suivi ECG à domicile puissants et personnalisés, avec détection précoce de dégradation ou d’arythmie. </w:t>
            </w:r>
            <w:r>
              <w:rPr>
                <w:b/>
                <w:bCs/>
              </w:rPr>
              <w:t xml:space="preserve">Soignants</w:t>
            </w:r>
            <w:r>
              <w:t xml:space="preserve"> : mise à disposition d’une base d’algorithmes et de “features” ECG standardisés facilitant l’interopérabilité entre dispositifs et centres. </w:t>
            </w:r>
            <w:r>
              <w:rPr>
                <w:b/>
                <w:bCs/>
              </w:rPr>
              <w:t xml:space="preserve">Industriels</w:t>
            </w:r>
            <w:r>
              <w:t xml:space="preserve"> : important signal stratégique – l</w:t>
            </w:r>
            <w:r>
              <w:t xml:space="preserve">a couche “biomarqueurs ECG + infra logicielle” se commoditise via l’open source. La différenciation pourrait se déplacer vers : qualité des données, intégration EHR/télésurveillance, UX patient et conformité réglementaire plutôt que sur le seul algorithme.</w:t>
            </w:r>
            <w:r/>
          </w:p>
        </w:tc>
        <w:tc>
          <w:tcPr>
            <w:tcBorders/>
            <w:tcW w:w="1955" w:type="dxa"/>
            <w:vAlign w:val="center"/>
            <w:textDirection w:val="lrTb"/>
            <w:noWrap w:val="false"/>
          </w:tcPr>
          <w:p>
            <w:pPr>
              <w:pStyle w:val="773"/>
              <w:pBdr/>
              <w:spacing w:after="160" w:before="0"/>
              <w:ind/>
              <w:rPr>
                <w:lang w:val="en-US"/>
              </w:rPr>
            </w:pPr>
            <w:r>
              <w:rPr>
                <w:lang w:val="en-US"/>
              </w:rPr>
              <w:t xml:space="preserve">Préprint arXiv “ECGomics: An Open Platform for AI-ECG Digital Biomarker Discovery” (</w:t>
            </w:r>
            <w:hyperlink r:id="rId20" w:tooltip="https://arxiv.org/abs/2601.15326?utm_source=openai" w:history="1">
              <w:r>
                <w:rPr>
                  <w:rStyle w:val="799"/>
                  <w:lang w:val="en-US"/>
                </w:rPr>
                <w:t xml:space="preserve">https://arxiv.org/abs/2601.15326?utm_source=openai</w:t>
              </w:r>
            </w:hyperlink>
            <w:r>
              <w:rPr>
                <w:lang w:val="en-US"/>
              </w:rPr>
              <w:t xml:space="preserve">)</w:t>
            </w:r>
            <w:r>
              <w:rPr>
                <w:lang w:val="en-US"/>
              </w:rPr>
            </w:r>
          </w:p>
        </w:tc>
      </w:tr>
      <w:tr>
        <w:trPr/>
        <w:tc>
          <w:tcPr>
            <w:tcBorders/>
            <w:tcW w:w="871" w:type="dxa"/>
            <w:vAlign w:val="center"/>
            <w:textDirection w:val="lrTb"/>
            <w:noWrap w:val="false"/>
          </w:tcPr>
          <w:p>
            <w:pPr>
              <w:pStyle w:val="773"/>
              <w:widowControl w:val="true"/>
              <w:pBdr/>
              <w:bidi w:val="false"/>
              <w:spacing w:after="160" w:before="0" w:line="278" w:lineRule="auto"/>
              <w:ind/>
              <w:jc w:val="left"/>
              <w:rPr/>
            </w:pPr>
            <w:r>
              <w:t xml:space="preserve">12 jan. (fondation, impact à moyen terme)</w:t>
            </w:r>
            <w:r/>
          </w:p>
        </w:tc>
        <w:tc>
          <w:tcPr>
            <w:tcBorders/>
            <w:tcW w:w="1539" w:type="dxa"/>
            <w:vAlign w:val="center"/>
            <w:textDirection w:val="lrTb"/>
            <w:noWrap w:val="false"/>
          </w:tcPr>
          <w:p>
            <w:pPr>
              <w:pStyle w:val="773"/>
              <w:widowControl w:val="true"/>
              <w:pBdr/>
              <w:bidi w:val="false"/>
              <w:spacing w:after="160" w:before="0" w:line="278" w:lineRule="auto"/>
              <w:ind/>
              <w:jc w:val="left"/>
              <w:rPr/>
            </w:pPr>
            <w:r>
              <w:t xml:space="preserve">AnyECG : modèle fondation ECG pour un profilage de santé holistique</w:t>
            </w:r>
            <w:r/>
          </w:p>
        </w:tc>
        <w:tc>
          <w:tcPr>
            <w:tcBorders/>
            <w:tcW w:w="1134" w:type="dxa"/>
            <w:vAlign w:val="center"/>
            <w:textDirection w:val="lrTb"/>
            <w:noWrap w:val="false"/>
          </w:tcPr>
          <w:p>
            <w:pPr>
              <w:pStyle w:val="773"/>
              <w:widowControl w:val="true"/>
              <w:pBdr/>
              <w:bidi w:val="false"/>
              <w:spacing w:after="160" w:before="0" w:line="278" w:lineRule="auto"/>
              <w:ind/>
              <w:jc w:val="left"/>
              <w:rPr/>
            </w:pPr>
            <w:r>
              <w:t xml:space="preserve">Préprint / modèle fondation</w:t>
            </w:r>
            <w:r/>
          </w:p>
        </w:tc>
        <w:tc>
          <w:tcPr>
            <w:tcBorders/>
            <w:tcW w:w="1984" w:type="dxa"/>
            <w:vAlign w:val="center"/>
            <w:textDirection w:val="lrTb"/>
            <w:noWrap w:val="false"/>
          </w:tcPr>
          <w:p>
            <w:pPr>
              <w:pStyle w:val="773"/>
              <w:widowControl w:val="true"/>
              <w:pBdr/>
              <w:bidi w:val="false"/>
              <w:spacing w:after="160" w:before="0" w:line="278" w:lineRule="auto"/>
              <w:ind/>
              <w:jc w:val="left"/>
              <w:rPr/>
            </w:pPr>
            <w:r>
              <w:t xml:space="preserve">Consortium académique (multi</w:t>
              <w:noBreakHyphen/>
              <w:t xml:space="preserve">pays), services de cardiologie, data scientists</w:t>
            </w:r>
            <w:r/>
          </w:p>
        </w:tc>
        <w:tc>
          <w:tcPr>
            <w:tcBorders/>
            <w:tcW w:w="2761" w:type="dxa"/>
            <w:vAlign w:val="center"/>
            <w:textDirection w:val="lrTb"/>
            <w:noWrap w:val="false"/>
          </w:tcPr>
          <w:p>
            <w:pPr>
              <w:pStyle w:val="773"/>
              <w:widowControl w:val="true"/>
              <w:pBdr/>
              <w:bidi w:val="false"/>
              <w:spacing w:after="160" w:before="0" w:line="278" w:lineRule="auto"/>
              <w:ind/>
              <w:jc w:val="left"/>
              <w:rPr/>
            </w:pPr>
            <w:r>
              <w:t xml:space="preserve">AnyECG est un mod</w:t>
            </w:r>
            <w:r>
              <w:t xml:space="preserve">èle fondation ECG entraîné pour couvrir un large spectre de pathologies et comorbidités, dépassant la simple détection d’une pathologie unique. Même si l’article est généraliste, il mentionne des perspectives d’utilisation pour le suivi de maladies chroniq</w:t>
            </w:r>
            <w:r>
              <w:t xml:space="preserve">ues et la prédiction de risques futurs, ce qui inclut les pathologies cardiaques chroniques. En contexte de télésurveillance, ce type de modèle pourrait être appliqué à des ECG enregistrés régulièrement au domicile pour stratifier et réévaluer le risque. (</w:t>
            </w:r>
            <w:hyperlink r:id="rId21" w:tooltip="https://arxiv.org/abs/2601.10748?utm_source=openai" w:history="1">
              <w:r>
                <w:rPr>
                  <w:rStyle w:val="799"/>
                </w:rPr>
                <w:t xml:space="preserve">https://arxiv.org/abs/2601.10748?utm_source=openai</w:t>
              </w:r>
            </w:hyperlink>
            <w:r>
              <w:t xml:space="preserve">)</w:t>
            </w:r>
            <w:r/>
          </w:p>
        </w:tc>
        <w:tc>
          <w:tcPr>
            <w:tcBorders/>
            <w:tcW w:w="3759" w:type="dxa"/>
            <w:vAlign w:val="center"/>
            <w:textDirection w:val="lrTb"/>
            <w:noWrap w:val="false"/>
          </w:tcPr>
          <w:p>
            <w:pPr>
              <w:pStyle w:val="773"/>
              <w:widowControl w:val="true"/>
              <w:pBdr/>
              <w:bidi w:val="false"/>
              <w:spacing w:after="160" w:before="0" w:line="278" w:lineRule="auto"/>
              <w:ind/>
              <w:jc w:val="left"/>
              <w:rPr/>
            </w:pPr>
            <w:r>
              <w:rPr>
                <w:b/>
                <w:bCs/>
              </w:rPr>
              <w:t xml:space="preserve">Patients</w:t>
            </w:r>
            <w:r>
              <w:t xml:space="preserve"> : vers un suivi ECG plus “global”, permettant d’anticiper plusieurs complications associées aux cardiopathies chroniques et co</w:t>
              <w:noBreakHyphen/>
              <w:t xml:space="preserve">morbidités. </w:t>
            </w:r>
            <w:r>
              <w:rPr>
                <w:b/>
                <w:bCs/>
              </w:rPr>
              <w:t xml:space="preserve">Soignants</w:t>
            </w:r>
            <w:r>
              <w:t xml:space="preserve"> : un seul modèle pourrait générer plusieurs signaux de risque intégrables dans les plateformes de télésurveillance (cardio</w:t>
              <w:noBreakHyphen/>
              <w:t xml:space="preserve">métabolique, etc.), rationalisant la lecture et les workflows. </w:t>
            </w:r>
            <w:r>
              <w:rPr>
                <w:b/>
                <w:bCs/>
              </w:rPr>
              <w:t xml:space="preserve">Industriels</w:t>
            </w:r>
            <w:r>
              <w:t xml:space="preserve"> : montée en puissance des modèles fondation dans l’ECG – enjeu stratégique d’accès aux données ECG massives, d’hébergement souverain (UE) et de déclinaisons spécialisées (HF, cardiomyopathies) compatibles avec les exigences européennes (MDR, IA Act).</w:t>
            </w:r>
            <w:r/>
          </w:p>
        </w:tc>
        <w:tc>
          <w:tcPr>
            <w:tcBorders/>
            <w:tcW w:w="1955" w:type="dxa"/>
            <w:vAlign w:val="center"/>
            <w:textDirection w:val="lrTb"/>
            <w:noWrap w:val="false"/>
          </w:tcPr>
          <w:p>
            <w:pPr>
              <w:pStyle w:val="773"/>
              <w:pBdr/>
              <w:spacing w:after="160" w:before="0"/>
              <w:ind/>
              <w:rPr>
                <w:lang w:val="en-US"/>
              </w:rPr>
            </w:pPr>
            <w:r>
              <w:rPr>
                <w:lang w:val="en-US"/>
              </w:rPr>
              <w:t xml:space="preserve">Préprint arXiv “AnyECG: Evolved ECG Foundation Model for Holistic Health Profiling” (</w:t>
            </w:r>
            <w:hyperlink r:id="rId22" w:tooltip="https://arxiv.org/abs/2601.10748?utm_source=openai" w:history="1">
              <w:r>
                <w:rPr>
                  <w:rStyle w:val="799"/>
                  <w:lang w:val="en-US"/>
                </w:rPr>
                <w:t xml:space="preserve">https://arxiv.org/abs/2601.10748?utm_source=openai</w:t>
              </w:r>
            </w:hyperlink>
            <w:r>
              <w:rPr>
                <w:lang w:val="en-US"/>
              </w:rPr>
              <w:t xml:space="preserve">)</w:t>
            </w:r>
            <w:r>
              <w:rPr>
                <w:lang w:val="en-US"/>
              </w:rPr>
            </w:r>
          </w:p>
        </w:tc>
      </w:tr>
      <w:tr>
        <w:trPr/>
        <w:tc>
          <w:tcPr>
            <w:tcBorders/>
            <w:tcW w:w="871" w:type="dxa"/>
            <w:vAlign w:val="center"/>
            <w:textDirection w:val="lrTb"/>
            <w:noWrap w:val="false"/>
          </w:tcPr>
          <w:p>
            <w:pPr>
              <w:pStyle w:val="773"/>
              <w:widowControl w:val="true"/>
              <w:pBdr/>
              <w:bidi w:val="false"/>
              <w:spacing w:after="160" w:before="0" w:line="278" w:lineRule="auto"/>
              <w:ind/>
              <w:jc w:val="left"/>
              <w:rPr/>
            </w:pPr>
            <w:r>
              <w:t xml:space="preserve">fév. (actu de marché, pas spécifique à l’IC mais très liée)</w:t>
            </w:r>
            <w:r/>
          </w:p>
        </w:tc>
        <w:tc>
          <w:tcPr>
            <w:tcBorders/>
            <w:tcW w:w="1539" w:type="dxa"/>
            <w:vAlign w:val="center"/>
            <w:textDirection w:val="lrTb"/>
            <w:noWrap w:val="false"/>
          </w:tcPr>
          <w:p>
            <w:pPr>
              <w:pStyle w:val="773"/>
              <w:widowControl w:val="true"/>
              <w:pBdr/>
              <w:bidi w:val="false"/>
              <w:spacing w:after="160" w:before="0" w:line="278" w:lineRule="auto"/>
              <w:ind/>
              <w:jc w:val="left"/>
              <w:rPr/>
            </w:pPr>
            <w:r>
              <w:t xml:space="preserve">Croissance soutenue du marché des dispositifs de surveillance de l’insuffisance cardiaque</w:t>
            </w:r>
            <w:r/>
          </w:p>
        </w:tc>
        <w:tc>
          <w:tcPr>
            <w:tcBorders/>
            <w:tcW w:w="1134" w:type="dxa"/>
            <w:vAlign w:val="center"/>
            <w:textDirection w:val="lrTb"/>
            <w:noWrap w:val="false"/>
          </w:tcPr>
          <w:p>
            <w:pPr>
              <w:pStyle w:val="773"/>
              <w:widowControl w:val="true"/>
              <w:pBdr/>
              <w:bidi w:val="false"/>
              <w:spacing w:after="160" w:before="0" w:line="278" w:lineRule="auto"/>
              <w:ind/>
              <w:jc w:val="left"/>
              <w:rPr/>
            </w:pPr>
            <w:r>
              <w:t xml:space="preserve">Rapport de marché</w:t>
            </w:r>
            <w:r/>
          </w:p>
        </w:tc>
        <w:tc>
          <w:tcPr>
            <w:tcBorders/>
            <w:tcW w:w="1984" w:type="dxa"/>
            <w:vAlign w:val="center"/>
            <w:textDirection w:val="lrTb"/>
            <w:noWrap w:val="false"/>
          </w:tcPr>
          <w:p>
            <w:pPr>
              <w:pStyle w:val="773"/>
              <w:pBdr/>
              <w:spacing w:after="160" w:before="0"/>
              <w:ind/>
              <w:rPr>
                <w:lang w:val="en-US"/>
              </w:rPr>
            </w:pPr>
            <w:r>
              <w:rPr>
                <w:lang w:val="en-US"/>
              </w:rPr>
              <w:t xml:space="preserve">Cabinet d’analystes (Fortune Business Insights…), industriels medtech cardio</w:t>
            </w:r>
            <w:r>
              <w:rPr>
                <w:lang w:val="en-US"/>
              </w:rPr>
            </w:r>
          </w:p>
        </w:tc>
        <w:tc>
          <w:tcPr>
            <w:tcBorders/>
            <w:tcW w:w="2761" w:type="dxa"/>
            <w:vAlign w:val="center"/>
            <w:textDirection w:val="lrTb"/>
            <w:noWrap w:val="false"/>
          </w:tcPr>
          <w:p>
            <w:pPr>
              <w:pStyle w:val="773"/>
              <w:widowControl w:val="true"/>
              <w:pBdr/>
              <w:bidi w:val="false"/>
              <w:spacing w:after="160" w:before="0" w:line="278" w:lineRule="auto"/>
              <w:ind/>
              <w:jc w:val="left"/>
              <w:rPr/>
            </w:pPr>
            <w:r>
              <w:t xml:space="preserve">Un rapport actualisé en 2026 projette une forte croissance du marché mondial des dispositifs de surveillance de l’insuffisance ca</w:t>
            </w:r>
            <w:r>
              <w:t xml:space="preserve">rdiaque jusqu’en 2034, tirée notamment par la demande en télésurveillance et diagnostic précoce. L’étude mentionne la montée en puissance des solutions de monitoring à distance et l’importance des datas et algorithmes pour anticiper les hospitalisations. (</w:t>
            </w:r>
            <w:hyperlink r:id="rId23" w:tooltip="https://www.fortunebusinessinsights.com/fr/heart-failure-monitoring-devices-market-115705?utm_source=openai" w:history="1">
              <w:r>
                <w:rPr>
                  <w:rStyle w:val="799"/>
                </w:rPr>
                <w:t xml:space="preserve">https://www.fortunebusinessinsights.com/fr/heart-failure-monitoring-devices-market-115705?utm_source=openai</w:t>
              </w:r>
            </w:hyperlink>
            <w:r>
              <w:t xml:space="preserve">)</w:t>
            </w:r>
            <w:r/>
          </w:p>
        </w:tc>
        <w:tc>
          <w:tcPr>
            <w:tcBorders/>
            <w:tcW w:w="3759" w:type="dxa"/>
            <w:vAlign w:val="center"/>
            <w:textDirection w:val="lrTb"/>
            <w:noWrap w:val="false"/>
          </w:tcPr>
          <w:p>
            <w:pPr>
              <w:pStyle w:val="773"/>
              <w:widowControl w:val="true"/>
              <w:pBdr/>
              <w:bidi w:val="false"/>
              <w:spacing w:after="160" w:before="0" w:line="278" w:lineRule="auto"/>
              <w:ind/>
              <w:jc w:val="left"/>
              <w:rPr/>
            </w:pPr>
            <w:r>
              <w:rPr>
                <w:b/>
                <w:bCs/>
              </w:rPr>
              <w:t xml:space="preserve">Patients</w:t>
            </w:r>
            <w:r>
              <w:t xml:space="preserve"> : accélération probable de la disponibilité de dispositifs de télésurveillance IC (capteurs, patchs, plateformes) y compris intégrant de l’IA prédictive. </w:t>
            </w:r>
            <w:r>
              <w:rPr>
                <w:b/>
                <w:bCs/>
              </w:rPr>
              <w:t xml:space="preserve">Soignants</w:t>
            </w:r>
            <w:r>
              <w:t xml:space="preserve"> : à moyen terme, diversification de l’offre d’outils, mais risque de fragmentation si les systèmes ne sont pas interopérables avec les SIH/logiciels de télésurveillance nationaux (France). </w:t>
            </w:r>
            <w:r>
              <w:rPr>
                <w:b/>
                <w:bCs/>
              </w:rPr>
              <w:t xml:space="preserve">Industriels</w:t>
            </w:r>
            <w:r>
              <w:t xml:space="preserve"> : confirmation d’un </w:t>
            </w:r>
            <w:r>
              <w:t xml:space="preserve">marché en expansion rapide – nécessité stratégique de se positionner sur les segments à plus forte valeur (algorithmes prédictifs, intégration avec parcours de soins IC, contrats avec payeurs) et de répondre aux attentes de preuves cliniques en vie réelle.</w:t>
            </w:r>
            <w:r/>
          </w:p>
        </w:tc>
        <w:tc>
          <w:tcPr>
            <w:tcBorders/>
            <w:tcW w:w="1955" w:type="dxa"/>
            <w:vAlign w:val="center"/>
            <w:textDirection w:val="lrTb"/>
            <w:noWrap w:val="false"/>
          </w:tcPr>
          <w:p>
            <w:pPr>
              <w:pStyle w:val="773"/>
              <w:widowControl w:val="true"/>
              <w:pBdr/>
              <w:bidi w:val="false"/>
              <w:spacing w:after="160" w:before="0" w:line="278" w:lineRule="auto"/>
              <w:ind/>
              <w:jc w:val="left"/>
              <w:rPr/>
            </w:pPr>
            <w:r>
              <w:t xml:space="preserve">Rapport “Heart Failure Monitoring Devices Market” (Fortune Business Insights, mise à jour 2026) (</w:t>
            </w:r>
            <w:hyperlink r:id="rId24" w:tooltip="https://www.fortunebusinessinsights.com/fr/heart-failure-monitoring-devices-market-115705?utm_source=openai" w:history="1">
              <w:r>
                <w:rPr>
                  <w:rStyle w:val="799"/>
                </w:rPr>
                <w:t xml:space="preserve">https://www.fortunebusinessinsights.com/fr/heart-failure-monitoring-devices-market-115705?utm_source=openai</w:t>
              </w:r>
            </w:hyperlink>
            <w:r>
              <w:t xml:space="preserve">)</w:t>
            </w:r>
            <w:r/>
          </w:p>
        </w:tc>
      </w:tr>
      <w:tr>
        <w:trPr/>
        <w:tc>
          <w:tcPr>
            <w:tcBorders/>
            <w:tcW w:w="871" w:type="dxa"/>
            <w:vAlign w:val="center"/>
            <w:textDirection w:val="lrTb"/>
            <w:noWrap w:val="false"/>
          </w:tcPr>
          <w:p>
            <w:pPr>
              <w:pStyle w:val="773"/>
              <w:widowControl w:val="true"/>
              <w:pBdr/>
              <w:bidi w:val="false"/>
              <w:spacing w:after="160" w:before="0" w:line="278" w:lineRule="auto"/>
              <w:ind/>
              <w:jc w:val="left"/>
              <w:rPr/>
            </w:pPr>
            <w:r>
              <w:t xml:space="preserve">fév. (contexte régul. IA santé)</w:t>
            </w:r>
            <w:r/>
          </w:p>
        </w:tc>
        <w:tc>
          <w:tcPr>
            <w:tcBorders/>
            <w:tcW w:w="1539" w:type="dxa"/>
            <w:vAlign w:val="center"/>
            <w:textDirection w:val="lrTb"/>
            <w:noWrap w:val="false"/>
          </w:tcPr>
          <w:p>
            <w:pPr>
              <w:pStyle w:val="773"/>
              <w:widowControl w:val="true"/>
              <w:pBdr/>
              <w:bidi w:val="false"/>
              <w:spacing w:after="160" w:before="0" w:line="278" w:lineRule="auto"/>
              <w:ind/>
              <w:jc w:val="left"/>
              <w:rPr/>
            </w:pPr>
            <w:r>
              <w:t xml:space="preserve">Mise à jour des exigences de conformité IA en santé en Europe (IA Act &amp; dispositifs médicaux)</w:t>
            </w:r>
            <w:r/>
          </w:p>
        </w:tc>
        <w:tc>
          <w:tcPr>
            <w:tcBorders/>
            <w:tcW w:w="1134" w:type="dxa"/>
            <w:vAlign w:val="center"/>
            <w:textDirection w:val="lrTb"/>
            <w:noWrap w:val="false"/>
          </w:tcPr>
          <w:p>
            <w:pPr>
              <w:pStyle w:val="773"/>
              <w:widowControl w:val="true"/>
              <w:pBdr/>
              <w:bidi w:val="false"/>
              <w:spacing w:after="160" w:before="0" w:line="278" w:lineRule="auto"/>
              <w:ind/>
              <w:jc w:val="left"/>
              <w:rPr/>
            </w:pPr>
            <w:r>
              <w:t xml:space="preserve">Analyse réglementaire / veille juridique</w:t>
            </w:r>
            <w:r/>
          </w:p>
        </w:tc>
        <w:tc>
          <w:tcPr>
            <w:tcBorders/>
            <w:tcW w:w="1984" w:type="dxa"/>
            <w:vAlign w:val="center"/>
            <w:textDirection w:val="lrTb"/>
            <w:noWrap w:val="false"/>
          </w:tcPr>
          <w:p>
            <w:pPr>
              <w:pStyle w:val="773"/>
              <w:widowControl w:val="true"/>
              <w:pBdr/>
              <w:bidi w:val="false"/>
              <w:spacing w:after="160" w:before="0" w:line="278" w:lineRule="auto"/>
              <w:ind/>
              <w:jc w:val="left"/>
              <w:rPr/>
            </w:pPr>
            <w:r>
              <w:t xml:space="preserve">Cabinets de conformité IA santé, autorités européennes (Commission, MDCG)</w:t>
            </w:r>
            <w:r/>
          </w:p>
        </w:tc>
        <w:tc>
          <w:tcPr>
            <w:tcBorders/>
            <w:tcW w:w="2761" w:type="dxa"/>
            <w:vAlign w:val="center"/>
            <w:textDirection w:val="lrTb"/>
            <w:noWrap w:val="false"/>
          </w:tcPr>
          <w:p>
            <w:pPr>
              <w:pStyle w:val="773"/>
              <w:widowControl w:val="true"/>
              <w:pBdr/>
              <w:bidi w:val="false"/>
              <w:spacing w:after="160" w:before="0" w:line="278" w:lineRule="auto"/>
              <w:ind/>
              <w:jc w:val="left"/>
              <w:rPr/>
            </w:pPr>
            <w:r>
              <w:t xml:space="preserve">Les synthèse</w:t>
            </w:r>
            <w:r>
              <w:t xml:space="preserve">s de février 2026 sur la réglementation IA en santé soulignent le renforcement des attentes en termes de validation clinique, de suivi post</w:t>
              <w:noBreakHyphen/>
              <w:t xml:space="preserve">commercialisation et de gestion du cycle de vie des algorithmes pour les dispositifs d’IA considérés comme “à haut r</w:t>
            </w:r>
            <w:r>
              <w:t xml:space="preserve">isque” – ce qui inclut les systèmes de télésurveillance cardiaque prédictive. Les industriels doivent anticiper des exigences accrues en matière de transparence, gestion des données d’entraînement, et documentation des performances en conditions réelles. (</w:t>
            </w:r>
            <w:hyperlink r:id="rId25" w:tooltip="https://aihealthcarecompliance.com/monthly-news-and-updates-february-2026/?utm_source=openai" w:history="1">
              <w:r>
                <w:rPr>
                  <w:rStyle w:val="799"/>
                </w:rPr>
                <w:t xml:space="preserve">https://aihealthcarecompliance.com/monthly-news-and-updates-february-2026/?utm_source=openai</w:t>
              </w:r>
            </w:hyperlink>
            <w:r>
              <w:t xml:space="preserve">)</w:t>
            </w:r>
            <w:r/>
          </w:p>
        </w:tc>
        <w:tc>
          <w:tcPr>
            <w:tcBorders/>
            <w:tcW w:w="3759" w:type="dxa"/>
            <w:vAlign w:val="center"/>
            <w:textDirection w:val="lrTb"/>
            <w:noWrap w:val="false"/>
          </w:tcPr>
          <w:p>
            <w:pPr>
              <w:pStyle w:val="773"/>
              <w:widowControl w:val="true"/>
              <w:pBdr/>
              <w:bidi w:val="false"/>
              <w:spacing w:after="160" w:before="0" w:line="278" w:lineRule="auto"/>
              <w:ind/>
              <w:jc w:val="left"/>
              <w:rPr/>
            </w:pPr>
            <w:r>
              <w:rPr>
                <w:b/>
                <w:bCs/>
              </w:rPr>
              <w:t xml:space="preserve">Patients</w:t>
            </w:r>
            <w:r>
              <w:t xml:space="preserve"> : meilleure garantie de sécurité et de performance des algos utilisés pour leur suivi à domicile (limitation des “boîtes noires” peu contrôlées). </w:t>
            </w:r>
            <w:r>
              <w:rPr>
                <w:b/>
                <w:bCs/>
              </w:rPr>
              <w:t xml:space="preserve">Soignants</w:t>
            </w:r>
            <w:r>
              <w:t xml:space="preserve"> : besoin de s’approprier des outils plus documentés (notices AI, indicateurs de performance) mais aussi plus encadrés (protocoles d’usage, formation). </w:t>
            </w:r>
            <w:r>
              <w:rPr>
                <w:b/>
                <w:bCs/>
              </w:rPr>
              <w:t xml:space="preserve">Industriels</w:t>
            </w:r>
            <w:r>
              <w:t xml:space="preserve"> : la capacité à structurer un di</w:t>
            </w:r>
            <w:r>
              <w:t xml:space="preserve">spositif de preuve clinique continu (real</w:t>
              <w:noBreakHyphen/>
              <w:t xml:space="preserve">world evidence), de surveillance algorithmique et de gouvernance des modèles d’IA devient un différenciateur stratégique majeur pour obtenir/maintenir le marquage CE et la confiance des acheteurs publics européens.</w:t>
            </w:r>
            <w:r/>
          </w:p>
        </w:tc>
        <w:tc>
          <w:tcPr>
            <w:tcBorders/>
            <w:tcW w:w="1955" w:type="dxa"/>
            <w:vAlign w:val="center"/>
            <w:textDirection w:val="lrTb"/>
            <w:noWrap w:val="false"/>
          </w:tcPr>
          <w:p>
            <w:pPr>
              <w:pStyle w:val="773"/>
              <w:pBdr/>
              <w:spacing w:after="160" w:before="0"/>
              <w:ind/>
              <w:rPr>
                <w:lang w:val="en-US"/>
              </w:rPr>
            </w:pPr>
            <w:r>
              <w:rPr>
                <w:lang w:val="en-US"/>
              </w:rPr>
              <w:t xml:space="preserve">Article de synthèse “AI in Healthcare Regulatory Updates – February 2026” (section UE) (</w:t>
            </w:r>
            <w:hyperlink r:id="rId26" w:tooltip="https://aihealthcarecompliance.com/monthly-news-and-updates-february-2026/?utm_source=openai" w:history="1">
              <w:r>
                <w:rPr>
                  <w:rStyle w:val="799"/>
                  <w:lang w:val="en-US"/>
                </w:rPr>
                <w:t xml:space="preserve">https://aihealthcarecompliance.com/monthly-news-and-updates-february-2026/?utm_source=openai</w:t>
              </w:r>
            </w:hyperlink>
            <w:r>
              <w:rPr>
                <w:lang w:val="en-US"/>
              </w:rPr>
              <w:t xml:space="preserve">)</w:t>
            </w:r>
            <w:r>
              <w:rPr>
                <w:lang w:val="en-US"/>
              </w:rPr>
            </w:r>
          </w:p>
        </w:tc>
      </w:tr>
    </w:tbl>
    <w:p>
      <w:pPr>
        <w:pStyle w:val="773"/>
        <w:pBdr/>
        <w:spacing/>
        <w:ind/>
        <w:rPr/>
      </w:pPr>
      <w:r>
        <w:t xml:space="preserve">Remarque : les sources strictement limitées au dernier mois et à l’UE/France, combinant </w:t>
      </w:r>
      <w:r>
        <w:rPr>
          <w:b/>
          <w:bCs/>
        </w:rPr>
        <w:t xml:space="preserve">cardiopathies chroniques + domicile/télésurveillance + IA</w:t>
      </w:r>
      <w:r>
        <w:t xml:space="preserve">, sont encore peu nombreuses en actualités “grand public” ou communiqués d’entreprises. L’essentiel des signaux récents vient d’articles scien</w:t>
      </w:r>
      <w:r>
        <w:t xml:space="preserve">tifiques (préprints) et d’analyses de marché / réglementaires. J’ai donc écarté :</w:t>
        <w:br/>
        <w:t xml:space="preserve">• les actu plus anciennes ou sans lien direct domicile/télésurveillance,</w:t>
        <w:br/>
        <w:t xml:space="preserve">• les actu de télésurveillance sans IA explicite,</w:t>
        <w:br/>
        <w:t xml:space="preserve">• les actu IA cardio mais uniquement hospitalières.</w:t>
      </w:r>
      <w:r/>
    </w:p>
    <w:p>
      <w:pPr>
        <w:pStyle w:val="773"/>
        <w:pBdr/>
        <w:spacing/>
        <w:ind/>
        <w:rPr/>
      </w:pPr>
      <w:r>
        <mc:AlternateContent>
          <mc:Choice Requires="wpg">
            <w:drawing>
              <wp:inline xmlns:wp="http://schemas.openxmlformats.org/drawingml/2006/wordprocessingDrawing" distT="0" distB="0" distL="0" distR="0">
                <wp:extent cx="889254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8892720" cy="19080"/>
                        </a:xfrm>
                        <a:prstGeom prst="rect">
                          <a:avLst/>
                        </a:prstGeom>
                        <a:solidFill>
                          <a:srgbClr val="A0A0A0"/>
                        </a:solidFill>
                        <a:ln w="0">
                          <a:noFill/>
                        </a:ln>
                      </wps:spPr>
                      <wps:bodyPr rot="0">
                        <a:prstTxWarp prst="textNoShape">
                          <a:avLst/>
                        </a:prstTxWarp>
                        <a:noAutofit/>
                      </wps:bodyPr>
                    </wps:wsp>
                  </a:graphicData>
                </a:graphic>
              </wp:inline>
            </w:drawing>
          </mc:Choice>
          <mc:Fallback>
            <w:pict>
              <v:shape id="shape 2" o:spid="_x0000_s2" o:spt="1" type="#_x0000_t1" style="width:700.20pt;height:1.50pt;mso-wrap-distance-left:0.00pt;mso-wrap-distance-top:0.00pt;mso-wrap-distance-right:0.00pt;mso-wrap-distance-bottom:0.00pt;visibility:visible;" fillcolor="#A0A0A0" stroked="f" strokeweight="0.00pt"/>
            </w:pict>
          </mc:Fallback>
        </mc:AlternateContent>
      </w:r>
      <w:r/>
    </w:p>
    <w:p>
      <w:pPr>
        <w:pStyle w:val="773"/>
        <w:pBdr/>
        <w:spacing/>
        <w:ind/>
        <w:rPr>
          <w:b/>
          <w:bCs/>
        </w:rPr>
      </w:pPr>
      <w:r>
        <w:rPr>
          <w:b/>
          <w:bCs/>
        </w:rPr>
        <w:t xml:space="preserve">Enseignements clés STRATEGIQUE</w:t>
      </w:r>
      <w:r>
        <w:rPr>
          <w:b/>
          <w:bCs/>
        </w:rPr>
      </w:r>
    </w:p>
    <w:p>
      <w:pPr>
        <w:pStyle w:val="773"/>
        <w:numPr>
          <w:ilvl w:val="0"/>
          <w:numId w:val="1"/>
        </w:numPr>
        <w:pBdr/>
        <w:spacing/>
        <w:ind/>
        <w:rPr/>
      </w:pPr>
      <w:r>
        <w:rPr>
          <w:b/>
          <w:bCs/>
        </w:rPr>
        <w:t xml:space="preserve">La télésurveillance IC se déplace vers des biomarqueurs “non classiques” (voix, biomarqueurs ECG complexes)</w:t>
      </w:r>
      <w:r>
        <w:t xml:space="preserve"> : les études su</w:t>
      </w:r>
      <w:r>
        <w:t xml:space="preserve">r la voix et l’ECG avancé montrent que la prochaine vague de suivi à domicile ne reposera plus seulement sur poids/tension, mais sur des signaux riches analysés par IA. Les acteurs doivent préparer l’intégration de ces nouveaux flux dans leurs plateformes.</w:t>
      </w:r>
      <w:r/>
    </w:p>
    <w:p>
      <w:pPr>
        <w:pStyle w:val="773"/>
        <w:numPr>
          <w:ilvl w:val="0"/>
          <w:numId w:val="1"/>
        </w:numPr>
        <w:pBdr/>
        <w:spacing/>
        <w:ind/>
        <w:rPr/>
      </w:pPr>
      <w:r>
        <w:rPr>
          <w:b/>
          <w:bCs/>
        </w:rPr>
        <w:t xml:space="preserve">Les modèles fondation ECG (AnyECG, ECGomics, etc.) deviennent l’infrastructure de base de nombreux cas d’usage</w:t>
      </w:r>
      <w:r>
        <w:t xml:space="preserve"> : cela annonce une commoditisation des briques algorithmiques et un déplacement de la différenciation vers la qualité des données, l’intégration aux parcours IC, la gestion réglementaire et l’expérience utilisateur.</w:t>
      </w:r>
      <w:r/>
    </w:p>
    <w:p>
      <w:pPr>
        <w:pStyle w:val="773"/>
        <w:numPr>
          <w:ilvl w:val="0"/>
          <w:numId w:val="1"/>
        </w:numPr>
        <w:pBdr/>
        <w:spacing/>
        <w:ind/>
        <w:rPr/>
      </w:pPr>
      <w:r>
        <w:rPr>
          <w:b/>
          <w:bCs/>
        </w:rPr>
        <w:t xml:space="preserve">L’interprétabilité est désormais un facteur concurrentiel explicite</w:t>
      </w:r>
      <w:r>
        <w:t xml:space="preserve"> : le travail sur</w:t>
      </w:r>
      <w:r>
        <w:t xml:space="preserve"> des modèles additifs généralisés interprétables appliqués aux sorties de modèles fondation ECG répond aux attentes des cliniciens et des régulateurs. Les solutions “boîte noire” purement performance</w:t>
        <w:noBreakHyphen/>
        <w:t xml:space="preserve">driven seront plus difficiles à faire adopter en Europe.</w:t>
      </w:r>
      <w:r/>
    </w:p>
    <w:p>
      <w:pPr>
        <w:pStyle w:val="773"/>
        <w:numPr>
          <w:ilvl w:val="0"/>
          <w:numId w:val="1"/>
        </w:numPr>
        <w:pBdr/>
        <w:spacing/>
        <w:ind/>
        <w:rPr/>
      </w:pPr>
      <w:r>
        <w:rPr>
          <w:b/>
          <w:bCs/>
        </w:rPr>
        <w:t xml:space="preserve">La dynamique réglementaire européenne (MDR + IA Act) pousse vers des solutions “evidence</w:t>
        <w:noBreakHyphen/>
        <w:t xml:space="preserve">by</w:t>
        <w:noBreakHyphen/>
        <w:t xml:space="preserve">design”</w:t>
      </w:r>
      <w:r>
        <w:t xml:space="preserve"> </w:t>
      </w:r>
      <w:r>
        <w:t xml:space="preserve">: pour la télésurveillance cardiaque à domicile, les industriels devront démontrer non seulement l’efficacité prédictive de leurs algorithmes, mais aussi leur comportement en vie réelle et leur capacité à être surveillés et mis à jour de manière contrôlée.</w:t>
      </w:r>
      <w:r/>
    </w:p>
    <w:p>
      <w:pPr>
        <w:pStyle w:val="773"/>
        <w:numPr>
          <w:ilvl w:val="0"/>
          <w:numId w:val="1"/>
        </w:numPr>
        <w:pBdr/>
        <w:spacing/>
        <w:ind/>
        <w:rPr/>
      </w:pPr>
      <w:r>
        <w:rPr>
          <w:b/>
          <w:bCs/>
        </w:rPr>
        <w:t xml:space="preserve">Le marché de la surveillance de l’insuffisance cardiaque est en forte croissance, mais se structure autour de chaînes de valeur complètes</w:t>
      </w:r>
      <w:r>
        <w:t xml:space="preserve"> : capteurs + algorithmes + intégration SI + services (centre de télésurveillance). Les acteurs purement “capteurs” ou purement “algo” sont poussés à s’allier ou à monter dans la chaîne de valeur.</w:t>
      </w:r>
      <w:r/>
    </w:p>
    <w:p>
      <w:pPr>
        <w:pStyle w:val="773"/>
        <w:numPr>
          <w:ilvl w:val="0"/>
          <w:numId w:val="1"/>
        </w:numPr>
        <w:pBdr/>
        <w:spacing/>
        <w:ind/>
        <w:rPr/>
      </w:pPr>
      <w:r>
        <w:rPr>
          <w:b/>
          <w:bCs/>
        </w:rPr>
        <w:t xml:space="preserve">Pour les systèmes de santé (dont la France avec ses programmes de télésurveillance IC), la question centrale devient : comment intégrer ces nouvelles briques IA sans explosion de la charge opérationnelle ?</w:t>
      </w:r>
      <w:r>
        <w:t xml:space="preserve"> La valeur stratégique résidera dans des solutions capables d’agréger plusieurs signaux (voix, ECG, données vitales) en un score synthétique actionnable, avec des règles claires de prise en charge.</w:t>
      </w:r>
      <w:r/>
    </w:p>
    <w:p>
      <w:pPr>
        <w:pStyle w:val="773"/>
        <w:numPr>
          <w:ilvl w:val="0"/>
          <w:numId w:val="1"/>
        </w:numPr>
        <w:pBdr/>
        <w:spacing/>
        <w:ind/>
        <w:rPr/>
      </w:pPr>
      <w:r>
        <w:rPr>
          <w:b/>
          <w:bCs/>
        </w:rPr>
        <w:t xml:space="preserve">La concurrence se jouera aussi sur la souveraineté et la conformité data en Europe</w:t>
      </w:r>
      <w:r>
        <w:t xml:space="preserve"> :</w:t>
      </w:r>
      <w:r>
        <w:t xml:space="preserve"> les modèles fondation ECG nécessitent d’énormes volumes de données ; les acteurs capables de construire ces modèles sur des données européennes, hébergées et gouvernées localement, auront un avantage stratégique auprès des hôpitaux et autorités publiques.</w:t>
      </w:r>
      <w:r/>
    </w:p>
    <w:p>
      <w:pPr>
        <w:pStyle w:val="773"/>
        <w:pBdr/>
        <w:spacing/>
        <w:ind/>
        <w:rPr/>
      </w:pPr>
      <w:r>
        <mc:AlternateContent>
          <mc:Choice Requires="wpg">
            <w:drawing>
              <wp:inline xmlns:wp="http://schemas.openxmlformats.org/drawingml/2006/wordprocessingDrawing" distT="0" distB="0" distL="0" distR="0">
                <wp:extent cx="889254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8892720" cy="19080"/>
                        </a:xfrm>
                        <a:prstGeom prst="rect">
                          <a:avLst/>
                        </a:prstGeom>
                        <a:solidFill>
                          <a:srgbClr val="A0A0A0"/>
                        </a:solidFill>
                        <a:ln w="0">
                          <a:noFill/>
                        </a:ln>
                      </wps:spPr>
                      <wps:bodyPr rot="0">
                        <a:prstTxWarp prst="textNoShape">
                          <a:avLst/>
                        </a:prstTxWarp>
                        <a:noAutofit/>
                      </wps:bodyPr>
                    </wps:wsp>
                  </a:graphicData>
                </a:graphic>
              </wp:inline>
            </w:drawing>
          </mc:Choice>
          <mc:Fallback>
            <w:pict>
              <v:shape id="shape 3" o:spid="_x0000_s3" o:spt="1" type="#_x0000_t1" style="width:700.20pt;height:1.50pt;mso-wrap-distance-left:0.00pt;mso-wrap-distance-top:0.00pt;mso-wrap-distance-right:0.00pt;mso-wrap-distance-bottom:0.00pt;visibility:visible;" fillcolor="#A0A0A0" stroked="f" strokeweight="0.00pt"/>
            </w:pict>
          </mc:Fallback>
        </mc:AlternateContent>
      </w:r>
      <w:r/>
    </w:p>
    <w:p>
      <w:pPr>
        <w:pStyle w:val="773"/>
        <w:pBdr/>
        <w:spacing/>
        <w:ind/>
        <w:rPr>
          <w:b/>
          <w:bCs/>
        </w:rPr>
      </w:pPr>
      <w:r>
        <w:rPr>
          <w:b/>
          <w:bCs/>
        </w:rPr>
        <w:t xml:space="preserve">Synthèse exécutive Stratégique (5–10 lignes)</w:t>
      </w:r>
      <w:r>
        <w:rPr>
          <w:b/>
          <w:bCs/>
        </w:rPr>
      </w:r>
    </w:p>
    <w:p>
      <w:pPr>
        <w:pStyle w:val="773"/>
        <w:pBdr/>
        <w:spacing/>
        <w:ind/>
        <w:rPr/>
      </w:pPr>
      <w:r>
        <w:t xml:space="preserve">Sur la période récente (mi</w:t>
        <w:noBreakHyphen/>
        <w:t xml:space="preserve">février – mi</w:t>
        <w:noBreakHyphen/>
        <w:t xml:space="preserve">mars 2026), la dynamique principale autour</w:t>
      </w:r>
      <w:r>
        <w:t xml:space="preserve"> de l’IA dans le suivi à domicile des patients atteints de maladies cardiaques chroniques en Europe est tirée par la recherche académique avancée (modèles vocaux pour l’insuffisance cardiaque, modèles fondation ECG) plutôt que par de nouveaux produits comm</w:t>
      </w:r>
      <w:r>
        <w:t xml:space="preserve">erciaux grand public. Ces travaux convergent vers une télésurveillance beaucoup plus riche en données, mobilisant des biomarqueurs complexes analysés par IA, avec un accent fort sur l’interprétabilité pour répondre aux exigences des cliniciens et du cadre </w:t>
      </w:r>
      <w:r>
        <w:t xml:space="preserve">réglementaire européen. Parallèlement, les études de marché confirment l’essor du segment des dispositifs de monitoring de l’insuffisance cardiaque, ce qui crée une fenêtre d’opportunité pour les industriels capables de combiner capteurs, algorithmes, inté</w:t>
      </w:r>
      <w:r>
        <w:t xml:space="preserve">gration SI et services de télésurveillance. Les régulateurs européens, via le MDR renforcé et l’IA Act, poussent à structurer des offres “evidence</w:t>
        <w:noBreakHyphen/>
        <w:t xml:space="preserve">by</w:t>
        <w:noBreakHyphen/>
        <w:t xml:space="preserve">design” incluant suivi post</w:t>
        <w:noBreakHyphen/>
        <w:t xml:space="preserve">marché et gouvernance des modèles. Pour les acteurs français et européens, la </w:t>
      </w:r>
      <w:r>
        <w:t xml:space="preserve">stratégie gagnante combinera maîtrise des données (et de la souveraineté), intégration aux organisations de télésurveillance existantes, et différenciation par la capacité à produire des alertes cliniquement pertinentes sans alourdir la charge des équipes.</w:t>
      </w:r>
      <w:r/>
    </w:p>
    <w:p>
      <w:pPr>
        <w:pStyle w:val="773"/>
        <w:widowControl w:val="true"/>
        <w:pBdr/>
        <w:bidi w:val="false"/>
        <w:spacing w:after="160" w:before="0" w:line="278" w:lineRule="auto"/>
        <w:ind/>
        <w:jc w:val="left"/>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1906" w:orient="landscape" w:w="16838"/>
      <w:pgMar w:top="1417" w:right="1417" w:bottom="1417" w:left="1417"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F0502020204030204"/>
  </w:font>
  <w:font w:name="Lucida Sans">
    <w:panose1 w:val="020B0603030804020204"/>
  </w:font>
  <w:font w:name="Helvetica 75 Bold">
    <w:panose1 w:val="02000503000000020004"/>
  </w:font>
  <w:font w:name="Aptos Display">
    <w:panose1 w:val="02000503000000020004"/>
  </w:font>
  <w:font w:name="Aptos">
    <w:panose1 w:val="020005030000000200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23518251"/>
      <w:docPartObj>
        <w:docPartGallery w:val="Page Numbers (Bottom of Page)"/>
        <w:docPartUnique w:val="true"/>
      </w:docPartObj>
      <w:rPr/>
    </w:sdtPr>
    <w:sdtContent>
      <w:p>
        <w:pPr>
          <w:pStyle w:val="814"/>
          <w:pBdr/>
          <w:spacing/>
          <w:ind/>
          <w:jc w:val="right"/>
          <w:rPr/>
        </w:pPr>
        <w:r>
          <w:fldChar w:fldCharType="begin"/>
        </w:r>
        <w:r>
          <w:instrText xml:space="preserve"> PAGE </w:instrText>
        </w:r>
        <w:r>
          <w:fldChar w:fldCharType="separate"/>
        </w:r>
        <w:r>
          <w:t xml:space="preserve">19</w:t>
        </w:r>
        <w:r>
          <w:fldChar w:fldCharType="end"/>
        </w:r>
        <w:r/>
      </w:p>
    </w:sdtContent>
  </w:sdt>
  <w:p>
    <w:pPr>
      <w:pStyle w:val="81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4"/>
      <w:pBdr/>
      <w:spacing/>
      <w:ind/>
      <w:rPr/>
    </w:pPr>
    <w:r>
      <mc:AlternateContent>
        <mc:Choice Requires="wpg">
          <w:drawing>
            <wp:anchor xmlns:wp="http://schemas.openxmlformats.org/drawingml/2006/wordprocessingDrawing" xmlns:wp14="http://schemas.microsoft.com/office/word/2010/wordprocessingDrawing" distT="0" distB="0" distL="0" distR="8890" simplePos="0" relativeHeight="3" behindDoc="1" locked="0" layoutInCell="0" allowOverlap="1">
              <wp:simplePos x="0" y="0"/>
              <wp:positionH relativeFrom="page">
                <wp:align>center</wp:align>
              </wp:positionH>
              <wp:positionV relativeFrom="page">
                <wp:align>bottom</wp:align>
              </wp:positionV>
              <wp:extent cx="886460" cy="343535"/>
              <wp:effectExtent l="0" t="635" r="0" b="0"/>
              <wp:wrapNone/>
              <wp:docPr id="1" name="Zone de texte 2" descr="Orange Restricted"/>
              <wp:cNvGraphicFramePr/>
              <a:graphic xmlns:a="http://schemas.openxmlformats.org/drawingml/2006/main">
                <a:graphicData uri="http://schemas.microsoft.com/office/word/2010/wordprocessingShape">
                  <wps:wsp>
                    <wps:cNvPr id="0" name=""/>
                    <wps:cNvSpPr/>
                    <wps:spPr bwMode="auto">
                      <a:xfrm>
                        <a:off x="0" y="0"/>
                        <a:ext cx="886320" cy="343439"/>
                      </a:xfrm>
                      <a:prstGeom prst="rect">
                        <a:avLst/>
                      </a:prstGeom>
                      <a:noFill/>
                      <a:ln w="0">
                        <a:noFill/>
                      </a:ln>
                    </wps:spPr>
                    <wps:style>
                      <a:lnRef idx="0"/>
                      <a:fillRef idx="0"/>
                      <a:effectRef idx="0"/>
                      <a:fontRef idx="minor"/>
                    </wps:style>
                    <wps:txbx>
                      <w:txbxContent>
                        <w:p>
                          <w:pPr>
                            <w:pStyle w:val="816"/>
                            <w:pBdr/>
                            <w:spacing w:after="0" w:before="0"/>
                            <w:ind/>
                            <w:rPr>
                              <w:rFonts w:ascii="Helvetica 75 Bold" w:hAnsi="Helvetica 75 Bold" w:eastAsia="Helvetica 75 Bold" w:cs="Helvetica 75 Bold"/>
                              <w:color w:val="ed7d31"/>
                              <w:sz w:val="16"/>
                              <w:szCs w:val="16"/>
                            </w:rPr>
                          </w:pPr>
                          <w:r>
                            <w:rPr>
                              <w:rFonts w:ascii="Helvetica 75 Bold" w:hAnsi="Helvetica 75 Bold" w:eastAsia="Helvetica 75 Bold" w:cs="Helvetica 75 Bold"/>
                              <w:color w:val="ed7d31"/>
                              <w:sz w:val="16"/>
                              <w:szCs w:val="16"/>
                            </w:rPr>
                            <w:t xml:space="preserve">Orange Restricted</w:t>
                          </w:r>
                          <w:r>
                            <w:rPr>
                              <w:rFonts w:ascii="Helvetica 75 Bold" w:hAnsi="Helvetica 75 Bold" w:eastAsia="Helvetica 75 Bold" w:cs="Helvetica 75 Bold"/>
                              <w:color w:val="ed7d31"/>
                              <w:sz w:val="16"/>
                              <w:szCs w:val="16"/>
                            </w:rPr>
                          </w:r>
                        </w:p>
                      </w:txbxContent>
                    </wps:txbx>
                    <wps:bodyPr lIns="0" tIns="0" rIns="0" bIns="190440" anchor="b">
                      <a:prstTxWarp prst="textNoShape"/>
                      <a:spAutoFit/>
                    </wps:bodyPr>
                  </wps:wsp>
                </a:graphicData>
              </a:graphic>
            </wp:anchor>
          </w:drawing>
        </mc:Choice>
        <mc:Fallback>
          <w:pict>
            <v:shape id="shape 0" o:spid="_x0000_s0" o:spt="1" type="#_x0000_t1" style="position:absolute;z-index:-3;o:allowoverlap:true;o:allowincell:false;mso-position-horizontal-relative:page;mso-position-horizontal:center;mso-position-vertical-relative:page;mso-position-vertical:bottom;width:69.80pt;height:27.05pt;mso-wrap-distance-left:0.00pt;mso-wrap-distance-top:0.00pt;mso-wrap-distance-right:0.70pt;mso-wrap-distance-bottom:0.00pt;v-text-anchor:bottom;visibility:visible;" filled="f" stroked="f" strokeweight="0.00pt">
              <v:textbox inset="0,0,0,0">
                <w:txbxContent>
                  <w:p>
                    <w:pPr>
                      <w:pStyle w:val="816"/>
                      <w:pBdr/>
                      <w:spacing w:after="0" w:before="0"/>
                      <w:ind/>
                      <w:rPr>
                        <w:rFonts w:ascii="Helvetica 75 Bold" w:hAnsi="Helvetica 75 Bold" w:eastAsia="Helvetica 75 Bold" w:cs="Helvetica 75 Bold"/>
                        <w:color w:val="ed7d31"/>
                        <w:sz w:val="16"/>
                        <w:szCs w:val="16"/>
                      </w:rPr>
                    </w:pPr>
                    <w:r>
                      <w:rPr>
                        <w:rFonts w:ascii="Helvetica 75 Bold" w:hAnsi="Helvetica 75 Bold" w:eastAsia="Helvetica 75 Bold" w:cs="Helvetica 75 Bold"/>
                        <w:color w:val="ed7d31"/>
                        <w:sz w:val="16"/>
                        <w:szCs w:val="16"/>
                      </w:rPr>
                      <w:t xml:space="preserve">Orange Restricted</w:t>
                    </w:r>
                    <w:r>
                      <w:rPr>
                        <w:rFonts w:ascii="Helvetica 75 Bold" w:hAnsi="Helvetica 75 Bold" w:eastAsia="Helvetica 75 Bold" w:cs="Helvetica 75 Bold"/>
                        <w:color w:val="ed7d31"/>
                        <w:sz w:val="16"/>
                        <w:szCs w:val="16"/>
                      </w:rPr>
                    </w:r>
                  </w:p>
                </w:txbxContent>
              </v:textbox>
            </v:shape>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23518251"/>
      <w:docPartObj>
        <w:docPartGallery w:val="Page Numbers (Bottom of Page)"/>
        <w:docPartUnique w:val="true"/>
      </w:docPartObj>
      <w:rPr/>
    </w:sdtPr>
    <w:sdtContent>
      <w:p>
        <w:pPr>
          <w:pStyle w:val="814"/>
          <w:pBdr/>
          <w:spacing/>
          <w:ind/>
          <w:jc w:val="right"/>
          <w:rPr/>
        </w:pPr>
        <w:r>
          <w:fldChar w:fldCharType="begin"/>
        </w:r>
        <w:r>
          <w:instrText xml:space="preserve"> PAGE </w:instrText>
        </w:r>
        <w:r>
          <w:fldChar w:fldCharType="separate"/>
        </w:r>
        <w:r>
          <w:t xml:space="preserve">19</w:t>
        </w:r>
        <w:r>
          <w:fldChar w:fldCharType="end"/>
        </w:r>
        <w:r/>
      </w:p>
    </w:sdtContent>
  </w:sdt>
  <w:p>
    <w:pPr>
      <w:pStyle w:val="81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82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82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2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2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8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8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8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8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8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8" w:default="1">
    <w:name w:val="No List"/>
    <w:uiPriority w:val="99"/>
    <w:semiHidden/>
    <w:unhideWhenUsed/>
    <w:pPr>
      <w:pBdr/>
      <w:spacing/>
      <w:ind/>
    </w:pPr>
  </w:style>
  <w:style w:type="character" w:styleId="149">
    <w:name w:val="Heading 1 Char"/>
    <w:basedOn w:val="783"/>
    <w:link w:val="774"/>
    <w:uiPriority w:val="9"/>
    <w:pPr>
      <w:pBdr/>
      <w:spacing/>
      <w:ind/>
    </w:pPr>
    <w:rPr>
      <w:rFonts w:ascii="Arial" w:hAnsi="Arial" w:eastAsia="Arial" w:cs="Arial"/>
      <w:color w:val="0f4761" w:themeColor="accent1" w:themeShade="BF"/>
      <w:sz w:val="40"/>
      <w:szCs w:val="40"/>
    </w:rPr>
  </w:style>
  <w:style w:type="character" w:styleId="150">
    <w:name w:val="Heading 2 Char"/>
    <w:basedOn w:val="783"/>
    <w:link w:val="775"/>
    <w:uiPriority w:val="9"/>
    <w:pPr>
      <w:pBdr/>
      <w:spacing/>
      <w:ind/>
    </w:pPr>
    <w:rPr>
      <w:rFonts w:ascii="Arial" w:hAnsi="Arial" w:eastAsia="Arial" w:cs="Arial"/>
      <w:color w:val="0f4761" w:themeColor="accent1" w:themeShade="BF"/>
      <w:sz w:val="32"/>
      <w:szCs w:val="32"/>
    </w:rPr>
  </w:style>
  <w:style w:type="character" w:styleId="151">
    <w:name w:val="Heading 3 Char"/>
    <w:basedOn w:val="783"/>
    <w:link w:val="776"/>
    <w:uiPriority w:val="9"/>
    <w:pPr>
      <w:pBdr/>
      <w:spacing/>
      <w:ind/>
    </w:pPr>
    <w:rPr>
      <w:rFonts w:ascii="Arial" w:hAnsi="Arial" w:eastAsia="Arial" w:cs="Arial"/>
      <w:color w:val="0f4761" w:themeColor="accent1" w:themeShade="BF"/>
      <w:sz w:val="28"/>
      <w:szCs w:val="28"/>
    </w:rPr>
  </w:style>
  <w:style w:type="character" w:styleId="152">
    <w:name w:val="Heading 4 Char"/>
    <w:basedOn w:val="783"/>
    <w:link w:val="777"/>
    <w:uiPriority w:val="9"/>
    <w:pPr>
      <w:pBdr/>
      <w:spacing/>
      <w:ind/>
    </w:pPr>
    <w:rPr>
      <w:rFonts w:ascii="Arial" w:hAnsi="Arial" w:eastAsia="Arial" w:cs="Arial"/>
      <w:i/>
      <w:iCs/>
      <w:color w:val="0f4761" w:themeColor="accent1" w:themeShade="BF"/>
    </w:rPr>
  </w:style>
  <w:style w:type="character" w:styleId="153">
    <w:name w:val="Heading 5 Char"/>
    <w:basedOn w:val="783"/>
    <w:link w:val="778"/>
    <w:uiPriority w:val="9"/>
    <w:pPr>
      <w:pBdr/>
      <w:spacing/>
      <w:ind/>
    </w:pPr>
    <w:rPr>
      <w:rFonts w:ascii="Arial" w:hAnsi="Arial" w:eastAsia="Arial" w:cs="Arial"/>
      <w:color w:val="0f4761" w:themeColor="accent1" w:themeShade="BF"/>
    </w:rPr>
  </w:style>
  <w:style w:type="character" w:styleId="154">
    <w:name w:val="Heading 6 Char"/>
    <w:basedOn w:val="783"/>
    <w:link w:val="779"/>
    <w:uiPriority w:val="9"/>
    <w:pPr>
      <w:pBdr/>
      <w:spacing/>
      <w:ind/>
    </w:pPr>
    <w:rPr>
      <w:rFonts w:ascii="Arial" w:hAnsi="Arial" w:eastAsia="Arial" w:cs="Arial"/>
      <w:i/>
      <w:iCs/>
      <w:color w:val="595959" w:themeColor="text1" w:themeTint="A6"/>
    </w:rPr>
  </w:style>
  <w:style w:type="character" w:styleId="155">
    <w:name w:val="Heading 7 Char"/>
    <w:basedOn w:val="783"/>
    <w:link w:val="780"/>
    <w:uiPriority w:val="9"/>
    <w:pPr>
      <w:pBdr/>
      <w:spacing/>
      <w:ind/>
    </w:pPr>
    <w:rPr>
      <w:rFonts w:ascii="Arial" w:hAnsi="Arial" w:eastAsia="Arial" w:cs="Arial"/>
      <w:color w:val="595959" w:themeColor="text1" w:themeTint="A6"/>
    </w:rPr>
  </w:style>
  <w:style w:type="character" w:styleId="156">
    <w:name w:val="Heading 8 Char"/>
    <w:basedOn w:val="783"/>
    <w:link w:val="781"/>
    <w:uiPriority w:val="9"/>
    <w:pPr>
      <w:pBdr/>
      <w:spacing/>
      <w:ind/>
    </w:pPr>
    <w:rPr>
      <w:rFonts w:ascii="Arial" w:hAnsi="Arial" w:eastAsia="Arial" w:cs="Arial"/>
      <w:i/>
      <w:iCs/>
      <w:color w:val="272727" w:themeColor="text1" w:themeTint="D8"/>
    </w:rPr>
  </w:style>
  <w:style w:type="character" w:styleId="157">
    <w:name w:val="Heading 9 Char"/>
    <w:basedOn w:val="783"/>
    <w:link w:val="782"/>
    <w:uiPriority w:val="9"/>
    <w:pPr>
      <w:pBdr/>
      <w:spacing/>
      <w:ind/>
    </w:pPr>
    <w:rPr>
      <w:rFonts w:ascii="Arial" w:hAnsi="Arial" w:eastAsia="Arial" w:cs="Arial"/>
      <w:i/>
      <w:iCs/>
      <w:color w:val="272727" w:themeColor="text1" w:themeTint="D8"/>
    </w:rPr>
  </w:style>
  <w:style w:type="character" w:styleId="159">
    <w:name w:val="Title Char"/>
    <w:basedOn w:val="783"/>
    <w:link w:val="808"/>
    <w:uiPriority w:val="10"/>
    <w:pPr>
      <w:pBdr/>
      <w:spacing/>
      <w:ind/>
    </w:pPr>
    <w:rPr>
      <w:rFonts w:ascii="Arial" w:hAnsi="Arial" w:eastAsia="Arial" w:cs="Arial"/>
      <w:spacing w:val="-10"/>
      <w:sz w:val="56"/>
      <w:szCs w:val="56"/>
    </w:rPr>
  </w:style>
  <w:style w:type="character" w:styleId="161">
    <w:name w:val="Subtitle Char"/>
    <w:basedOn w:val="783"/>
    <w:link w:val="809"/>
    <w:uiPriority w:val="11"/>
    <w:pPr>
      <w:pBdr/>
      <w:spacing/>
      <w:ind/>
    </w:pPr>
    <w:rPr>
      <w:color w:val="595959" w:themeColor="text1" w:themeTint="A6"/>
      <w:spacing w:val="15"/>
      <w:sz w:val="28"/>
      <w:szCs w:val="28"/>
    </w:rPr>
  </w:style>
  <w:style w:type="character" w:styleId="163">
    <w:name w:val="Quote Char"/>
    <w:basedOn w:val="783"/>
    <w:link w:val="810"/>
    <w:uiPriority w:val="29"/>
    <w:pPr>
      <w:pBdr/>
      <w:spacing/>
      <w:ind/>
    </w:pPr>
    <w:rPr>
      <w:i/>
      <w:iCs/>
      <w:color w:val="404040" w:themeColor="text1" w:themeTint="BF"/>
    </w:rPr>
  </w:style>
  <w:style w:type="character" w:styleId="167">
    <w:name w:val="Intense Quote Char"/>
    <w:basedOn w:val="783"/>
    <w:link w:val="812"/>
    <w:uiPriority w:val="30"/>
    <w:pPr>
      <w:pBdr/>
      <w:spacing/>
      <w:ind/>
    </w:pPr>
    <w:rPr>
      <w:i/>
      <w:iCs/>
      <w:color w:val="0f4761" w:themeColor="accent1" w:themeShade="BF"/>
    </w:rPr>
  </w:style>
  <w:style w:type="paragraph" w:styleId="169">
    <w:name w:val="No Spacing"/>
    <w:basedOn w:val="773"/>
    <w:uiPriority w:val="1"/>
    <w:qFormat/>
    <w:pPr>
      <w:pBdr/>
      <w:spacing w:after="0" w:line="240" w:lineRule="auto"/>
      <w:ind/>
    </w:pPr>
  </w:style>
  <w:style w:type="character" w:styleId="170">
    <w:name w:val="Subtle Emphasis"/>
    <w:basedOn w:val="783"/>
    <w:uiPriority w:val="19"/>
    <w:qFormat/>
    <w:pPr>
      <w:pBdr/>
      <w:spacing/>
      <w:ind/>
    </w:pPr>
    <w:rPr>
      <w:i/>
      <w:iCs/>
      <w:color w:val="404040" w:themeColor="text1" w:themeTint="BF"/>
    </w:rPr>
  </w:style>
  <w:style w:type="character" w:styleId="171">
    <w:name w:val="Emphasis"/>
    <w:basedOn w:val="783"/>
    <w:uiPriority w:val="20"/>
    <w:qFormat/>
    <w:pPr>
      <w:pBdr/>
      <w:spacing/>
      <w:ind/>
    </w:pPr>
    <w:rPr>
      <w:i/>
      <w:iCs/>
    </w:rPr>
  </w:style>
  <w:style w:type="character" w:styleId="172">
    <w:name w:val="Strong"/>
    <w:basedOn w:val="783"/>
    <w:uiPriority w:val="22"/>
    <w:qFormat/>
    <w:pPr>
      <w:pBdr/>
      <w:spacing/>
      <w:ind/>
    </w:pPr>
    <w:rPr>
      <w:b/>
      <w:bCs/>
    </w:rPr>
  </w:style>
  <w:style w:type="character" w:styleId="173">
    <w:name w:val="Subtle Reference"/>
    <w:basedOn w:val="783"/>
    <w:uiPriority w:val="31"/>
    <w:qFormat/>
    <w:pPr>
      <w:pBdr/>
      <w:spacing/>
      <w:ind/>
    </w:pPr>
    <w:rPr>
      <w:smallCaps/>
      <w:color w:val="5a5a5a" w:themeColor="text1" w:themeTint="A5"/>
    </w:rPr>
  </w:style>
  <w:style w:type="character" w:styleId="174">
    <w:name w:val="Book Title"/>
    <w:basedOn w:val="783"/>
    <w:uiPriority w:val="33"/>
    <w:qFormat/>
    <w:pPr>
      <w:pBdr/>
      <w:spacing/>
      <w:ind/>
    </w:pPr>
    <w:rPr>
      <w:b/>
      <w:bCs/>
      <w:i/>
      <w:iCs/>
      <w:spacing w:val="5"/>
    </w:rPr>
  </w:style>
  <w:style w:type="character" w:styleId="176">
    <w:name w:val="Header Char"/>
    <w:basedOn w:val="783"/>
    <w:link w:val="815"/>
    <w:uiPriority w:val="99"/>
    <w:pPr>
      <w:pBdr/>
      <w:spacing/>
      <w:ind/>
    </w:pPr>
  </w:style>
  <w:style w:type="character" w:styleId="178">
    <w:name w:val="Footer Char"/>
    <w:basedOn w:val="783"/>
    <w:link w:val="814"/>
    <w:uiPriority w:val="99"/>
    <w:pPr>
      <w:pBdr/>
      <w:spacing/>
      <w:ind/>
    </w:pPr>
  </w:style>
  <w:style w:type="paragraph" w:styleId="180">
    <w:name w:val="footnote text"/>
    <w:basedOn w:val="773"/>
    <w:link w:val="181"/>
    <w:uiPriority w:val="99"/>
    <w:semiHidden/>
    <w:unhideWhenUsed/>
    <w:pPr>
      <w:pBdr/>
      <w:spacing w:after="0" w:line="240" w:lineRule="auto"/>
      <w:ind/>
    </w:pPr>
    <w:rPr>
      <w:sz w:val="20"/>
      <w:szCs w:val="20"/>
    </w:rPr>
  </w:style>
  <w:style w:type="character" w:styleId="181">
    <w:name w:val="Footnote Text Char"/>
    <w:basedOn w:val="783"/>
    <w:link w:val="180"/>
    <w:uiPriority w:val="99"/>
    <w:semiHidden/>
    <w:pPr>
      <w:pBdr/>
      <w:spacing/>
      <w:ind/>
    </w:pPr>
    <w:rPr>
      <w:sz w:val="20"/>
      <w:szCs w:val="20"/>
    </w:rPr>
  </w:style>
  <w:style w:type="character" w:styleId="182">
    <w:name w:val="footnote reference"/>
    <w:basedOn w:val="783"/>
    <w:uiPriority w:val="99"/>
    <w:semiHidden/>
    <w:unhideWhenUsed/>
    <w:pPr>
      <w:pBdr/>
      <w:spacing/>
      <w:ind/>
    </w:pPr>
    <w:rPr>
      <w:vertAlign w:val="superscript"/>
    </w:rPr>
  </w:style>
  <w:style w:type="paragraph" w:styleId="183">
    <w:name w:val="endnote text"/>
    <w:basedOn w:val="773"/>
    <w:link w:val="184"/>
    <w:uiPriority w:val="99"/>
    <w:semiHidden/>
    <w:unhideWhenUsed/>
    <w:pPr>
      <w:pBdr/>
      <w:spacing w:after="0" w:line="240" w:lineRule="auto"/>
      <w:ind/>
    </w:pPr>
    <w:rPr>
      <w:sz w:val="20"/>
      <w:szCs w:val="20"/>
    </w:rPr>
  </w:style>
  <w:style w:type="character" w:styleId="184">
    <w:name w:val="Endnote Text Char"/>
    <w:basedOn w:val="783"/>
    <w:link w:val="183"/>
    <w:uiPriority w:val="99"/>
    <w:semiHidden/>
    <w:pPr>
      <w:pBdr/>
      <w:spacing/>
      <w:ind/>
    </w:pPr>
    <w:rPr>
      <w:sz w:val="20"/>
      <w:szCs w:val="20"/>
    </w:rPr>
  </w:style>
  <w:style w:type="character" w:styleId="185">
    <w:name w:val="endnote reference"/>
    <w:basedOn w:val="783"/>
    <w:uiPriority w:val="99"/>
    <w:semiHidden/>
    <w:unhideWhenUsed/>
    <w:pPr>
      <w:pBdr/>
      <w:spacing/>
      <w:ind/>
    </w:pPr>
    <w:rPr>
      <w:vertAlign w:val="superscript"/>
    </w:rPr>
  </w:style>
  <w:style w:type="character" w:styleId="187">
    <w:name w:val="FollowedHyperlink"/>
    <w:basedOn w:val="783"/>
    <w:uiPriority w:val="99"/>
    <w:semiHidden/>
    <w:unhideWhenUsed/>
    <w:pPr>
      <w:pBdr/>
      <w:spacing/>
      <w:ind/>
    </w:pPr>
    <w:rPr>
      <w:color w:val="954f72" w:themeColor="followedHyperlink"/>
      <w:u w:val="single"/>
    </w:rPr>
  </w:style>
  <w:style w:type="paragraph" w:styleId="188">
    <w:name w:val="toc 1"/>
    <w:basedOn w:val="773"/>
    <w:next w:val="773"/>
    <w:uiPriority w:val="39"/>
    <w:unhideWhenUsed/>
    <w:pPr>
      <w:pBdr/>
      <w:spacing w:after="100"/>
      <w:ind/>
    </w:pPr>
  </w:style>
  <w:style w:type="paragraph" w:styleId="189">
    <w:name w:val="toc 2"/>
    <w:basedOn w:val="773"/>
    <w:next w:val="773"/>
    <w:uiPriority w:val="39"/>
    <w:unhideWhenUsed/>
    <w:pPr>
      <w:pBdr/>
      <w:spacing w:after="100"/>
      <w:ind w:left="220"/>
    </w:pPr>
  </w:style>
  <w:style w:type="paragraph" w:styleId="190">
    <w:name w:val="toc 3"/>
    <w:basedOn w:val="773"/>
    <w:next w:val="773"/>
    <w:uiPriority w:val="39"/>
    <w:unhideWhenUsed/>
    <w:pPr>
      <w:pBdr/>
      <w:spacing w:after="100"/>
      <w:ind w:left="440"/>
    </w:pPr>
  </w:style>
  <w:style w:type="paragraph" w:styleId="191">
    <w:name w:val="toc 4"/>
    <w:basedOn w:val="773"/>
    <w:next w:val="773"/>
    <w:uiPriority w:val="39"/>
    <w:unhideWhenUsed/>
    <w:pPr>
      <w:pBdr/>
      <w:spacing w:after="100"/>
      <w:ind w:left="660"/>
    </w:pPr>
  </w:style>
  <w:style w:type="paragraph" w:styleId="192">
    <w:name w:val="toc 5"/>
    <w:basedOn w:val="773"/>
    <w:next w:val="773"/>
    <w:uiPriority w:val="39"/>
    <w:unhideWhenUsed/>
    <w:pPr>
      <w:pBdr/>
      <w:spacing w:after="100"/>
      <w:ind w:left="880"/>
    </w:pPr>
  </w:style>
  <w:style w:type="paragraph" w:styleId="193">
    <w:name w:val="toc 6"/>
    <w:basedOn w:val="773"/>
    <w:next w:val="773"/>
    <w:uiPriority w:val="39"/>
    <w:unhideWhenUsed/>
    <w:pPr>
      <w:pBdr/>
      <w:spacing w:after="100"/>
      <w:ind w:left="1100"/>
    </w:pPr>
  </w:style>
  <w:style w:type="paragraph" w:styleId="194">
    <w:name w:val="toc 7"/>
    <w:basedOn w:val="773"/>
    <w:next w:val="773"/>
    <w:uiPriority w:val="39"/>
    <w:unhideWhenUsed/>
    <w:pPr>
      <w:pBdr/>
      <w:spacing w:after="100"/>
      <w:ind w:left="1320"/>
    </w:pPr>
  </w:style>
  <w:style w:type="paragraph" w:styleId="195">
    <w:name w:val="toc 8"/>
    <w:basedOn w:val="773"/>
    <w:next w:val="773"/>
    <w:uiPriority w:val="39"/>
    <w:unhideWhenUsed/>
    <w:pPr>
      <w:pBdr/>
      <w:spacing w:after="100"/>
      <w:ind w:left="1540"/>
    </w:pPr>
  </w:style>
  <w:style w:type="paragraph" w:styleId="196">
    <w:name w:val="toc 9"/>
    <w:basedOn w:val="773"/>
    <w:next w:val="773"/>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73"/>
    <w:next w:val="773"/>
    <w:uiPriority w:val="99"/>
    <w:unhideWhenUsed/>
    <w:pPr>
      <w:pBdr/>
      <w:spacing w:after="0" w:afterAutospacing="0"/>
      <w:ind/>
    </w:pPr>
  </w:style>
  <w:style w:type="paragraph" w:styleId="773" w:default="1">
    <w:name w:val="Normal"/>
    <w:qFormat/>
    <w:pPr>
      <w:widowControl w:val="true"/>
      <w:pBdr/>
      <w:bidi w:val="false"/>
      <w:spacing w:after="160" w:before="0" w:line="278" w:lineRule="auto"/>
      <w:ind/>
      <w:jc w:val="left"/>
    </w:pPr>
    <w:rPr>
      <w:rFonts w:ascii="Aptos" w:hAnsi="Aptos" w:eastAsia="Aptos" w:asciiTheme="minorHAnsi" w:hAnsiTheme="minorHAnsi" w:eastAsiaTheme="minorHAnsi" w:cstheme="minorBidi"/>
      <w:color w:val="auto"/>
      <w:sz w:val="24"/>
      <w:szCs w:val="24"/>
      <w:lang w:val="fr-FR" w:eastAsia="en-US" w:bidi="ar-SA"/>
      <w14:ligatures w14:val="standardContextual"/>
    </w:rPr>
  </w:style>
  <w:style w:type="paragraph" w:styleId="774">
    <w:name w:val="Heading 1"/>
    <w:basedOn w:val="773"/>
    <w:next w:val="773"/>
    <w:link w:val="784"/>
    <w:uiPriority w:val="9"/>
    <w:qFormat/>
    <w:pPr>
      <w:keepNext w:val="true"/>
      <w:keepLines w:val="true"/>
      <w:pBdr/>
      <w:spacing w:after="80" w:before="360"/>
      <w:ind/>
      <w:outlineLvl w:val="0"/>
    </w:pPr>
    <w:rPr>
      <w:rFonts w:ascii="Aptos Display" w:hAnsi="Aptos Display" w:asciiTheme="majorHAnsi" w:hAnsiTheme="majorHAnsi" w:eastAsiaTheme="majorEastAsia" w:cstheme="majorBidi"/>
      <w:color w:val="0f4761" w:themeColor="accent1" w:themeShade="BF"/>
      <w:sz w:val="40"/>
      <w:szCs w:val="40"/>
    </w:rPr>
  </w:style>
  <w:style w:type="paragraph" w:styleId="775">
    <w:name w:val="Heading 2"/>
    <w:basedOn w:val="773"/>
    <w:next w:val="773"/>
    <w:link w:val="785"/>
    <w:uiPriority w:val="9"/>
    <w:semiHidden/>
    <w:unhideWhenUsed/>
    <w:qFormat/>
    <w:pPr>
      <w:keepNext w:val="true"/>
      <w:keepLines w:val="true"/>
      <w:pBdr/>
      <w:spacing w:after="80" w:before="160"/>
      <w:ind/>
      <w:outlineLvl w:val="1"/>
    </w:pPr>
    <w:rPr>
      <w:rFonts w:ascii="Aptos Display" w:hAnsi="Aptos Display" w:asciiTheme="majorHAnsi" w:hAnsiTheme="majorHAnsi" w:eastAsiaTheme="majorEastAsia" w:cstheme="majorBidi"/>
      <w:color w:val="0f4761" w:themeColor="accent1" w:themeShade="BF"/>
      <w:sz w:val="32"/>
      <w:szCs w:val="32"/>
    </w:rPr>
  </w:style>
  <w:style w:type="paragraph" w:styleId="776">
    <w:name w:val="Heading 3"/>
    <w:basedOn w:val="773"/>
    <w:next w:val="773"/>
    <w:link w:val="78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77">
    <w:name w:val="Heading 4"/>
    <w:basedOn w:val="773"/>
    <w:next w:val="773"/>
    <w:link w:val="78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78">
    <w:name w:val="Heading 5"/>
    <w:basedOn w:val="773"/>
    <w:next w:val="773"/>
    <w:link w:val="78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79">
    <w:name w:val="Heading 6"/>
    <w:basedOn w:val="773"/>
    <w:next w:val="773"/>
    <w:link w:val="78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80">
    <w:name w:val="Heading 7"/>
    <w:basedOn w:val="773"/>
    <w:next w:val="773"/>
    <w:link w:val="79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81">
    <w:name w:val="Heading 8"/>
    <w:basedOn w:val="773"/>
    <w:next w:val="773"/>
    <w:link w:val="791"/>
    <w:uiPriority w:val="9"/>
    <w:semiHidden/>
    <w:unhideWhenUsed/>
    <w:qFormat/>
    <w:pPr>
      <w:keepNext w:val="true"/>
      <w:keepLines w:val="true"/>
      <w:pBdr/>
      <w:spacing w:after="0" w:before="0"/>
      <w:ind/>
      <w:outlineLvl w:val="7"/>
    </w:pPr>
    <w:rPr>
      <w:rFonts w:eastAsiaTheme="majorEastAsia" w:cstheme="majorBidi"/>
      <w:i/>
      <w:iCs/>
      <w:color w:val="272727" w:themeColor="text1" w:themeTint="D8"/>
    </w:rPr>
  </w:style>
  <w:style w:type="paragraph" w:styleId="782">
    <w:name w:val="Heading 9"/>
    <w:basedOn w:val="773"/>
    <w:next w:val="773"/>
    <w:link w:val="792"/>
    <w:uiPriority w:val="9"/>
    <w:semiHidden/>
    <w:unhideWhenUsed/>
    <w:qFormat/>
    <w:pPr>
      <w:keepNext w:val="true"/>
      <w:keepLines w:val="true"/>
      <w:pBdr/>
      <w:spacing w:after="0" w:before="0"/>
      <w:ind/>
      <w:outlineLvl w:val="8"/>
    </w:pPr>
    <w:rPr>
      <w:rFonts w:eastAsiaTheme="majorEastAsia" w:cstheme="majorBidi"/>
      <w:color w:val="272727" w:themeColor="text1" w:themeTint="D8"/>
    </w:rPr>
  </w:style>
  <w:style w:type="character" w:styleId="783" w:default="1">
    <w:name w:val="Default Paragraph Font"/>
    <w:uiPriority w:val="1"/>
    <w:semiHidden/>
    <w:unhideWhenUsed/>
    <w:qFormat/>
    <w:pPr>
      <w:pBdr/>
      <w:spacing/>
      <w:ind/>
    </w:pPr>
  </w:style>
  <w:style w:type="character" w:styleId="784" w:customStyle="1">
    <w:name w:val="Titre 1 Car"/>
    <w:basedOn w:val="783"/>
    <w:uiPriority w:val="9"/>
    <w:qFormat/>
    <w:pPr>
      <w:pBdr/>
      <w:spacing/>
      <w:ind/>
    </w:pPr>
    <w:rPr>
      <w:rFonts w:ascii="Aptos Display" w:hAnsi="Aptos Display" w:asciiTheme="majorHAnsi" w:hAnsiTheme="majorHAnsi" w:eastAsiaTheme="majorEastAsia" w:cstheme="majorBidi"/>
      <w:color w:val="0f4761" w:themeColor="accent1" w:themeShade="BF"/>
      <w:sz w:val="40"/>
      <w:szCs w:val="40"/>
    </w:rPr>
  </w:style>
  <w:style w:type="character" w:styleId="785" w:customStyle="1">
    <w:name w:val="Titre 2 Car"/>
    <w:basedOn w:val="783"/>
    <w:uiPriority w:val="9"/>
    <w:semiHidden/>
    <w:qFormat/>
    <w:pPr>
      <w:pBdr/>
      <w:spacing/>
      <w:ind/>
    </w:pPr>
    <w:rPr>
      <w:rFonts w:ascii="Aptos Display" w:hAnsi="Aptos Display" w:asciiTheme="majorHAnsi" w:hAnsiTheme="majorHAnsi" w:eastAsiaTheme="majorEastAsia" w:cstheme="majorBidi"/>
      <w:color w:val="0f4761" w:themeColor="accent1" w:themeShade="BF"/>
      <w:sz w:val="32"/>
      <w:szCs w:val="32"/>
    </w:rPr>
  </w:style>
  <w:style w:type="character" w:styleId="786" w:customStyle="1">
    <w:name w:val="Titre 3 Car"/>
    <w:basedOn w:val="783"/>
    <w:uiPriority w:val="9"/>
    <w:semiHidden/>
    <w:qFormat/>
    <w:pPr>
      <w:pBdr/>
      <w:spacing/>
      <w:ind/>
    </w:pPr>
    <w:rPr>
      <w:rFonts w:eastAsiaTheme="majorEastAsia" w:cstheme="majorBidi"/>
      <w:color w:val="0f4761" w:themeColor="accent1" w:themeShade="BF"/>
      <w:sz w:val="28"/>
      <w:szCs w:val="28"/>
    </w:rPr>
  </w:style>
  <w:style w:type="character" w:styleId="787" w:customStyle="1">
    <w:name w:val="Titre 4 Car"/>
    <w:basedOn w:val="783"/>
    <w:uiPriority w:val="9"/>
    <w:semiHidden/>
    <w:qFormat/>
    <w:pPr>
      <w:pBdr/>
      <w:spacing/>
      <w:ind/>
    </w:pPr>
    <w:rPr>
      <w:rFonts w:eastAsiaTheme="majorEastAsia" w:cstheme="majorBidi"/>
      <w:i/>
      <w:iCs/>
      <w:color w:val="0f4761" w:themeColor="accent1" w:themeShade="BF"/>
    </w:rPr>
  </w:style>
  <w:style w:type="character" w:styleId="788" w:customStyle="1">
    <w:name w:val="Titre 5 Car"/>
    <w:basedOn w:val="783"/>
    <w:uiPriority w:val="9"/>
    <w:semiHidden/>
    <w:qFormat/>
    <w:pPr>
      <w:pBdr/>
      <w:spacing/>
      <w:ind/>
    </w:pPr>
    <w:rPr>
      <w:rFonts w:eastAsiaTheme="majorEastAsia" w:cstheme="majorBidi"/>
      <w:color w:val="0f4761" w:themeColor="accent1" w:themeShade="BF"/>
    </w:rPr>
  </w:style>
  <w:style w:type="character" w:styleId="789" w:customStyle="1">
    <w:name w:val="Titre 6 Car"/>
    <w:basedOn w:val="783"/>
    <w:uiPriority w:val="9"/>
    <w:semiHidden/>
    <w:qFormat/>
    <w:pPr>
      <w:pBdr/>
      <w:spacing/>
      <w:ind/>
    </w:pPr>
    <w:rPr>
      <w:rFonts w:eastAsiaTheme="majorEastAsia" w:cstheme="majorBidi"/>
      <w:i/>
      <w:iCs/>
      <w:color w:val="595959" w:themeColor="text1" w:themeTint="A6"/>
    </w:rPr>
  </w:style>
  <w:style w:type="character" w:styleId="790" w:customStyle="1">
    <w:name w:val="Titre 7 Car"/>
    <w:basedOn w:val="783"/>
    <w:uiPriority w:val="9"/>
    <w:semiHidden/>
    <w:qFormat/>
    <w:pPr>
      <w:pBdr/>
      <w:spacing/>
      <w:ind/>
    </w:pPr>
    <w:rPr>
      <w:rFonts w:eastAsiaTheme="majorEastAsia" w:cstheme="majorBidi"/>
      <w:color w:val="595959" w:themeColor="text1" w:themeTint="A6"/>
    </w:rPr>
  </w:style>
  <w:style w:type="character" w:styleId="791" w:customStyle="1">
    <w:name w:val="Titre 8 Car"/>
    <w:basedOn w:val="783"/>
    <w:uiPriority w:val="9"/>
    <w:semiHidden/>
    <w:qFormat/>
    <w:pPr>
      <w:pBdr/>
      <w:spacing/>
      <w:ind/>
    </w:pPr>
    <w:rPr>
      <w:rFonts w:eastAsiaTheme="majorEastAsia" w:cstheme="majorBidi"/>
      <w:i/>
      <w:iCs/>
      <w:color w:val="272727" w:themeColor="text1" w:themeTint="D8"/>
    </w:rPr>
  </w:style>
  <w:style w:type="character" w:styleId="792" w:customStyle="1">
    <w:name w:val="Titre 9 Car"/>
    <w:basedOn w:val="783"/>
    <w:uiPriority w:val="9"/>
    <w:semiHidden/>
    <w:qFormat/>
    <w:pPr>
      <w:pBdr/>
      <w:spacing/>
      <w:ind/>
    </w:pPr>
    <w:rPr>
      <w:rFonts w:eastAsiaTheme="majorEastAsia" w:cstheme="majorBidi"/>
      <w:color w:val="272727" w:themeColor="text1" w:themeTint="D8"/>
    </w:rPr>
  </w:style>
  <w:style w:type="character" w:styleId="793" w:customStyle="1">
    <w:name w:val="Titre Car"/>
    <w:basedOn w:val="783"/>
    <w:uiPriority w:val="10"/>
    <w:qFormat/>
    <w:pPr>
      <w:pBdr/>
      <w:spacing/>
      <w:ind/>
    </w:pPr>
    <w:rPr>
      <w:rFonts w:ascii="Aptos Display" w:hAnsi="Aptos Display" w:asciiTheme="majorHAnsi" w:hAnsiTheme="majorHAnsi" w:eastAsiaTheme="majorEastAsia" w:cstheme="majorBidi"/>
      <w:spacing w:val="-10"/>
      <w:sz w:val="56"/>
      <w:szCs w:val="56"/>
    </w:rPr>
  </w:style>
  <w:style w:type="character" w:styleId="794" w:customStyle="1">
    <w:name w:val="Sous-titre Car"/>
    <w:basedOn w:val="783"/>
    <w:uiPriority w:val="11"/>
    <w:qFormat/>
    <w:pPr>
      <w:pBdr/>
      <w:spacing/>
      <w:ind/>
    </w:pPr>
    <w:rPr>
      <w:rFonts w:eastAsiaTheme="majorEastAsia" w:cstheme="majorBidi"/>
      <w:color w:val="595959" w:themeColor="text1" w:themeTint="A6"/>
      <w:spacing w:val="15"/>
      <w:sz w:val="28"/>
      <w:szCs w:val="28"/>
    </w:rPr>
  </w:style>
  <w:style w:type="character" w:styleId="795" w:customStyle="1">
    <w:name w:val="Citation Car"/>
    <w:basedOn w:val="783"/>
    <w:link w:val="810"/>
    <w:uiPriority w:val="29"/>
    <w:qFormat/>
    <w:pPr>
      <w:pBdr/>
      <w:spacing/>
      <w:ind/>
    </w:pPr>
    <w:rPr>
      <w:i/>
      <w:iCs/>
      <w:color w:val="404040" w:themeColor="text1" w:themeTint="BF"/>
    </w:rPr>
  </w:style>
  <w:style w:type="character" w:styleId="796">
    <w:name w:val="Intense Emphasis"/>
    <w:basedOn w:val="783"/>
    <w:uiPriority w:val="21"/>
    <w:qFormat/>
    <w:pPr>
      <w:pBdr/>
      <w:spacing/>
      <w:ind/>
    </w:pPr>
    <w:rPr>
      <w:i/>
      <w:iCs/>
      <w:color w:val="0f4761" w:themeColor="accent1" w:themeShade="BF"/>
    </w:rPr>
  </w:style>
  <w:style w:type="character" w:styleId="797" w:customStyle="1">
    <w:name w:val="Citation intense Car"/>
    <w:basedOn w:val="783"/>
    <w:link w:val="812"/>
    <w:uiPriority w:val="30"/>
    <w:qFormat/>
    <w:pPr>
      <w:pBdr/>
      <w:spacing/>
      <w:ind/>
    </w:pPr>
    <w:rPr>
      <w:i/>
      <w:iCs/>
      <w:color w:val="0f4761" w:themeColor="accent1" w:themeShade="BF"/>
    </w:rPr>
  </w:style>
  <w:style w:type="character" w:styleId="798">
    <w:name w:val="Intense Reference"/>
    <w:basedOn w:val="783"/>
    <w:uiPriority w:val="32"/>
    <w:qFormat/>
    <w:pPr>
      <w:pBdr/>
      <w:spacing/>
      <w:ind/>
    </w:pPr>
    <w:rPr>
      <w:b/>
      <w:bCs/>
      <w:smallCaps/>
      <w:color w:val="0f4761" w:themeColor="accent1" w:themeShade="BF"/>
      <w:spacing w:val="5"/>
    </w:rPr>
  </w:style>
  <w:style w:type="character" w:styleId="799">
    <w:name w:val="Hyperlink"/>
    <w:basedOn w:val="783"/>
    <w:uiPriority w:val="99"/>
    <w:unhideWhenUsed/>
    <w:pPr>
      <w:pBdr/>
      <w:spacing/>
      <w:ind/>
    </w:pPr>
    <w:rPr>
      <w:color w:val="467886" w:themeColor="hyperlink"/>
      <w:u w:val="single"/>
    </w:rPr>
  </w:style>
  <w:style w:type="character" w:styleId="800">
    <w:name w:val="Unresolved Mention"/>
    <w:basedOn w:val="783"/>
    <w:uiPriority w:val="99"/>
    <w:semiHidden/>
    <w:unhideWhenUsed/>
    <w:qFormat/>
    <w:pPr>
      <w:pBdr/>
      <w:spacing/>
      <w:ind/>
    </w:pPr>
    <w:rPr>
      <w:color w:val="605e5c"/>
      <w:shd w:val="clear" w:color="auto" w:fill="e1dfdd"/>
    </w:rPr>
  </w:style>
  <w:style w:type="character" w:styleId="801" w:customStyle="1">
    <w:name w:val="Pied de page Car"/>
    <w:basedOn w:val="783"/>
    <w:uiPriority w:val="99"/>
    <w:qFormat/>
    <w:pPr>
      <w:pBdr/>
      <w:spacing/>
      <w:ind/>
    </w:pPr>
  </w:style>
  <w:style w:type="character" w:styleId="802" w:customStyle="1">
    <w:name w:val="En-tête Car"/>
    <w:basedOn w:val="783"/>
    <w:uiPriority w:val="99"/>
    <w:qFormat/>
    <w:pPr>
      <w:pBdr/>
      <w:spacing/>
      <w:ind/>
    </w:pPr>
  </w:style>
  <w:style w:type="paragraph" w:styleId="803">
    <w:name w:val="Titre"/>
    <w:basedOn w:val="773"/>
    <w:next w:val="804"/>
    <w:qFormat/>
    <w:pPr>
      <w:keepNext w:val="true"/>
      <w:pBdr/>
      <w:spacing w:after="120" w:before="240"/>
      <w:ind/>
    </w:pPr>
    <w:rPr>
      <w:rFonts w:ascii="Arial" w:hAnsi="Arial" w:eastAsia="Microsoft YaHei" w:cs="Lucida Sans"/>
      <w:sz w:val="28"/>
      <w:szCs w:val="28"/>
    </w:rPr>
  </w:style>
  <w:style w:type="paragraph" w:styleId="804">
    <w:name w:val="Body Text"/>
    <w:basedOn w:val="773"/>
    <w:pPr>
      <w:pBdr/>
      <w:spacing w:after="140" w:before="0" w:line="276" w:lineRule="auto"/>
      <w:ind/>
    </w:pPr>
  </w:style>
  <w:style w:type="paragraph" w:styleId="805">
    <w:name w:val="List"/>
    <w:basedOn w:val="804"/>
    <w:pPr>
      <w:pBdr/>
      <w:spacing/>
      <w:ind/>
    </w:pPr>
    <w:rPr>
      <w:rFonts w:ascii="Arial" w:hAnsi="Arial" w:cs="Lucida Sans"/>
    </w:rPr>
  </w:style>
  <w:style w:type="paragraph" w:styleId="806">
    <w:name w:val="Caption"/>
    <w:basedOn w:val="773"/>
    <w:qFormat/>
    <w:pPr>
      <w:suppressLineNumbers w:val="true"/>
      <w:pBdr/>
      <w:spacing w:after="120" w:before="120"/>
      <w:ind/>
    </w:pPr>
    <w:rPr>
      <w:rFonts w:ascii="Arial" w:hAnsi="Arial" w:cs="Lucida Sans"/>
      <w:i/>
      <w:iCs/>
      <w:sz w:val="24"/>
      <w:szCs w:val="24"/>
    </w:rPr>
  </w:style>
  <w:style w:type="paragraph" w:styleId="807">
    <w:name w:val="Index"/>
    <w:basedOn w:val="773"/>
    <w:qFormat/>
    <w:pPr>
      <w:suppressLineNumbers w:val="true"/>
      <w:pBdr/>
      <w:spacing/>
      <w:ind/>
    </w:pPr>
    <w:rPr>
      <w:rFonts w:ascii="Arial" w:hAnsi="Arial" w:cs="Lucida Sans"/>
    </w:rPr>
  </w:style>
  <w:style w:type="paragraph" w:styleId="808">
    <w:name w:val="Title"/>
    <w:basedOn w:val="773"/>
    <w:next w:val="773"/>
    <w:link w:val="793"/>
    <w:uiPriority w:val="10"/>
    <w:qFormat/>
    <w:pPr>
      <w:pBdr/>
      <w:spacing w:after="80" w:before="0" w:line="240" w:lineRule="auto"/>
      <w:ind/>
      <w:contextualSpacing w:val="true"/>
    </w:pPr>
    <w:rPr>
      <w:rFonts w:ascii="Aptos Display" w:hAnsi="Aptos Display" w:asciiTheme="majorHAnsi" w:hAnsiTheme="majorHAnsi" w:eastAsiaTheme="majorEastAsia" w:cstheme="majorBidi"/>
      <w:spacing w:val="-10"/>
      <w:sz w:val="56"/>
      <w:szCs w:val="56"/>
    </w:rPr>
  </w:style>
  <w:style w:type="paragraph" w:styleId="809">
    <w:name w:val="Subtitle"/>
    <w:basedOn w:val="773"/>
    <w:next w:val="773"/>
    <w:link w:val="794"/>
    <w:uiPriority w:val="11"/>
    <w:qFormat/>
    <w:pPr>
      <w:pBdr/>
      <w:spacing/>
      <w:ind/>
    </w:pPr>
    <w:rPr>
      <w:rFonts w:eastAsiaTheme="majorEastAsia" w:cstheme="majorBidi"/>
      <w:color w:val="595959" w:themeColor="text1" w:themeTint="A6"/>
      <w:spacing w:val="15"/>
      <w:sz w:val="28"/>
      <w:szCs w:val="28"/>
    </w:rPr>
  </w:style>
  <w:style w:type="paragraph" w:styleId="810">
    <w:name w:val="Quote"/>
    <w:basedOn w:val="773"/>
    <w:next w:val="773"/>
    <w:link w:val="795"/>
    <w:uiPriority w:val="29"/>
    <w:qFormat/>
    <w:pPr>
      <w:pBdr/>
      <w:spacing w:after="160" w:before="160"/>
      <w:ind/>
      <w:jc w:val="center"/>
    </w:pPr>
    <w:rPr>
      <w:i/>
      <w:iCs/>
      <w:color w:val="404040" w:themeColor="text1" w:themeTint="BF"/>
    </w:rPr>
  </w:style>
  <w:style w:type="paragraph" w:styleId="811">
    <w:name w:val="List Paragraph"/>
    <w:basedOn w:val="773"/>
    <w:uiPriority w:val="34"/>
    <w:qFormat/>
    <w:pPr>
      <w:pBdr/>
      <w:spacing w:after="160" w:before="0"/>
      <w:ind w:left="720"/>
      <w:contextualSpacing w:val="true"/>
    </w:pPr>
  </w:style>
  <w:style w:type="paragraph" w:styleId="812">
    <w:name w:val="Intense Quote"/>
    <w:basedOn w:val="773"/>
    <w:next w:val="773"/>
    <w:link w:val="7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13">
    <w:name w:val="En-tête et pied de page"/>
    <w:basedOn w:val="773"/>
    <w:qFormat/>
    <w:pPr>
      <w:pBdr/>
      <w:spacing/>
      <w:ind/>
    </w:pPr>
  </w:style>
  <w:style w:type="paragraph" w:styleId="814">
    <w:name w:val="Footer"/>
    <w:basedOn w:val="773"/>
    <w:link w:val="801"/>
    <w:uiPriority w:val="99"/>
    <w:unhideWhenUsed/>
    <w:pPr>
      <w:pBdr/>
      <w:tabs>
        <w:tab w:val="clear" w:leader="none" w:pos="708"/>
        <w:tab w:val="center" w:leader="none" w:pos="4536"/>
        <w:tab w:val="right" w:leader="none" w:pos="9072"/>
      </w:tabs>
      <w:spacing w:after="0" w:before="0" w:line="240" w:lineRule="auto"/>
      <w:ind/>
    </w:pPr>
  </w:style>
  <w:style w:type="paragraph" w:styleId="815">
    <w:name w:val="Header"/>
    <w:basedOn w:val="773"/>
    <w:link w:val="802"/>
    <w:uiPriority w:val="99"/>
    <w:unhideWhenUsed/>
    <w:pPr>
      <w:pBdr/>
      <w:tabs>
        <w:tab w:val="clear" w:leader="none" w:pos="708"/>
        <w:tab w:val="center" w:leader="none" w:pos="4536"/>
        <w:tab w:val="right" w:leader="none" w:pos="9072"/>
      </w:tabs>
      <w:spacing w:after="0" w:before="0" w:line="240" w:lineRule="auto"/>
      <w:ind/>
    </w:pPr>
  </w:style>
  <w:style w:type="paragraph" w:styleId="816">
    <w:name w:val="Contenu de cadre"/>
    <w:basedOn w:val="773"/>
    <w:qFormat/>
    <w:pPr>
      <w:pBdr/>
      <w:spacing/>
      <w:ind/>
    </w:pPr>
  </w:style>
  <w:style w:type="paragraph" w:styleId="817">
    <w:name w:val="Contenu de tableau"/>
    <w:basedOn w:val="773"/>
    <w:qFormat/>
    <w:pPr>
      <w:widowControl w:val="false"/>
      <w:suppressLineNumbers w:val="true"/>
      <w:pBdr/>
      <w:spacing/>
      <w:ind/>
    </w:pPr>
  </w:style>
  <w:style w:type="paragraph" w:styleId="818">
    <w:name w:val="Titre de tableau"/>
    <w:basedOn w:val="817"/>
    <w:qFormat/>
    <w:pPr>
      <w:suppressLineNumbers w:val="true"/>
      <w:pBdr/>
      <w:spacing/>
      <w:ind/>
      <w:jc w:val="center"/>
    </w:pPr>
    <w:rPr>
      <w:b/>
      <w:bCs/>
    </w:rPr>
  </w:style>
  <w:style w:type="numbering" w:styleId="819">
    <w:name w:val="Pas de liste"/>
    <w:uiPriority w:val="99"/>
    <w:semiHidden/>
    <w:unhideWhenUsed/>
    <w:qFormat/>
    <w:pPr>
      <w:pBdr/>
      <w:spacing/>
      <w:ind/>
    </w:pPr>
  </w:style>
  <w:style w:type="table" w:styleId="820" w:default="1">
    <w:name w:val="Normal Table"/>
    <w:uiPriority w:val="99"/>
    <w:semiHidden/>
    <w:unhideWhenUsed/>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arxiv.org/abs/2602.19674?utm_source=openai" TargetMode="External"/><Relationship Id="rId16" Type="http://schemas.openxmlformats.org/officeDocument/2006/relationships/hyperlink" Target="https://arxiv.org/abs/2602.19674?utm_source=openai" TargetMode="External"/><Relationship Id="rId17" Type="http://schemas.openxmlformats.org/officeDocument/2006/relationships/hyperlink" Target="https://arxiv.org/abs/2603.02616?utm_source=openai" TargetMode="External"/><Relationship Id="rId18" Type="http://schemas.openxmlformats.org/officeDocument/2006/relationships/hyperlink" Target="https://arxiv.org/abs/2603.02616?utm_source=openai" TargetMode="External"/><Relationship Id="rId19" Type="http://schemas.openxmlformats.org/officeDocument/2006/relationships/hyperlink" Target="https://arxiv.org/abs/2601.15326?utm_source=openai" TargetMode="External"/><Relationship Id="rId20" Type="http://schemas.openxmlformats.org/officeDocument/2006/relationships/hyperlink" Target="https://arxiv.org/abs/2601.15326?utm_source=openai" TargetMode="External"/><Relationship Id="rId21" Type="http://schemas.openxmlformats.org/officeDocument/2006/relationships/hyperlink" Target="https://arxiv.org/abs/2601.10748?utm_source=openai" TargetMode="External"/><Relationship Id="rId22" Type="http://schemas.openxmlformats.org/officeDocument/2006/relationships/hyperlink" Target="https://arxiv.org/abs/2601.10748?utm_source=openai" TargetMode="External"/><Relationship Id="rId23" Type="http://schemas.openxmlformats.org/officeDocument/2006/relationships/hyperlink" Target="https://www.fortunebusinessinsights.com/fr/heart-failure-monitoring-devices-market-115705?utm_source=openai" TargetMode="External"/><Relationship Id="rId24" Type="http://schemas.openxmlformats.org/officeDocument/2006/relationships/hyperlink" Target="https://www.fortunebusinessinsights.com/fr/heart-failure-monitoring-devices-market-115705?utm_source=openai" TargetMode="External"/><Relationship Id="rId25" Type="http://schemas.openxmlformats.org/officeDocument/2006/relationships/hyperlink" Target="https://aihealthcarecompliance.com/monthly-news-and-updates-february-2026/?utm_source=openai" TargetMode="External"/><Relationship Id="rId26" Type="http://schemas.openxmlformats.org/officeDocument/2006/relationships/hyperlink" Target="https://aihealthcarecompliance.com/monthly-news-and-updates-february-2026/?utm_source=openai"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DELRUE Cyrille DEF/ DE GSE</dc:creator>
  <dc:description/>
  <dc:language>fr-FR</dc:language>
  <cp:lastModifiedBy>Anonyme</cp:lastModifiedBy>
  <cp:revision>4</cp:revision>
  <dcterms:created xsi:type="dcterms:W3CDTF">2026-03-18T12:24:00Z</dcterms:created>
  <dcterms:modified xsi:type="dcterms:W3CDTF">2026-03-20T00:50:11Z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#ed7d31,8,Helvetica 75 Bold</vt:lpwstr>
  </property>
  <property fmtid="{D5CDD505-2E9C-101B-9397-08002B2CF9AE}" pid="3" name="ClassificationContentMarkingFooterShapeIds">
    <vt:lpwstr>5fcbdb21,453ea11b,78e0b3bc</vt:lpwstr>
  </property>
  <property fmtid="{D5CDD505-2E9C-101B-9397-08002B2CF9AE}" pid="4" name="ClassificationContentMarkingFooterText">
    <vt:lpwstr>Orange Restricted</vt:lpwstr>
  </property>
</Properties>
</file>