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dd04bea752f93d97acd4cd2b40966dfdef0ab4e1.png"/>
            <a:graphic>
              <a:graphicData uri="http://schemas.openxmlformats.org/drawingml/2006/picture">
                <pic:pic>
                  <pic:nvPicPr>
                    <pic:cNvPr id="1" name="image-dd04bea752f93d97acd4cd2b40966dfdef0ab4e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veille_réglementaire_france_ue"/>
      <w:r>
        <w:rPr>
          <w:rFonts w:eastAsia="georgia" w:cs="georgia" w:ascii="georgia" w:hAnsi="georgia"/>
          <w:b/>
          <w:color w:val="000000"/>
          <w:sz w:val="24"/>
        </w:rPr>
        <w:t xml:space="preserve">Veille réglementaire (France / UE)</w:t>
      </w:r>
      <w:bookmarkEnd w:id="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Importance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Résumé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 /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03/03/2026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critique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réglementation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Nouvel arrêté LATM sur la télésurveillance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 arrêté du 3 mars 2026 inscrit une nouvelle activité de télésurveillance médicale sur la liste prévue à l’article L.162-52 du CSS, ouvrant droit à prise en charge Assurance maladie.</w:t>
            </w: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Pour les offreurs de télésurveillance, confirmation que le périmètre LATM continue de s’élargir, avec des fenêtres d’accès remboursées pour des pathologies chroniques supplémentaires. Profil : responsables accès au marché, business dev, directions médicales.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Cartographier précisément les nouvelles activités inscrites et vérifier si vos indications cibles peuvent s’aligner (ou pivoter) sur ce périmètre.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03/03/2026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réglementation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Forfait technique télésurveillance actualisé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 autre arrêté du 3 mars 2026 fixe le montant d’un forfait technique applicable à une activité de télésurveillance inscrite sur la LATM, modulé selon l’intérêt clinique et organisationnel.</w:t>
            </w:r>
            <w:hyperlink w:anchor="fn2">
              <w:r>
                <w:rPr>
                  <w:rFonts w:eastAsia="helvetica neue" w:cs="helvetica neue" w:ascii="helvetica neue" w:hAnsi="helvetica neue"/>
                  <w:color w:val="#000"/>
                  <w:sz w:val="17"/>
                  <w:u w:val="single"/>
                  <w:vertAlign w:val="superscript"/>
                </w:rPr>
                <w:t xml:space="preserve">[2]</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Donne un cadre économique prévisible aux opérateurs et industriels : modèle de revenus récurrent par patient, conditionné à la démonstration de bénéfice clinique ou organisationnel. Profil : CFO/CEO, responsables tarification, PO produits.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Intégrer ces niveaux de forfaits dans les business plans et déterminer le mix « intérêt clinique vs organisationnel » le plus réaliste pour vos cas d’usage.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2023–2024 rappel, actif en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réglementation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Schéma de prise en charge anticipée PECAN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schéma PECAN permet un accès précoce au remboursement pour les dispositifs numériques thérapeutiques et solutions de télésurveillance, avec une fenêtre d’environ 12 mois pour démontrer le bénéfice clinique et intégrer la liste définitive.</w:t>
            </w:r>
            <w:hyperlink w:anchor="fn4">
              <w:r>
                <w:rPr>
                  <w:rFonts w:eastAsia="helvetica neue" w:cs="helvetica neue" w:ascii="helvetica neue" w:hAnsi="helvetica neue"/>
                  <w:color w:val="#000"/>
                  <w:sz w:val="17"/>
                  <w:u w:val="single"/>
                  <w:vertAlign w:val="superscript"/>
                </w:rPr>
                <w:t xml:space="preserve">[4]</w:t>
              </w:r>
            </w:hyperlink>
            <w:hyperlink w:anchor="fn5">
              <w:r>
                <w:rPr>
                  <w:rFonts w:eastAsia="helvetica neue" w:cs="helvetica neue" w:ascii="helvetica neue" w:hAnsi="helvetica neue"/>
                  <w:color w:val="#000"/>
                  <w:sz w:val="17"/>
                  <w:u w:val="single"/>
                  <w:vertAlign w:val="superscript"/>
                </w:rPr>
                <w:t xml:space="preserve">[5]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Voie d’accès accélérée pour les solutions de suivi à domicile, compatible avec des approches IA/DMN encore en phase de preuve, mais exigeantes en termes de preuves post-listing. Profil : scale-up, startups, responsables cliniques.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Évaluer l’opportunité PECAN : avez-vous un cas d’usage et un niveau de maturité clinique suffisants pour viser une prise en charge anticipée dans les 12–18 mois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07/2025 (réf. de fond)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réglementation / éthique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Enjeux éthiques et juridiques du parcours de télésurveillance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 rapport e‑santé France détaille les obligations d’authentification, d’information, de consentement, et de possibilités de déconnexion des patients, en intégrant la télésurveillance dans le virage domiciliaire et les articles L.162 du CSS.</w:t>
            </w:r>
            <w:hyperlink w:anchor="fn6">
              <w:r>
                <w:rPr>
                  <w:rFonts w:eastAsia="helvetica neue" w:cs="helvetica neue" w:ascii="helvetica neue" w:hAnsi="helvetica neue"/>
                  <w:color w:val="#000"/>
                  <w:sz w:val="17"/>
                  <w:u w:val="single"/>
                  <w:vertAlign w:val="superscript"/>
                </w:rPr>
                <w:t xml:space="preserve">[6]</w:t>
              </w:r>
            </w:hyperlink>
            <w:hyperlink w:anchor="fn7">
              <w:r>
                <w:rPr>
                  <w:rFonts w:eastAsia="helvetica neue" w:cs="helvetica neue" w:ascii="helvetica neue" w:hAnsi="helvetica neue"/>
                  <w:color w:val="#000"/>
                  <w:sz w:val="17"/>
                  <w:u w:val="single"/>
                  <w:vertAlign w:val="superscript"/>
                </w:rPr>
                <w:t xml:space="preserve">[7]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Renforce les exigences de conformité (RGPD, consentement, traçabilité) pour les opérateurs de suivi à domicile des patients chroniques. Profil : DPO, juristes, chefs de projet, responsables qualité.</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Mettre à jour les procédures d’onboarding patient, les écrits d’information et les flux de consentement pour couvrir clairement risques, bénéfices et droit à la déconnexion.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02/02/2026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réglementation / données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 espace santé et contrôle des données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L’application Mon espace santé permet aux citoyens français de contrôler l’accès à leurs données médicales, y compris pour la recherche et les usages numériques, avec une interopérabilité européenne renforcée.</w:t>
            </w: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suivi à domicile devra s’intégrer finement à cet écosystème, avec des flux de données respectant le contrôle patient et les futurs cadres européens (EHDS). Profil : architectes SI, éditeurs de plateformes de télésurveillance.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Anticiper l’intégration native avec Mon espace santé et les futurs services de données européens, en clarifiant qui peut consulter quoi, quand et pourquoi.</w:t>
            </w:r>
          </w:p>
        </w:tc>
      </w:tr>
    </w:tbl>
    <w:p>
      <w:pPr>
        <w:spacing w:lineRule="auto"/>
      </w:pPr>
    </w:p>
    <w:p>
      <w:pPr>
        <w:spacing w:line="360" w:before="315" w:after="105" w:lineRule="auto"/>
        <w:ind w:left="-30"/>
        <w:jc w:val="left"/>
      </w:pPr>
      <w:bookmarkStart w:id="1" w:name="veille_technologique"/>
      <w:r>
        <w:rPr>
          <w:rFonts w:eastAsia="georgia" w:cs="georgia" w:ascii="georgia" w:hAnsi="georgia"/>
          <w:b/>
          <w:color w:val="000000"/>
          <w:sz w:val="24"/>
        </w:rPr>
        <w:t xml:space="preserve">Veille technologique</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Importance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Résumé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 /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10/02/2026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 / usages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Patients chroniques et ouverture au soin à distance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L’étude REACTIVE (AP‑HP, Inserm) montre qu’en France, une proportion importante de patients chroniques se dit prête à recourir au soin à distance, alors que 47% n’ont actuellement aucune possibilité de suivi à distance avec leur médecin habituel.</w:t>
            </w:r>
            <w:hyperlink w:anchor="fn9">
              <w:r>
                <w:rPr>
                  <w:rFonts w:eastAsia="helvetica neue" w:cs="helvetica neue" w:ascii="helvetica neue" w:hAnsi="helvetica neue"/>
                  <w:color w:val="#000"/>
                  <w:sz w:val="17"/>
                  <w:u w:val="single"/>
                  <w:vertAlign w:val="superscript"/>
                </w:rPr>
                <w:t xml:space="preserve">[9]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Confirme un gap entre appétence patients et offre réelle de téléconsultation / télésuivi, créant un espace d’innovation pour des solutions hybrides IA + suivi humain. Profil : PM, designers de services, directions innovation.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Concevoir des parcours combinant présentiel, téléconsultation et télésurveillance, avec une UX adaptée aux profils peu équipés mais demandeurs.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2025 (tendance structurante)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Patchs connectés et télésurveillance continue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patchs connectés et dispositifs portables permettent une surveillance continue des patients à domicile, avec une réduction significative des réadmissions et des coûts de santé (baisse potentielle de 6 à 21% des dépenses selon les pathologies).</w:t>
            </w:r>
            <w:hyperlink w:anchor="fn10">
              <w:r>
                <w:rPr>
                  <w:rFonts w:eastAsia="helvetica neue" w:cs="helvetica neue" w:ascii="helvetica neue" w:hAnsi="helvetica neue"/>
                  <w:color w:val="#000"/>
                  <w:sz w:val="17"/>
                  <w:u w:val="single"/>
                  <w:vertAlign w:val="superscript"/>
                </w:rPr>
                <w:t xml:space="preserve">[10]</w:t>
              </w:r>
            </w:hyperlink>
            <w:hyperlink w:anchor="fn11">
              <w:r>
                <w:rPr>
                  <w:rFonts w:eastAsia="helvetica neue" w:cs="helvetica neue" w:ascii="helvetica neue" w:hAnsi="helvetica neue"/>
                  <w:color w:val="#000"/>
                  <w:sz w:val="17"/>
                  <w:u w:val="single"/>
                  <w:vertAlign w:val="superscript"/>
                </w:rPr>
                <w:t xml:space="preserve">[11]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cœur technologique du marché va vers des capteurs peu intrusifs, couplés à de l’IA d’alerte précoce, avec une forte attente des payeurs sur la démonstration d’impact médico‑économique. Profil : CTO, data scientists, acheteurs hospitaliers.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Prioriser les capteurs réellement acceptables au long cours (confort, autonomie, maintenance) et les métriques de résultats cliniques/économiques associées.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04/02/2026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 / financement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Appel EP PerMed MultiPMData2026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L’appel RITC2026 EP PerMed finance des projets de médecine personnalisée basés sur des données multimodales pour la gestion de patients multimorbides, incluant diagnostic, suivi et monitoring à distance via wearables et autres solutions techniques.</w:t>
            </w:r>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Opportunité pour des projets de télésurveillance IA intégrant données capteurs, DMP et contextuelles, ciblant explicitement la multimorbidité chronique. Profil : labos R&amp;D, CHU, consortia publics‑privés.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Identifier des partenariats cliniques/industriels pour candidater, en positionnant le suivi à domicile comme brique clé de gestion de la multimorbidité.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02/02/2026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 / usages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IA et santé connectée pour le maintien à domicile des seniors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mutuelles s’appuient sur des solutions d’IA et de santé connectée (apps de suivi, rappels, détecteurs de chutes, robots compagnons) pour soutenir prévention et maintien à domicile des seniors.</w:t>
            </w:r>
            <w:hyperlink w:anchor="fn13">
              <w:r>
                <w:rPr>
                  <w:rFonts w:eastAsia="helvetica neue" w:cs="helvetica neue" w:ascii="helvetica neue" w:hAnsi="helvetica neue"/>
                  <w:color w:val="#000"/>
                  <w:sz w:val="17"/>
                  <w:u w:val="single"/>
                  <w:vertAlign w:val="superscript"/>
                </w:rPr>
                <w:t xml:space="preserve">[13]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marché se diversifie au‑delà du seul binôme hôpital–patient, avec les complémentaires comme prescripteurs et financeurs de solutions connectées. Profil : business dev, partenariats assurantiels.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Explorer des offres packagées « monitoring + services » co‑construites avec mutuelles / assureurs sur le segment senior.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2025 (actualisé)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 / organisation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Télésurveillance, promesses et défis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 expert français souligne que la télésurveillance est une brique essentielle du virage ambulatoire pour les maladies chroniques, mais pointe des freins d’investissement, d’intégration organisationnelle et d’outillage réellement adapté.</w:t>
            </w:r>
            <w:hyperlink w:anchor="fn14">
              <w:r>
                <w:rPr>
                  <w:rFonts w:eastAsia="helvetica neue" w:cs="helvetica neue" w:ascii="helvetica neue" w:hAnsi="helvetica neue"/>
                  <w:color w:val="#000"/>
                  <w:sz w:val="17"/>
                  <w:u w:val="single"/>
                  <w:vertAlign w:val="superscript"/>
                </w:rPr>
                <w:t xml:space="preserve">[14]</w:t>
              </w:r>
            </w:hyperlink>
            <w:hyperlink w:anchor="fn11">
              <w:r>
                <w:rPr>
                  <w:rFonts w:eastAsia="helvetica neue" w:cs="helvetica neue" w:ascii="helvetica neue" w:hAnsi="helvetica neue"/>
                  <w:color w:val="#000"/>
                  <w:sz w:val="17"/>
                  <w:u w:val="single"/>
                  <w:vertAlign w:val="superscript"/>
                </w:rPr>
                <w:t xml:space="preserve">[11]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Rappelle que la valeur se joue autant dans l’intégration aux organisations de soins (coordination, protocoles) que dans la technologie elle‑même. Profil : directions d’établissement, chefs de pôle, chefs de projet e‑santé.</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Co‑concevoir les solutions avec les équipes soignantes, en incluant les impacts sur tâches, responsabilités et temps de travail, pas seulement sur la technique.</w:t>
            </w:r>
          </w:p>
        </w:tc>
      </w:tr>
    </w:tbl>
    <w:p>
      <w:pPr>
        <w:spacing w:lineRule="auto"/>
      </w:pPr>
    </w:p>
    <w:p>
      <w:pPr>
        <w:spacing w:line="360" w:before="315" w:after="105" w:lineRule="auto"/>
        <w:ind w:left="-30"/>
        <w:jc w:val="left"/>
      </w:pPr>
      <w:bookmarkStart w:id="2" w:name="veille_concurrentielle_acteurs"/>
      <w:r>
        <w:rPr>
          <w:rFonts w:eastAsia="georgia" w:cs="georgia" w:ascii="georgia" w:hAnsi="georgia"/>
          <w:b/>
          <w:color w:val="000000"/>
          <w:sz w:val="24"/>
        </w:rPr>
        <w:t xml:space="preserve">Veille concurrentielle / acteurs</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Importance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Résumé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 /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2025–2026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concurrence / acteurs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Croissance des acteurs européens du remote patient monitoring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marché européen de la télésurveillance connaît une croissance soutenue, avec un CAGR de ~28,6% pour les financements sur 5 ans et une multiplication d’acteurs spécialisés dans le monitoring de patients chroniques.</w:t>
            </w:r>
            <w:hyperlink w:anchor="fn15">
              <w:r>
                <w:rPr>
                  <w:rFonts w:eastAsia="helvetica neue" w:cs="helvetica neue" w:ascii="helvetica neue" w:hAnsi="helvetica neue"/>
                  <w:color w:val="#000"/>
                  <w:sz w:val="17"/>
                  <w:u w:val="single"/>
                  <w:vertAlign w:val="superscript"/>
                </w:rPr>
                <w:t xml:space="preserve">[15]</w:t>
              </w:r>
            </w:hyperlink>
            <w:hyperlink w:anchor="fn16">
              <w:r>
                <w:rPr>
                  <w:rFonts w:eastAsia="helvetica neue" w:cs="helvetica neue" w:ascii="helvetica neue" w:hAnsi="helvetica neue"/>
                  <w:color w:val="#000"/>
                  <w:sz w:val="17"/>
                  <w:u w:val="single"/>
                  <w:vertAlign w:val="superscript"/>
                </w:rPr>
                <w:t xml:space="preserve">[16]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Forte intensification concurrentielle, mais aussi validation de la traction marché auprès des investisseurs, surtout sur les pathologies prioritaires UE (cardio, diabète, insuffisance respiratoire, oncologie). Profil : fondateurs, stratège produit.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Cartographier les segments déjà saturés vs niches (multimorbidité, santé mentale, insuffisance rénale…) où se différencier.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 (tendance)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concurrence / priorités 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Médecine personnalisée et multimorbidité comme priorités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programmes européens (EP PerMed, EU4Health, Horizon Europe) orientent les financements vers la prise en charge multimorbide et le passage à l’ambulatoire via télésurveillance et décisionnel avancé.</w:t>
            </w:r>
            <w:hyperlink w:anchor="fn12">
              <w:r>
                <w:rPr>
                  <w:rFonts w:eastAsia="helvetica neue" w:cs="helvetica neue" w:ascii="helvetica neue" w:hAnsi="helvetica neue"/>
                  <w:color w:val="#000"/>
                  <w:sz w:val="17"/>
                  <w:u w:val="single"/>
                  <w:vertAlign w:val="superscript"/>
                </w:rPr>
                <w:t xml:space="preserve">[12]</w:t>
              </w:r>
            </w:hyperlink>
            <w:hyperlink w:anchor="fn16">
              <w:r>
                <w:rPr>
                  <w:rFonts w:eastAsia="helvetica neue" w:cs="helvetica neue" w:ascii="helvetica neue" w:hAnsi="helvetica neue"/>
                  <w:color w:val="#000"/>
                  <w:sz w:val="17"/>
                  <w:u w:val="single"/>
                  <w:vertAlign w:val="superscript"/>
                </w:rPr>
                <w:t xml:space="preserve">[16]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acteurs alignant leur offre sur ces priorités bénéficieront d’un meilleur accès aux subventions, partenaires institutionnels et chemins de remboursement. Profil : responsables partenariats, responsables R&amp;D.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Positionner clairement chaque offre de télésuivi sur une ou plusieurs priorités UE (multimorbidité, vieillissement, prévention) dans la communication et les dossiers de financement.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acteurs / territoires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Télémédecine et collectivités locales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débats autour des municipales 2026 mettent en avant la télémédecine et la télésurveillance comme leviers clés pour lutter contre les déserts médicaux et assurer le suivi des maladies chroniques.</w:t>
            </w:r>
            <w:hyperlink w:anchor="fn17">
              <w:r>
                <w:rPr>
                  <w:rFonts w:eastAsia="helvetica neue" w:cs="helvetica neue" w:ascii="helvetica neue" w:hAnsi="helvetica neue"/>
                  <w:color w:val="#000"/>
                  <w:sz w:val="17"/>
                  <w:u w:val="single"/>
                  <w:vertAlign w:val="superscript"/>
                </w:rPr>
                <w:t xml:space="preserve">[17]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collectivités deviennent des interlocuteurs et co‑financeurs potentiels pour déployer des solutions de suivi à domicile sur leurs territoires. Profil : directions commerciales, affaires publiques.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Explorer les marchés « collectivités / territoires » (contrats de télésurveillance territoriale) en plus des seuls établissements de santé.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acteurs / assurance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Mutuelles seniors et Silver Tech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mutuelles se positionnent comme acteurs clés de la prévention technologique quotidienne pour les seniors, en intégrant des dispositifs de santé connectée et d’IA dans leurs offres.</w:t>
            </w:r>
            <w:hyperlink w:anchor="fn13">
              <w:r>
                <w:rPr>
                  <w:rFonts w:eastAsia="helvetica neue" w:cs="helvetica neue" w:ascii="helvetica neue" w:hAnsi="helvetica neue"/>
                  <w:color w:val="#000"/>
                  <w:sz w:val="17"/>
                  <w:u w:val="single"/>
                  <w:vertAlign w:val="superscript"/>
                </w:rPr>
                <w:t xml:space="preserve">[13]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Débouche sur des modèles B2B2C où l’assureur/mutuelle devient prescripteur et canal de distribution pour le suivi à domicile des maladies chroniques. Profil : responsable partenariats, marketing.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Structurer une offre dédiée mutuelles : services, indicateurs de prévention, reporting utilisable dans leur stratégie de différenciation.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concurrence / accès marché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Accès au marché structuré via LATM et PECAN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dispositifs de télésurveillance passent désormais par des listes structurées (LATM) et des schémas d’accès précoce (PECAN), avec un rôle fort de la HAS dans l’évaluation du bénéfice clinique ou organisationnel.</w:t>
            </w:r>
            <w:hyperlink w:anchor="fn3">
              <w:r>
                <w:rPr>
                  <w:rFonts w:eastAsia="helvetica neue" w:cs="helvetica neue" w:ascii="helvetica neue" w:hAnsi="helvetica neue"/>
                  <w:color w:val="#000"/>
                  <w:sz w:val="17"/>
                  <w:u w:val="single"/>
                  <w:vertAlign w:val="superscript"/>
                </w:rPr>
                <w:t xml:space="preserve">[3]</w:t>
              </w:r>
            </w:hyperlink>
            <w:hyperlink w:anchor="fn5">
              <w:r>
                <w:rPr>
                  <w:rFonts w:eastAsia="helvetica neue" w:cs="helvetica neue" w:ascii="helvetica neue" w:hAnsi="helvetica neue"/>
                  <w:color w:val="#000"/>
                  <w:sz w:val="17"/>
                  <w:u w:val="single"/>
                  <w:vertAlign w:val="superscript"/>
                </w:rPr>
                <w:t xml:space="preserve">[5]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acteurs qui maîtrisent ces parcours d’accès au marché prennent un avantage concurrentiel significatif en termes de vitesse de remboursement et de crédibilité auprès des payeurs. Profil : market access, affaires réglementaires.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Monter une compétence interne forte sur LATM/PECAN (ou s’appuyer sur un partenaire spécialisé) pour sécuriser la trajectoire d’accès au marché dès la phase de conception produit.</w:t>
            </w:r>
          </w:p>
        </w:tc>
      </w:tr>
    </w:tbl>
    <w:p>
      <w:pPr>
        <w:spacing w:lineRule="auto"/>
      </w:pPr>
    </w:p>
    <w:p>
      <w:pPr>
        <w:spacing w:line="360" w:before="315" w:after="105" w:lineRule="auto"/>
        <w:ind w:left="-30"/>
        <w:jc w:val="left"/>
      </w:pPr>
      <w:bookmarkStart w:id="3" w:name="veille_usages_organisation_des_soins"/>
      <w:r>
        <w:rPr>
          <w:rFonts w:eastAsia="georgia" w:cs="georgia" w:ascii="georgia" w:hAnsi="georgia"/>
          <w:b/>
          <w:color w:val="000000"/>
          <w:sz w:val="24"/>
        </w:rPr>
        <w:t xml:space="preserve">Veille usages / organisation des soins</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Importance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Résumé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 /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10/02/2026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Appétence patients pour télésuivi encore peu adressée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L’étude REACTIVE montre une forte ouverture des patients chroniques à la téléconsultation et au suivi à distance, alors que près de la moitié n’ont aucun dispositif offert par leur médecin.</w:t>
            </w:r>
            <w:hyperlink w:anchor="fn9">
              <w:r>
                <w:rPr>
                  <w:rFonts w:eastAsia="helvetica neue" w:cs="helvetica neue" w:ascii="helvetica neue" w:hAnsi="helvetica neue"/>
                  <w:color w:val="#000"/>
                  <w:sz w:val="17"/>
                  <w:u w:val="single"/>
                  <w:vertAlign w:val="superscript"/>
                </w:rPr>
                <w:t xml:space="preserve">[9]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Signale un marché sous‑servi : des besoins patients clairs, mais manque de solutions intégrées dans la pratique courante, notamment en ville. Profil : médecins libéraux, CPTS, éditeurs de logiciels de cabinet.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Co‑construire des offres simples d’intégration pour les médecins libéraux et structures de soins primaires, avec une charge additionnelle minimale.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2025–2026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usages / organisation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Télésurveillance comme brique du virage ambulatoire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analyses institutionnelles insistent sur le rôle de la télésurveillance pour prévenir complications et réhospitalisations, fluidifier les parcours et favoriser le maintien à domicile des patients chroniques.</w:t>
            </w:r>
            <w:hyperlink w:anchor="fn6">
              <w:r>
                <w:rPr>
                  <w:rFonts w:eastAsia="helvetica neue" w:cs="helvetica neue" w:ascii="helvetica neue" w:hAnsi="helvetica neue"/>
                  <w:color w:val="#000"/>
                  <w:sz w:val="17"/>
                  <w:u w:val="single"/>
                  <w:vertAlign w:val="superscript"/>
                </w:rPr>
                <w:t xml:space="preserve">[6]</w:t>
              </w:r>
            </w:hyperlink>
            <w:hyperlink w:anchor="fn14">
              <w:r>
                <w:rPr>
                  <w:rFonts w:eastAsia="helvetica neue" w:cs="helvetica neue" w:ascii="helvetica neue" w:hAnsi="helvetica neue"/>
                  <w:color w:val="#000"/>
                  <w:sz w:val="17"/>
                  <w:u w:val="single"/>
                  <w:vertAlign w:val="superscript"/>
                </w:rPr>
                <w:t xml:space="preserve">[14]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Conforte l’ancrage de la télésurveillance dans les stratégies nationales de passage à l’ambulatoire, en particulier pour les maladies cardio‑métaboliques. Profil : ARS, directions d’hôpitaux, payeurs.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Positionner systématiquement les projets de télésuivi comme contributions à des indicateurs de virage ambulatoire (réadmissions, durées de séjour, recours urgences).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2021–2025 (tendance)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Croissance du nombre de patients télésurveillés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programme ETAPES a vu le nombre de patients chroniques télésurveillés passer de 21 000 en 2019 à 85 000 en 2021, préfigurant l’entrée dans le droit commun.</w:t>
            </w:r>
            <w:hyperlink w:anchor="fn11">
              <w:r>
                <w:rPr>
                  <w:rFonts w:eastAsia="helvetica neue" w:cs="helvetica neue" w:ascii="helvetica neue" w:hAnsi="helvetica neue"/>
                  <w:color w:val="#000"/>
                  <w:sz w:val="17"/>
                  <w:u w:val="single"/>
                  <w:vertAlign w:val="superscript"/>
                </w:rPr>
                <w:t xml:space="preserve">[11]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Montre que les organisations de soins ont déjà une expérience significative, qui se généralise avec la LATM et les arrêts récents. Profil : directions de programmes, responsables transformation.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Capitaliser sur les retours d’expérience ETAPES pour construire les nouveaux protocoles, indicateurs et modèles de staffing.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usages / social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Maintien à domicile et Silver Economy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maintien à domicile est un objectif majeur pour les seniors, les solutions de santé connectée et d’IA multipliant les cas d’usage (prévention, suivi médicamenteux, détection de chutes, lutte contre l’isolement).</w:t>
            </w:r>
            <w:hyperlink w:anchor="fn13">
              <w:r>
                <w:rPr>
                  <w:rFonts w:eastAsia="helvetica neue" w:cs="helvetica neue" w:ascii="helvetica neue" w:hAnsi="helvetica neue"/>
                  <w:color w:val="#000"/>
                  <w:sz w:val="17"/>
                  <w:u w:val="single"/>
                  <w:vertAlign w:val="superscript"/>
                </w:rPr>
                <w:t xml:space="preserve">[13]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suivi des maladies chroniques se combine avec des services plus larges (autonomie, lien social), ouvrant la porte à des offres intégrées santé + services à domicile. Profil : opérateurs de services à domicile, plateformes Silver Tech.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Réfléchir à des bundles « télésurveillance + services à la personne » plutôt qu’à des dispositifs isolés.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usages / territoires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Télémédecine contre les déserts médicaux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débats politiques locaux promeuvent la télémédecine et le suivi à domicile comme outils clés pour répondre aux difficultés d’accès aux soins dans les zones sous‑dotées.</w:t>
            </w:r>
            <w:hyperlink w:anchor="fn17">
              <w:r>
                <w:rPr>
                  <w:rFonts w:eastAsia="helvetica neue" w:cs="helvetica neue" w:ascii="helvetica neue" w:hAnsi="helvetica neue"/>
                  <w:color w:val="#000"/>
                  <w:sz w:val="17"/>
                  <w:u w:val="single"/>
                  <w:vertAlign w:val="superscript"/>
                </w:rPr>
                <w:t xml:space="preserve">[17]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suivi à domicile des patients chroniques devient un sujet de politique territoriale, pouvant bénéficier de financements locaux ou régionaux spécifiques. Profil : directions commerciales, affaires publiques.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Identifier les territoires en tension et proposer des projets pilotes « télésuivi territorialisé » associant hôpitaux, libéraux et collectivités.</w:t>
            </w:r>
          </w:p>
        </w:tc>
      </w:tr>
    </w:tbl>
    <w:p>
      <w:pPr>
        <w:spacing w:lineRule="auto"/>
      </w:pPr>
    </w:p>
    <w:p>
      <w:pPr>
        <w:spacing w:line="360" w:before="315" w:after="105" w:lineRule="auto"/>
        <w:ind w:left="-30"/>
        <w:jc w:val="left"/>
      </w:pPr>
      <w:bookmarkStart w:id="4" w:name="veille_éthique_droits_des_patients"/>
      <w:r>
        <w:rPr>
          <w:rFonts w:eastAsia="georgia" w:cs="georgia" w:ascii="georgia" w:hAnsi="georgia"/>
          <w:b/>
          <w:color w:val="000000"/>
          <w:sz w:val="24"/>
        </w:rPr>
        <w:t xml:space="preserve">Veille éthique / droits des patients</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Importance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Résumé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 /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07/2025 (cadre de fond, toujours valable)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éthique / droit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Consentement, information et droit à la déconnexion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rapport sur les enjeux éthiques de la télésurveillance rappelle l’obligation d’information détaillée, de consentement éclairé et de possibilité de déconnexion ou de changement de modalité de suivi.</w:t>
            </w:r>
            <w:hyperlink w:anchor="fn6">
              <w:r>
                <w:rPr>
                  <w:rFonts w:eastAsia="helvetica neue" w:cs="helvetica neue" w:ascii="helvetica neue" w:hAnsi="helvetica neue"/>
                  <w:color w:val="#000"/>
                  <w:sz w:val="17"/>
                  <w:u w:val="single"/>
                  <w:vertAlign w:val="superscript"/>
                </w:rPr>
                <w:t xml:space="preserve">[6]</w:t>
              </w:r>
            </w:hyperlink>
            <w:hyperlink w:anchor="fn7">
              <w:r>
                <w:rPr>
                  <w:rFonts w:eastAsia="helvetica neue" w:cs="helvetica neue" w:ascii="helvetica neue" w:hAnsi="helvetica neue"/>
                  <w:color w:val="#000"/>
                  <w:sz w:val="17"/>
                  <w:u w:val="single"/>
                  <w:vertAlign w:val="superscript"/>
                </w:rPr>
                <w:t xml:space="preserve">[7]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dispositifs de suivi à domicile doivent être conçus avec une gouvernance explicite des risques, des droits et des modalités de sortie, pas seulement comme des outils techniques. Profil : PO, juristes, éthiciens, DPO.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Intégrer, dès le design, des parcours de consentement granulaire, de gestion des préférences et de sortie de dispositif.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02/02/2026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éthique / données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Contrôle citoyen sur les données de santé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 espace santé renforce le contrôle des citoyens sur l’utilisation et le partage de leurs données, y compris pour la recherche et le pilotage des politiques publiques, tout en s’alignant sur les standards européens de protection.</w:t>
            </w: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suivi à domicile doit articuler collecte intensive de données et respect d’un contrôle accru par le patient, notamment sur l’usage secondaire (recherche, IA). Profil : data officers, responsables produit 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Définir clairement les usages primaires et secondaires des données collectées, avec des mécanismes de consentement et d’opt‑out compréhensibles.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éthique / responsabilité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Responsabilité des acteurs en télésurveillance à domicile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analyses juridiques précisent que l’établissement et le médecin prescripteur sont responsables d’informer le patient sur les bénéfices et risques des DMN, et que la responsabilité peut être engagée en cas de préjudice lié au dispositif ou à l’organisation.</w:t>
            </w:r>
            <w:hyperlink w:anchor="fn7">
              <w:r>
                <w:rPr>
                  <w:rFonts w:eastAsia="helvetica neue" w:cs="helvetica neue" w:ascii="helvetica neue" w:hAnsi="helvetica neue"/>
                  <w:color w:val="#000"/>
                  <w:sz w:val="17"/>
                  <w:u w:val="single"/>
                  <w:vertAlign w:val="superscript"/>
                </w:rPr>
                <w:t xml:space="preserve">[7]</w:t>
              </w:r>
            </w:hyperlink>
            <w:hyperlink w:anchor="fn6">
              <w:r>
                <w:rPr>
                  <w:rFonts w:eastAsia="helvetica neue" w:cs="helvetica neue" w:ascii="helvetica neue" w:hAnsi="helvetica neue"/>
                  <w:color w:val="#000"/>
                  <w:sz w:val="17"/>
                  <w:u w:val="single"/>
                  <w:vertAlign w:val="superscript"/>
                </w:rPr>
                <w:t xml:space="preserve">[6]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chaînes de responsabilité (industriel–opérateur–prescripteur) doivent être clarifiées contractuellement et dans la documentation produit. Profil : directions juridiques, directions médicales, industriels.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Formaliser des accords de responsabilité et des SOP clairs entre éditeurs/industriels, établissements et médecins.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éthique / société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Télésurveillance et équité territoriale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 promotion de la télémédecine comme réponse aux déserts médicaux soulève la question de l’égalité d’accès (équipement numérique, compétences, connectivité) pour les patients chroniques.</w:t>
            </w:r>
            <w:hyperlink w:anchor="fn17">
              <w:r>
                <w:rPr>
                  <w:rFonts w:eastAsia="helvetica neue" w:cs="helvetica neue" w:ascii="helvetica neue" w:hAnsi="helvetica neue"/>
                  <w:color w:val="#000"/>
                  <w:sz w:val="17"/>
                  <w:u w:val="single"/>
                  <w:vertAlign w:val="superscript"/>
                </w:rPr>
                <w:t xml:space="preserve">[17]</w:t>
              </w:r>
            </w:hyperlink>
            <w:hyperlink w:anchor="fn9">
              <w:r>
                <w:rPr>
                  <w:rFonts w:eastAsia="helvetica neue" w:cs="helvetica neue" w:ascii="helvetica neue" w:hAnsi="helvetica neue"/>
                  <w:color w:val="#000"/>
                  <w:sz w:val="17"/>
                  <w:u w:val="single"/>
                  <w:vertAlign w:val="superscript"/>
                </w:rPr>
                <w:t xml:space="preserve">[9]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Risque de creuser les inégalités si les populations les plus fragiles (âge, précarité numérique) ne bénéficient pas des dispositifs de suivi à domicile. Profil : ARS, décideurs publics, opérateurs.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Intégrer des dispositifs d’accompagnement (équipement, formation, médiation numérique) dans les projets de télésurveillance ciblant les zones sous‑dotées.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éthique / gouvernance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Usage secondaire des données pour la recherche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cadres européens encouragent l’usage de données de santé anonymisées/pseudonymisées pour la recherche et l’innovation, en garantissant des standards élevés de confidentialité.</w:t>
            </w:r>
            <w:hyperlink w:anchor="fn8">
              <w:r>
                <w:rPr>
                  <w:rFonts w:eastAsia="helvetica neue" w:cs="helvetica neue" w:ascii="helvetica neue" w:hAnsi="helvetica neue"/>
                  <w:color w:val="#000"/>
                  <w:sz w:val="17"/>
                  <w:u w:val="single"/>
                  <w:vertAlign w:val="superscript"/>
                </w:rPr>
                <w:t xml:space="preserve">[8]</w:t>
              </w:r>
            </w:hyperlink>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projets de suivi à domicile peuvent devenir des sources majeures de données pour la recherche sur les maladies chroniques, sous réserve d’une gouvernance robuste. Profil : responsables de cohorte, chercheurs, industriels 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Mettre en place une gouvernance data (comités éthiques, chartes, contrats de traitement) alignée EHDS pour valoriser ces données sans perte de confiance.</w:t>
            </w:r>
          </w:p>
        </w:tc>
      </w:tr>
    </w:tbl>
    <w:p>
      <w:pPr>
        <w:spacing w:lineRule="auto"/>
      </w:pPr>
    </w:p>
    <w:p>
      <w:pPr>
        <w:spacing w:line="360" w:before="315" w:after="105" w:lineRule="auto"/>
        <w:ind w:left="-30"/>
        <w:jc w:val="left"/>
      </w:pPr>
      <w:bookmarkStart w:id="5" w:name="veille_commerciale_marché"/>
      <w:r>
        <w:rPr>
          <w:rFonts w:eastAsia="georgia" w:cs="georgia" w:ascii="georgia" w:hAnsi="georgia"/>
          <w:b/>
          <w:color w:val="000000"/>
          <w:sz w:val="24"/>
        </w:rPr>
        <w:t xml:space="preserve">Veille commerciale / marché</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Importance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Résumé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 /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03/03/2026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critique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commerce / remboursement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Forfaits de télésurveillance et modèle économique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forfaits de télésurveillance (opérateur + forfait technique) sont fixés par arrêté, avec des montants dépendant de l’intérêt clinique/organisationnel, fournissant un cadre économique stable pour les acteurs.</w:t>
            </w:r>
            <w:hyperlink w:anchor="fn2">
              <w:r>
                <w:rPr>
                  <w:rFonts w:eastAsia="helvetica neue" w:cs="helvetica neue" w:ascii="helvetica neue" w:hAnsi="helvetica neue"/>
                  <w:color w:val="#000"/>
                  <w:sz w:val="17"/>
                  <w:u w:val="single"/>
                  <w:vertAlign w:val="superscript"/>
                </w:rPr>
                <w:t xml:space="preserve">[2]</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Permet d’adosser les business models à des revenus récurrents par patient, mais impose une démonstration solide de valeur pour justifier les niveaux les plus élevés. Profil : dirigeants, responsables finance/market access.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Construire des modèles économiques par indication et par niveau de bénéfice attendu, avec des preuves cliniques et organisationnelles ciblées.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02/02/2026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commerce / assurance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Mutuelles et maintien à domicile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mutuelles seniors intègrent des solutions de santé connectée et d’IA pour la prévention et le maintien à domicile, devenant des acteurs commerciaux majeurs de la Silver Tech.</w:t>
            </w:r>
            <w:hyperlink w:anchor="fn13">
              <w:r>
                <w:rPr>
                  <w:rFonts w:eastAsia="helvetica neue" w:cs="helvetica neue" w:ascii="helvetica neue" w:hAnsi="helvetica neue"/>
                  <w:color w:val="#000"/>
                  <w:sz w:val="17"/>
                  <w:u w:val="single"/>
                  <w:vertAlign w:val="superscript"/>
                </w:rPr>
                <w:t xml:space="preserve">[13]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marché se structure en offres packagées incluant suivi à domicile des maladies chroniques, prévention et services d’accompagnement. Profil : directions commerciales, marketing.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Développer des offres B2B2C co‑brandées avec les mutuelles, avec des indicateurs de prévention et de réduction des coûts pour les payeurs.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2025–2026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commerce / investissement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Croissance des investissements RPM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 marché du remote patient monitoring connaît un fort intérêt des investisseurs, avec une croissance annuelle des financements de près de 30% sur 5 ans.</w:t>
            </w:r>
            <w:hyperlink w:anchor="fn15">
              <w:r>
                <w:rPr>
                  <w:rFonts w:eastAsia="helvetica neue" w:cs="helvetica neue" w:ascii="helvetica neue" w:hAnsi="helvetica neue"/>
                  <w:color w:val="#000"/>
                  <w:sz w:val="17"/>
                  <w:u w:val="single"/>
                  <w:vertAlign w:val="superscript"/>
                </w:rPr>
                <w:t xml:space="preserve">[15]</w:t>
              </w:r>
            </w:hyperlink>
            <w:hyperlink w:anchor="fn10">
              <w:r>
                <w:rPr>
                  <w:rFonts w:eastAsia="helvetica neue" w:cs="helvetica neue" w:ascii="helvetica neue" w:hAnsi="helvetica neue"/>
                  <w:color w:val="#000"/>
                  <w:sz w:val="17"/>
                  <w:u w:val="single"/>
                  <w:vertAlign w:val="superscript"/>
                </w:rPr>
                <w:t xml:space="preserve">[10]</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Indique un environnement favorable aux levées de fonds et à la consolidation, mais aussi une sélection accrue par les résultats cliniques/economiques. Profil : startups, scale‑ups, investisseurs.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Préparer des dossiers d’investissement axés sur preuves d’impact et alignement aux priorités UE/France (maladies chroniques à fort coût).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commerce / territoires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Demande territoriale en télésuivi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enjeux d’accès aux soins dans les territoires font de la télésurveillance un argument politique et économique pour sécuriser l’offre de soins locaux.</w:t>
            </w:r>
            <w:hyperlink w:anchor="fn17">
              <w:r>
                <w:rPr>
                  <w:rFonts w:eastAsia="helvetica neue" w:cs="helvetica neue" w:ascii="helvetica neue" w:hAnsi="helvetica neue"/>
                  <w:color w:val="#000"/>
                  <w:sz w:val="17"/>
                  <w:u w:val="single"/>
                  <w:vertAlign w:val="superscript"/>
                </w:rPr>
                <w:t xml:space="preserve">[17]</w:t>
              </w:r>
            </w:hyperlink>
            <w:hyperlink w:anchor="fn14">
              <w:r>
                <w:rPr>
                  <w:rFonts w:eastAsia="helvetica neue" w:cs="helvetica neue" w:ascii="helvetica neue" w:hAnsi="helvetica neue"/>
                  <w:color w:val="#000"/>
                  <w:sz w:val="17"/>
                  <w:u w:val="single"/>
                  <w:vertAlign w:val="superscript"/>
                </w:rPr>
                <w:t xml:space="preserve">[14]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Espace pour des contrats pluriannuels avec les collectivités, combinant financement local et remboursements assurance maladie. Profil : directions commerciales, affaires publiques.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Monter des offres « clé en main » de télésuivi pour territoires en tension (modèle hub‑and‑spoke, centres d’appel infirmiers,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moyen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commerce /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Valorisation des données de télésurveillance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 données issues du suivi à domicile peuvent alimenter la recherche, l’innovation et les politiques publiques, dans le cadre de Mon espace santé et des partenariats européens.</w:t>
            </w:r>
            <w:hyperlink w:anchor="fn8">
              <w:r>
                <w:rPr>
                  <w:rFonts w:eastAsia="helvetica neue" w:cs="helvetica neue" w:ascii="helvetica neue" w:hAnsi="helvetica neue"/>
                  <w:color w:val="#000"/>
                  <w:sz w:val="17"/>
                  <w:u w:val="single"/>
                  <w:vertAlign w:val="superscript"/>
                </w:rPr>
                <w:t xml:space="preserve">[8]</w:t>
              </w:r>
            </w:hyperlink>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Crée un marché secondaire autour de la donnée (cohortes, études, services d’analytics), sous forte contrainte de gouvernance et d’éthique. Profil : data business, R&amp;D, partenariats.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Explorer des modèles de valorisation de données (plateformes d’analyse, consortiums de recherche) en gardant la confiance des patients et autorités.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ynthèse"/>
      <w:r>
        <w:rPr>
          <w:rFonts w:eastAsia="georgia" w:cs="georgia" w:ascii="georgia" w:hAnsi="georgia"/>
          <w:b/>
          <w:color w:val="000000"/>
          <w:sz w:val="24"/>
        </w:rPr>
        <w:t xml:space="preserve">Synthèse</w:t>
      </w:r>
      <w:bookmarkEnd w:id="6"/>
    </w:p>
    <w:p>
      <w:pPr>
        <w:spacing w:line="360" w:before="315" w:after="105" w:lineRule="auto"/>
        <w:ind w:left="-30"/>
        <w:jc w:val="left"/>
      </w:pPr>
      <w:bookmarkStart w:id="7" w:name="tendances_clés_par_sous_thème"/>
      <w:r>
        <w:rPr>
          <w:rFonts w:eastAsia="georgia" w:cs="georgia" w:ascii="georgia" w:hAnsi="georgia"/>
          <w:b/>
          <w:color w:val="000000"/>
          <w:sz w:val="24"/>
        </w:rPr>
        <w:t xml:space="preserve">Tendances clés par sous‑thème</w:t>
      </w:r>
      <w:bookmarkEnd w:id="7"/>
    </w:p>
    <w:p>
      <w:pPr>
        <w:numPr>
          <w:ilvl w:val="0"/>
          <w:numId w:val="1"/>
        </w:numPr>
        <w:spacing w:line="360" w:after="210" w:lineRule="auto"/>
      </w:pPr>
      <w:r>
        <w:rPr>
          <w:rFonts w:eastAsia="georgia" w:cs="georgia" w:ascii="georgia" w:hAnsi="georgia"/>
          <w:color w:val="000000"/>
          <w:sz w:val="21"/>
        </w:rPr>
        <w:t xml:space="preserve">Réglementaire :</w:t>
      </w:r>
    </w:p>
    <w:p>
      <w:pPr>
        <w:numPr>
          <w:ilvl w:val="1"/>
          <w:numId w:val="1"/>
        </w:numPr>
        <w:spacing w:line="360" w:before="105" w:after="105" w:lineRule="auto"/>
      </w:pPr>
      <w:r>
        <w:rPr>
          <w:rFonts w:eastAsia="georgia" w:cs="georgia" w:ascii="georgia" w:hAnsi="georgia"/>
          <w:color w:val="000000"/>
          <w:sz w:val="21"/>
        </w:rPr>
        <w:t xml:space="preserve">Renforcement du cadre de droit commun (LATM) avec de nouveaux arrêtés sur les activités et forfaits.</w:t>
      </w:r>
      <w:bookmarkStart w:id="8" w:name="fnref1_1"/>
      <w:bookmarkEnd w:id="8"/>
      <w:hyperlink w:anchor="fn1">
        <w:r>
          <w:rPr>
            <w:rFonts w:eastAsia="helvetica neue" w:cs="helvetica neue" w:ascii="helvetica neue" w:hAnsi="helvetica neue"/>
            <w:color w:val="#000"/>
            <w:sz w:val="21"/>
            <w:u w:val="single"/>
            <w:vertAlign w:val="superscript"/>
          </w:rPr>
          <w:t xml:space="preserve">[1]</w:t>
        </w:r>
      </w:hyperlink>
      <w:bookmarkStart w:id="9" w:name="fnref2_2"/>
      <w:bookmarkEnd w:id="9"/>
      <w:hyperlink w:anchor="fn2">
        <w:r>
          <w:rPr>
            <w:rFonts w:eastAsia="helvetica neue" w:cs="helvetica neue" w:ascii="helvetica neue" w:hAnsi="helvetica neue"/>
            <w:color w:val="#000"/>
            <w:sz w:val="21"/>
            <w:u w:val="single"/>
            <w:vertAlign w:val="superscript"/>
          </w:rPr>
          <w:t xml:space="preserve">[2]</w:t>
        </w:r>
      </w:hyperlink>
    </w:p>
    <w:p>
      <w:pPr>
        <w:numPr>
          <w:ilvl w:val="1"/>
          <w:numId w:val="1"/>
        </w:numPr>
        <w:spacing w:line="360" w:before="105" w:after="105" w:lineRule="auto"/>
      </w:pPr>
      <w:r>
        <w:rPr>
          <w:rFonts w:eastAsia="georgia" w:cs="georgia" w:ascii="georgia" w:hAnsi="georgia"/>
          <w:color w:val="000000"/>
          <w:sz w:val="21"/>
        </w:rPr>
        <w:t xml:space="preserve">Voies d’accès accélérées (PECAN) pour solutions numériques de télésurveillance.</w:t>
      </w:r>
      <w:bookmarkStart w:id="10" w:name="fnref4_1"/>
      <w:bookmarkEnd w:id="10"/>
      <w:hyperlink w:anchor="fn4">
        <w:r>
          <w:rPr>
            <w:rFonts w:eastAsia="helvetica neue" w:cs="helvetica neue" w:ascii="helvetica neue" w:hAnsi="helvetica neue"/>
            <w:color w:val="#000"/>
            <w:sz w:val="21"/>
            <w:u w:val="single"/>
            <w:vertAlign w:val="superscript"/>
          </w:rPr>
          <w:t xml:space="preserve">[4]</w:t>
        </w:r>
      </w:hyperlink>
      <w:bookmarkStart w:id="11" w:name="fnref5_2"/>
      <w:bookmarkEnd w:id="11"/>
      <w:hyperlink w:anchor="fn5">
        <w:r>
          <w:rPr>
            <w:rFonts w:eastAsia="helvetica neue" w:cs="helvetica neue" w:ascii="helvetica neue" w:hAnsi="helvetica neue"/>
            <w:color w:val="#000"/>
            <w:sz w:val="21"/>
            <w:u w:val="single"/>
            <w:vertAlign w:val="superscript"/>
          </w:rPr>
          <w:t xml:space="preserve">[5]</w:t>
        </w:r>
      </w:hyperlink>
    </w:p>
    <w:p>
      <w:pPr>
        <w:numPr>
          <w:ilvl w:val="1"/>
          <w:numId w:val="1"/>
        </w:numPr>
        <w:spacing w:line="360" w:before="105" w:after="105" w:lineRule="auto"/>
      </w:pPr>
      <w:r>
        <w:rPr>
          <w:rFonts w:eastAsia="georgia" w:cs="georgia" w:ascii="georgia" w:hAnsi="georgia"/>
          <w:color w:val="000000"/>
          <w:sz w:val="21"/>
        </w:rPr>
        <w:t xml:space="preserve">Intégration croissante des enjeux éthiques et de consentement dans les textes et rapports officiels.</w:t>
      </w:r>
      <w:bookmarkStart w:id="12" w:name="fnref6_4"/>
      <w:bookmarkEnd w:id="12"/>
      <w:hyperlink w:anchor="fn6">
        <w:r>
          <w:rPr>
            <w:rFonts w:eastAsia="helvetica neue" w:cs="helvetica neue" w:ascii="helvetica neue" w:hAnsi="helvetica neue"/>
            <w:color w:val="#000"/>
            <w:sz w:val="21"/>
            <w:u w:val="single"/>
            <w:vertAlign w:val="superscript"/>
          </w:rPr>
          <w:t xml:space="preserve">[6]</w:t>
        </w:r>
      </w:hyperlink>
      <w:bookmarkStart w:id="13" w:name="fnref7_3"/>
      <w:bookmarkEnd w:id="13"/>
      <w:hyperlink w:anchor="fn7">
        <w:r>
          <w:rPr>
            <w:rFonts w:eastAsia="helvetica neue" w:cs="helvetica neue" w:ascii="helvetica neue" w:hAnsi="helvetica neue"/>
            <w:color w:val="#000"/>
            <w:sz w:val="21"/>
            <w:u w:val="single"/>
            <w:vertAlign w:val="superscript"/>
          </w:rPr>
          <w:t xml:space="preserve">[7]</w:t>
        </w:r>
      </w:hyperlink>
    </w:p>
    <w:p>
      <w:pPr>
        <w:numPr>
          <w:ilvl w:val="0"/>
          <w:numId w:val="1"/>
        </w:numPr>
        <w:spacing w:line="360" w:after="210" w:lineRule="auto"/>
      </w:pPr>
      <w:r>
        <w:rPr>
          <w:rFonts w:eastAsia="georgia" w:cs="georgia" w:ascii="georgia" w:hAnsi="georgia"/>
          <w:color w:val="000000"/>
          <w:sz w:val="21"/>
        </w:rPr>
        <w:t xml:space="preserve">Technologique :</w:t>
      </w:r>
    </w:p>
    <w:p>
      <w:pPr>
        <w:numPr>
          <w:ilvl w:val="1"/>
          <w:numId w:val="1"/>
        </w:numPr>
        <w:spacing w:line="360" w:before="105" w:after="105" w:lineRule="auto"/>
      </w:pPr>
      <w:r>
        <w:rPr>
          <w:rFonts w:eastAsia="georgia" w:cs="georgia" w:ascii="georgia" w:hAnsi="georgia"/>
          <w:color w:val="000000"/>
          <w:sz w:val="21"/>
        </w:rPr>
        <w:t xml:space="preserve">Montée en puissance des capteurs portables / patchs connectés couplés à l’IA d’alerte.</w:t>
      </w:r>
      <w:bookmarkStart w:id="14" w:name="fnref11_3"/>
      <w:bookmarkEnd w:id="14"/>
      <w:hyperlink w:anchor="fn11">
        <w:r>
          <w:rPr>
            <w:rFonts w:eastAsia="helvetica neue" w:cs="helvetica neue" w:ascii="helvetica neue" w:hAnsi="helvetica neue"/>
            <w:color w:val="#000"/>
            <w:sz w:val="21"/>
            <w:u w:val="single"/>
            <w:vertAlign w:val="superscript"/>
          </w:rPr>
          <w:t xml:space="preserve">[11]</w:t>
        </w:r>
      </w:hyperlink>
      <w:bookmarkStart w:id="15" w:name="fnref10_2"/>
      <w:bookmarkEnd w:id="15"/>
      <w:hyperlink w:anchor="fn10">
        <w:r>
          <w:rPr>
            <w:rFonts w:eastAsia="helvetica neue" w:cs="helvetica neue" w:ascii="helvetica neue" w:hAnsi="helvetica neue"/>
            <w:color w:val="#000"/>
            <w:sz w:val="21"/>
            <w:u w:val="single"/>
            <w:vertAlign w:val="superscript"/>
          </w:rPr>
          <w:t xml:space="preserve">[10]</w:t>
        </w:r>
      </w:hyperlink>
    </w:p>
    <w:p>
      <w:pPr>
        <w:numPr>
          <w:ilvl w:val="1"/>
          <w:numId w:val="1"/>
        </w:numPr>
        <w:spacing w:line="360" w:before="105" w:after="105" w:lineRule="auto"/>
      </w:pPr>
      <w:r>
        <w:rPr>
          <w:rFonts w:eastAsia="georgia" w:cs="georgia" w:ascii="georgia" w:hAnsi="georgia"/>
          <w:color w:val="000000"/>
          <w:sz w:val="21"/>
        </w:rPr>
        <w:t xml:space="preserve">Intérêt fort pour les approches multimodales et la gestion de la multimorbidité (EP PerMed).</w:t>
      </w:r>
      <w:bookmarkStart w:id="16" w:name="fnref12_4"/>
      <w:bookmarkEnd w:id="16"/>
      <w:hyperlink w:anchor="fn12">
        <w:r>
          <w:rPr>
            <w:rFonts w:eastAsia="helvetica neue" w:cs="helvetica neue" w:ascii="helvetica neue" w:hAnsi="helvetica neue"/>
            <w:color w:val="#000"/>
            <w:sz w:val="21"/>
            <w:u w:val="single"/>
            <w:vertAlign w:val="superscript"/>
          </w:rPr>
          <w:t xml:space="preserve">[12]</w:t>
        </w:r>
      </w:hyperlink>
    </w:p>
    <w:p>
      <w:pPr>
        <w:numPr>
          <w:ilvl w:val="1"/>
          <w:numId w:val="1"/>
        </w:numPr>
        <w:spacing w:line="360" w:before="105" w:after="105" w:lineRule="auto"/>
      </w:pPr>
      <w:r>
        <w:rPr>
          <w:rFonts w:eastAsia="georgia" w:cs="georgia" w:ascii="georgia" w:hAnsi="georgia"/>
          <w:color w:val="000000"/>
          <w:sz w:val="21"/>
        </w:rPr>
        <w:t xml:space="preserve">Déploiement de solutions orientées seniors et maintien à domicile (Silver Tech).</w:t>
      </w:r>
      <w:bookmarkStart w:id="17" w:name="fnref13_4"/>
      <w:bookmarkEnd w:id="17"/>
      <w:hyperlink w:anchor="fn13">
        <w:r>
          <w:rPr>
            <w:rFonts w:eastAsia="helvetica neue" w:cs="helvetica neue" w:ascii="helvetica neue" w:hAnsi="helvetica neue"/>
            <w:color w:val="#000"/>
            <w:sz w:val="21"/>
            <w:u w:val="single"/>
            <w:vertAlign w:val="superscript"/>
          </w:rPr>
          <w:t xml:space="preserve">[13]</w:t>
        </w:r>
      </w:hyperlink>
    </w:p>
    <w:p>
      <w:pPr>
        <w:numPr>
          <w:ilvl w:val="0"/>
          <w:numId w:val="1"/>
        </w:numPr>
        <w:spacing w:line="360" w:after="210" w:lineRule="auto"/>
      </w:pPr>
      <w:r>
        <w:rPr>
          <w:rFonts w:eastAsia="georgia" w:cs="georgia" w:ascii="georgia" w:hAnsi="georgia"/>
          <w:color w:val="000000"/>
          <w:sz w:val="21"/>
        </w:rPr>
        <w:t xml:space="preserve">Concurrentiel / acteurs :</w:t>
      </w:r>
    </w:p>
    <w:p>
      <w:pPr>
        <w:numPr>
          <w:ilvl w:val="1"/>
          <w:numId w:val="1"/>
        </w:numPr>
        <w:spacing w:line="360" w:before="105" w:after="105" w:lineRule="auto"/>
      </w:pPr>
      <w:r>
        <w:rPr>
          <w:rFonts w:eastAsia="georgia" w:cs="georgia" w:ascii="georgia" w:hAnsi="georgia"/>
          <w:color w:val="000000"/>
          <w:sz w:val="21"/>
        </w:rPr>
        <w:t xml:space="preserve">Croissance soutenue des acteurs européens du RPM, avec forte traction investisseurs.</w:t>
      </w:r>
      <w:bookmarkStart w:id="18" w:name="fnref16_2"/>
      <w:bookmarkEnd w:id="18"/>
      <w:hyperlink w:anchor="fn16">
        <w:r>
          <w:rPr>
            <w:rFonts w:eastAsia="helvetica neue" w:cs="helvetica neue" w:ascii="helvetica neue" w:hAnsi="helvetica neue"/>
            <w:color w:val="#000"/>
            <w:sz w:val="21"/>
            <w:u w:val="single"/>
            <w:vertAlign w:val="superscript"/>
          </w:rPr>
          <w:t xml:space="preserve">[16]</w:t>
        </w:r>
      </w:hyperlink>
      <w:bookmarkStart w:id="19" w:name="fnref15_2"/>
      <w:bookmarkEnd w:id="19"/>
      <w:hyperlink w:anchor="fn15">
        <w:r>
          <w:rPr>
            <w:rFonts w:eastAsia="helvetica neue" w:cs="helvetica neue" w:ascii="helvetica neue" w:hAnsi="helvetica neue"/>
            <w:color w:val="#000"/>
            <w:sz w:val="21"/>
            <w:u w:val="single"/>
            <w:vertAlign w:val="superscript"/>
          </w:rPr>
          <w:t xml:space="preserve">[15]</w:t>
        </w:r>
      </w:hyperlink>
    </w:p>
    <w:p>
      <w:pPr>
        <w:numPr>
          <w:ilvl w:val="1"/>
          <w:numId w:val="1"/>
        </w:numPr>
        <w:spacing w:line="360" w:before="105" w:after="105" w:lineRule="auto"/>
      </w:pPr>
      <w:r>
        <w:rPr>
          <w:rFonts w:eastAsia="georgia" w:cs="georgia" w:ascii="georgia" w:hAnsi="georgia"/>
          <w:color w:val="000000"/>
          <w:sz w:val="21"/>
        </w:rPr>
        <w:t xml:space="preserve">Rôle croissant des mutuelles et collectivités locales comme prescripteurs / financeurs.</w:t>
      </w:r>
      <w:bookmarkStart w:id="20" w:name="fnref17_4"/>
      <w:bookmarkEnd w:id="20"/>
      <w:hyperlink w:anchor="fn17">
        <w:r>
          <w:rPr>
            <w:rFonts w:eastAsia="helvetica neue" w:cs="helvetica neue" w:ascii="helvetica neue" w:hAnsi="helvetica neue"/>
            <w:color w:val="#000"/>
            <w:sz w:val="21"/>
            <w:u w:val="single"/>
            <w:vertAlign w:val="superscript"/>
          </w:rPr>
          <w:t xml:space="preserve">[17]</w:t>
        </w:r>
      </w:hyperlink>
      <w:bookmarkStart w:id="21" w:name="fnref13_5"/>
      <w:bookmarkEnd w:id="21"/>
      <w:hyperlink w:anchor="fn13">
        <w:r>
          <w:rPr>
            <w:rFonts w:eastAsia="helvetica neue" w:cs="helvetica neue" w:ascii="helvetica neue" w:hAnsi="helvetica neue"/>
            <w:color w:val="#000"/>
            <w:sz w:val="21"/>
            <w:u w:val="single"/>
            <w:vertAlign w:val="superscript"/>
          </w:rPr>
          <w:t xml:space="preserve">[13]</w:t>
        </w:r>
      </w:hyperlink>
    </w:p>
    <w:p>
      <w:pPr>
        <w:numPr>
          <w:ilvl w:val="1"/>
          <w:numId w:val="1"/>
        </w:numPr>
        <w:spacing w:line="360" w:before="105" w:after="105" w:lineRule="auto"/>
      </w:pPr>
      <w:r>
        <w:rPr>
          <w:rFonts w:eastAsia="georgia" w:cs="georgia" w:ascii="georgia" w:hAnsi="georgia"/>
          <w:color w:val="000000"/>
          <w:sz w:val="21"/>
        </w:rPr>
        <w:t xml:space="preserve">Avantage compétitif aux acteurs maîtrisant les parcours LATM/PECAN et les priorités UE.</w:t>
      </w:r>
      <w:bookmarkStart w:id="22" w:name="fnref3_3"/>
      <w:bookmarkEnd w:id="22"/>
      <w:hyperlink w:anchor="fn3">
        <w:r>
          <w:rPr>
            <w:rFonts w:eastAsia="helvetica neue" w:cs="helvetica neue" w:ascii="helvetica neue" w:hAnsi="helvetica neue"/>
            <w:color w:val="#000"/>
            <w:sz w:val="21"/>
            <w:u w:val="single"/>
            <w:vertAlign w:val="superscript"/>
          </w:rPr>
          <w:t xml:space="preserve">[3]</w:t>
        </w:r>
      </w:hyperlink>
      <w:bookmarkStart w:id="23" w:name="fnref5_3"/>
      <w:bookmarkEnd w:id="23"/>
      <w:hyperlink w:anchor="fn5">
        <w:r>
          <w:rPr>
            <w:rFonts w:eastAsia="helvetica neue" w:cs="helvetica neue" w:ascii="helvetica neue" w:hAnsi="helvetica neue"/>
            <w:color w:val="#000"/>
            <w:sz w:val="21"/>
            <w:u w:val="single"/>
            <w:vertAlign w:val="superscript"/>
          </w:rPr>
          <w:t xml:space="preserve">[5]</w:t>
        </w:r>
      </w:hyperlink>
    </w:p>
    <w:p>
      <w:pPr>
        <w:numPr>
          <w:ilvl w:val="0"/>
          <w:numId w:val="1"/>
        </w:numPr>
        <w:spacing w:line="360" w:after="210" w:lineRule="auto"/>
      </w:pPr>
      <w:r>
        <w:rPr>
          <w:rFonts w:eastAsia="georgia" w:cs="georgia" w:ascii="georgia" w:hAnsi="georgia"/>
          <w:color w:val="000000"/>
          <w:sz w:val="21"/>
        </w:rPr>
        <w:t xml:space="preserve">Usages :</w:t>
      </w:r>
    </w:p>
    <w:p>
      <w:pPr>
        <w:numPr>
          <w:ilvl w:val="1"/>
          <w:numId w:val="1"/>
        </w:numPr>
        <w:spacing w:line="360" w:before="105" w:after="105" w:lineRule="auto"/>
      </w:pPr>
      <w:r>
        <w:rPr>
          <w:rFonts w:eastAsia="georgia" w:cs="georgia" w:ascii="georgia" w:hAnsi="georgia"/>
          <w:color w:val="000000"/>
          <w:sz w:val="21"/>
        </w:rPr>
        <w:t xml:space="preserve">Appétence patients importante mais offre de télésuivi encore insuffisamment intégrée à la pratique courante.</w:t>
      </w:r>
      <w:bookmarkStart w:id="24" w:name="fnref9_3"/>
      <w:bookmarkEnd w:id="24"/>
      <w:hyperlink w:anchor="fn9">
        <w:r>
          <w:rPr>
            <w:rFonts w:eastAsia="helvetica neue" w:cs="helvetica neue" w:ascii="helvetica neue" w:hAnsi="helvetica neue"/>
            <w:color w:val="#000"/>
            <w:sz w:val="21"/>
            <w:u w:val="single"/>
            <w:vertAlign w:val="superscript"/>
          </w:rPr>
          <w:t xml:space="preserve">[9]</w:t>
        </w:r>
      </w:hyperlink>
    </w:p>
    <w:p>
      <w:pPr>
        <w:numPr>
          <w:ilvl w:val="1"/>
          <w:numId w:val="1"/>
        </w:numPr>
        <w:spacing w:line="360" w:before="105" w:after="105" w:lineRule="auto"/>
      </w:pPr>
      <w:r>
        <w:rPr>
          <w:rFonts w:eastAsia="georgia" w:cs="georgia" w:ascii="georgia" w:hAnsi="georgia"/>
          <w:color w:val="000000"/>
          <w:sz w:val="21"/>
        </w:rPr>
        <w:t xml:space="preserve">La télésurveillance s’impose comme brique structurante du virage ambulatoire, surtout pour les pathologies cardio‑métaboliques.</w:t>
      </w:r>
      <w:bookmarkStart w:id="25" w:name="fnref14_3"/>
      <w:bookmarkEnd w:id="25"/>
      <w:hyperlink w:anchor="fn14">
        <w:r>
          <w:rPr>
            <w:rFonts w:eastAsia="helvetica neue" w:cs="helvetica neue" w:ascii="helvetica neue" w:hAnsi="helvetica neue"/>
            <w:color w:val="#000"/>
            <w:sz w:val="21"/>
            <w:u w:val="single"/>
            <w:vertAlign w:val="superscript"/>
          </w:rPr>
          <w:t xml:space="preserve">[14]</w:t>
        </w:r>
      </w:hyperlink>
      <w:bookmarkStart w:id="26" w:name="fnref11_4"/>
      <w:bookmarkEnd w:id="26"/>
      <w:hyperlink w:anchor="fn11">
        <w:r>
          <w:rPr>
            <w:rFonts w:eastAsia="helvetica neue" w:cs="helvetica neue" w:ascii="helvetica neue" w:hAnsi="helvetica neue"/>
            <w:color w:val="#000"/>
            <w:sz w:val="21"/>
            <w:u w:val="single"/>
            <w:vertAlign w:val="superscript"/>
          </w:rPr>
          <w:t xml:space="preserve">[11]</w:t>
        </w:r>
      </w:hyperlink>
    </w:p>
    <w:p>
      <w:pPr>
        <w:numPr>
          <w:ilvl w:val="0"/>
          <w:numId w:val="1"/>
        </w:numPr>
        <w:spacing w:line="360" w:after="210" w:lineRule="auto"/>
      </w:pPr>
      <w:r>
        <w:rPr>
          <w:rFonts w:eastAsia="georgia" w:cs="georgia" w:ascii="georgia" w:hAnsi="georgia"/>
          <w:color w:val="000000"/>
          <w:sz w:val="21"/>
        </w:rPr>
        <w:t xml:space="preserve">Éthique :</w:t>
      </w:r>
    </w:p>
    <w:p>
      <w:pPr>
        <w:numPr>
          <w:ilvl w:val="1"/>
          <w:numId w:val="1"/>
        </w:numPr>
        <w:spacing w:line="360" w:before="105" w:after="105" w:lineRule="auto"/>
      </w:pPr>
      <w:r>
        <w:rPr>
          <w:rFonts w:eastAsia="georgia" w:cs="georgia" w:ascii="georgia" w:hAnsi="georgia"/>
          <w:color w:val="000000"/>
          <w:sz w:val="21"/>
        </w:rPr>
        <w:t xml:space="preserve">Renforcement du contrôle patient sur les données (Mon espace santé) et sur l’usage secondaire des données.</w:t>
      </w:r>
      <w:bookmarkStart w:id="27" w:name="fnref8_4"/>
      <w:bookmarkEnd w:id="27"/>
      <w:hyperlink w:anchor="fn8">
        <w:r>
          <w:rPr>
            <w:rFonts w:eastAsia="helvetica neue" w:cs="helvetica neue" w:ascii="helvetica neue" w:hAnsi="helvetica neue"/>
            <w:color w:val="#000"/>
            <w:sz w:val="21"/>
            <w:u w:val="single"/>
            <w:vertAlign w:val="superscript"/>
          </w:rPr>
          <w:t xml:space="preserve">[8]</w:t>
        </w:r>
      </w:hyperlink>
    </w:p>
    <w:p>
      <w:pPr>
        <w:numPr>
          <w:ilvl w:val="1"/>
          <w:numId w:val="1"/>
        </w:numPr>
        <w:spacing w:line="360" w:before="105" w:after="105" w:lineRule="auto"/>
      </w:pPr>
      <w:r>
        <w:rPr>
          <w:rFonts w:eastAsia="georgia" w:cs="georgia" w:ascii="georgia" w:hAnsi="georgia"/>
          <w:color w:val="000000"/>
          <w:sz w:val="21"/>
        </w:rPr>
        <w:t xml:space="preserve">Nécessité de clarifier responsabilités et droits (consentement, déconnexion, information).</w:t>
      </w:r>
      <w:bookmarkStart w:id="28" w:name="fnref7_4"/>
      <w:bookmarkEnd w:id="28"/>
      <w:hyperlink w:anchor="fn7">
        <w:r>
          <w:rPr>
            <w:rFonts w:eastAsia="helvetica neue" w:cs="helvetica neue" w:ascii="helvetica neue" w:hAnsi="helvetica neue"/>
            <w:color w:val="#000"/>
            <w:sz w:val="21"/>
            <w:u w:val="single"/>
            <w:vertAlign w:val="superscript"/>
          </w:rPr>
          <w:t xml:space="preserve">[7]</w:t>
        </w:r>
      </w:hyperlink>
      <w:bookmarkStart w:id="29" w:name="fnref6_5"/>
      <w:bookmarkEnd w:id="29"/>
      <w:hyperlink w:anchor="fn6">
        <w:r>
          <w:rPr>
            <w:rFonts w:eastAsia="helvetica neue" w:cs="helvetica neue" w:ascii="helvetica neue" w:hAnsi="helvetica neue"/>
            <w:color w:val="#000"/>
            <w:sz w:val="21"/>
            <w:u w:val="single"/>
            <w:vertAlign w:val="superscript"/>
          </w:rPr>
          <w:t xml:space="preserve">[6]</w:t>
        </w:r>
      </w:hyperlink>
    </w:p>
    <w:p>
      <w:pPr>
        <w:numPr>
          <w:ilvl w:val="0"/>
          <w:numId w:val="1"/>
        </w:numPr>
        <w:spacing w:line="360" w:after="210" w:lineRule="auto"/>
      </w:pPr>
      <w:r>
        <w:rPr>
          <w:rFonts w:eastAsia="georgia" w:cs="georgia" w:ascii="georgia" w:hAnsi="georgia"/>
          <w:color w:val="000000"/>
          <w:sz w:val="21"/>
        </w:rPr>
        <w:t xml:space="preserve">Commercial :</w:t>
      </w:r>
    </w:p>
    <w:p>
      <w:pPr>
        <w:numPr>
          <w:ilvl w:val="1"/>
          <w:numId w:val="1"/>
        </w:numPr>
        <w:spacing w:line="360" w:before="105" w:after="105" w:lineRule="auto"/>
      </w:pPr>
      <w:r>
        <w:rPr>
          <w:rFonts w:eastAsia="georgia" w:cs="georgia" w:ascii="georgia" w:hAnsi="georgia"/>
          <w:color w:val="000000"/>
          <w:sz w:val="21"/>
        </w:rPr>
        <w:t xml:space="preserve">Modèle économique désormais structurée par des forfaits remboursés, conditionnés au bénéfice clinique/organisationnel.</w:t>
      </w:r>
      <w:bookmarkStart w:id="30" w:name="fnref2_3"/>
      <w:bookmarkEnd w:id="30"/>
      <w:hyperlink w:anchor="fn2">
        <w:r>
          <w:rPr>
            <w:rFonts w:eastAsia="helvetica neue" w:cs="helvetica neue" w:ascii="helvetica neue" w:hAnsi="helvetica neue"/>
            <w:color w:val="#000"/>
            <w:sz w:val="21"/>
            <w:u w:val="single"/>
            <w:vertAlign w:val="superscript"/>
          </w:rPr>
          <w:t xml:space="preserve">[2]</w:t>
        </w:r>
      </w:hyperlink>
      <w:bookmarkStart w:id="31" w:name="fnref3_4"/>
      <w:bookmarkEnd w:id="31"/>
      <w:hyperlink w:anchor="fn3">
        <w:r>
          <w:rPr>
            <w:rFonts w:eastAsia="helvetica neue" w:cs="helvetica neue" w:ascii="helvetica neue" w:hAnsi="helvetica neue"/>
            <w:color w:val="#000"/>
            <w:sz w:val="21"/>
            <w:u w:val="single"/>
            <w:vertAlign w:val="superscript"/>
          </w:rPr>
          <w:t xml:space="preserve">[3]</w:t>
        </w:r>
      </w:hyperlink>
    </w:p>
    <w:p>
      <w:pPr>
        <w:numPr>
          <w:ilvl w:val="1"/>
          <w:numId w:val="1"/>
        </w:numPr>
        <w:spacing w:line="360" w:before="105" w:after="105" w:lineRule="auto"/>
      </w:pPr>
      <w:r>
        <w:rPr>
          <w:rFonts w:eastAsia="georgia" w:cs="georgia" w:ascii="georgia" w:hAnsi="georgia"/>
          <w:color w:val="000000"/>
          <w:sz w:val="21"/>
        </w:rPr>
        <w:t xml:space="preserve">Multiplication d’opportunités B2B2C (mutuelles, Silver Economy) et territoriales.</w:t>
      </w:r>
      <w:bookmarkStart w:id="32" w:name="fnref17_5"/>
      <w:bookmarkEnd w:id="32"/>
      <w:hyperlink w:anchor="fn17">
        <w:r>
          <w:rPr>
            <w:rFonts w:eastAsia="helvetica neue" w:cs="helvetica neue" w:ascii="helvetica neue" w:hAnsi="helvetica neue"/>
            <w:color w:val="#000"/>
            <w:sz w:val="21"/>
            <w:u w:val="single"/>
            <w:vertAlign w:val="superscript"/>
          </w:rPr>
          <w:t xml:space="preserve">[17]</w:t>
        </w:r>
      </w:hyperlink>
      <w:bookmarkStart w:id="33" w:name="fnref13_6"/>
      <w:bookmarkEnd w:id="33"/>
      <w:hyperlink w:anchor="fn13">
        <w:r>
          <w:rPr>
            <w:rFonts w:eastAsia="helvetica neue" w:cs="helvetica neue" w:ascii="helvetica neue" w:hAnsi="helvetica neue"/>
            <w:color w:val="#000"/>
            <w:sz w:val="21"/>
            <w:u w:val="single"/>
            <w:vertAlign w:val="superscript"/>
          </w:rPr>
          <w:t xml:space="preserve">[13]</w:t>
        </w:r>
      </w:hyperlink>
    </w:p>
    <w:p>
      <w:pPr>
        <w:spacing w:line="360" w:before="315" w:after="105" w:lineRule="auto"/>
        <w:ind w:left="-30"/>
        <w:jc w:val="left"/>
      </w:pPr>
      <w:bookmarkStart w:id="34" w:name="bm_3_risques_à_surveiller"/>
      <w:r>
        <w:rPr>
          <w:rFonts w:eastAsia="georgia" w:cs="georgia" w:ascii="georgia" w:hAnsi="georgia"/>
          <w:b/>
          <w:color w:val="000000"/>
          <w:sz w:val="24"/>
        </w:rPr>
        <w:t xml:space="preserve">3 risques à surveiller</w:t>
      </w:r>
      <w:bookmarkEnd w:id="34"/>
    </w:p>
    <w:p>
      <w:pPr>
        <w:numPr>
          <w:ilvl w:val="0"/>
          <w:numId w:val="2"/>
        </w:numPr>
        <w:spacing w:line="360" w:before="105" w:after="105" w:lineRule="auto"/>
      </w:pPr>
      <w:r>
        <w:rPr>
          <w:rFonts w:eastAsia="georgia" w:cs="georgia" w:ascii="georgia" w:hAnsi="georgia"/>
          <w:color w:val="000000"/>
          <w:sz w:val="21"/>
        </w:rPr>
        <w:t xml:space="preserve">Décalage entre attentes patients / décideurs et capacité réelle des organisations à absorber la télésurveillance (temps médical, coordination, SI).</w:t>
      </w:r>
      <w:bookmarkStart w:id="35" w:name="fnref9_4"/>
      <w:bookmarkEnd w:id="35"/>
      <w:hyperlink w:anchor="fn9">
        <w:r>
          <w:rPr>
            <w:rFonts w:eastAsia="helvetica neue" w:cs="helvetica neue" w:ascii="helvetica neue" w:hAnsi="helvetica neue"/>
            <w:color w:val="#000"/>
            <w:sz w:val="21"/>
            <w:u w:val="single"/>
            <w:vertAlign w:val="superscript"/>
          </w:rPr>
          <w:t xml:space="preserve">[9]</w:t>
        </w:r>
      </w:hyperlink>
      <w:bookmarkStart w:id="36" w:name="fnref14_4"/>
      <w:bookmarkEnd w:id="36"/>
      <w:hyperlink w:anchor="fn14">
        <w:r>
          <w:rPr>
            <w:rFonts w:eastAsia="helvetica neue" w:cs="helvetica neue" w:ascii="helvetica neue" w:hAnsi="helvetica neue"/>
            <w:color w:val="#000"/>
            <w:sz w:val="21"/>
            <w:u w:val="single"/>
            <w:vertAlign w:val="superscript"/>
          </w:rPr>
          <w:t xml:space="preserve">[14]</w:t>
        </w:r>
      </w:hyperlink>
    </w:p>
    <w:p>
      <w:pPr>
        <w:numPr>
          <w:ilvl w:val="0"/>
          <w:numId w:val="2"/>
        </w:numPr>
        <w:spacing w:line="360" w:before="105" w:after="105" w:lineRule="auto"/>
      </w:pPr>
      <w:r>
        <w:rPr>
          <w:rFonts w:eastAsia="georgia" w:cs="georgia" w:ascii="georgia" w:hAnsi="georgia"/>
          <w:color w:val="000000"/>
          <w:sz w:val="21"/>
        </w:rPr>
        <w:t xml:space="preserve">Risques réglementaires et réputationnels liés à une mauvaise gestion du consentement, des droits des patients et de la gouvernance des données.</w:t>
      </w:r>
      <w:bookmarkStart w:id="37" w:name="fnref6_6"/>
      <w:bookmarkEnd w:id="37"/>
      <w:hyperlink w:anchor="fn6">
        <w:r>
          <w:rPr>
            <w:rFonts w:eastAsia="helvetica neue" w:cs="helvetica neue" w:ascii="helvetica neue" w:hAnsi="helvetica neue"/>
            <w:color w:val="#000"/>
            <w:sz w:val="21"/>
            <w:u w:val="single"/>
            <w:vertAlign w:val="superscript"/>
          </w:rPr>
          <w:t xml:space="preserve">[6]</w:t>
        </w:r>
      </w:hyperlink>
      <w:bookmarkStart w:id="38" w:name="fnref7_5"/>
      <w:bookmarkEnd w:id="38"/>
      <w:hyperlink w:anchor="fn7">
        <w:r>
          <w:rPr>
            <w:rFonts w:eastAsia="helvetica neue" w:cs="helvetica neue" w:ascii="helvetica neue" w:hAnsi="helvetica neue"/>
            <w:color w:val="#000"/>
            <w:sz w:val="21"/>
            <w:u w:val="single"/>
            <w:vertAlign w:val="superscript"/>
          </w:rPr>
          <w:t xml:space="preserve">[7]</w:t>
        </w:r>
      </w:hyperlink>
      <w:bookmarkStart w:id="39" w:name="fnref8_5"/>
      <w:bookmarkEnd w:id="39"/>
      <w:hyperlink w:anchor="fn8">
        <w:r>
          <w:rPr>
            <w:rFonts w:eastAsia="helvetica neue" w:cs="helvetica neue" w:ascii="helvetica neue" w:hAnsi="helvetica neue"/>
            <w:color w:val="#000"/>
            <w:sz w:val="21"/>
            <w:u w:val="single"/>
            <w:vertAlign w:val="superscript"/>
          </w:rPr>
          <w:t xml:space="preserve">[8]</w:t>
        </w:r>
      </w:hyperlink>
    </w:p>
    <w:p>
      <w:pPr>
        <w:numPr>
          <w:ilvl w:val="0"/>
          <w:numId w:val="2"/>
        </w:numPr>
        <w:spacing w:line="360" w:before="105" w:after="105" w:lineRule="auto"/>
      </w:pPr>
      <w:r>
        <w:rPr>
          <w:rFonts w:eastAsia="georgia" w:cs="georgia" w:ascii="georgia" w:hAnsi="georgia"/>
          <w:color w:val="000000"/>
          <w:sz w:val="21"/>
        </w:rPr>
        <w:t xml:space="preserve">Pression concurrentielle accrue, avec risque de banalisation des solutions si la valeur clinique et économique n’est pas clairement démontrée.</w:t>
      </w:r>
      <w:bookmarkStart w:id="40" w:name="fnref15_3"/>
      <w:bookmarkEnd w:id="40"/>
      <w:hyperlink w:anchor="fn15">
        <w:r>
          <w:rPr>
            <w:rFonts w:eastAsia="helvetica neue" w:cs="helvetica neue" w:ascii="helvetica neue" w:hAnsi="helvetica neue"/>
            <w:color w:val="#000"/>
            <w:sz w:val="21"/>
            <w:u w:val="single"/>
            <w:vertAlign w:val="superscript"/>
          </w:rPr>
          <w:t xml:space="preserve">[15]</w:t>
        </w:r>
      </w:hyperlink>
      <w:bookmarkStart w:id="41" w:name="fnref10_3"/>
      <w:bookmarkEnd w:id="41"/>
      <w:hyperlink w:anchor="fn10">
        <w:r>
          <w:rPr>
            <w:rFonts w:eastAsia="helvetica neue" w:cs="helvetica neue" w:ascii="helvetica neue" w:hAnsi="helvetica neue"/>
            <w:color w:val="#000"/>
            <w:sz w:val="21"/>
            <w:u w:val="single"/>
            <w:vertAlign w:val="superscript"/>
          </w:rPr>
          <w:t xml:space="preserve">[10]</w:t>
        </w:r>
      </w:hyperlink>
    </w:p>
    <w:p>
      <w:pPr>
        <w:spacing w:line="360" w:before="315" w:after="105" w:lineRule="auto"/>
        <w:ind w:left="-30"/>
        <w:jc w:val="left"/>
      </w:pPr>
      <w:bookmarkStart w:id="42" w:name="bm_3_opportunités_à_explorer"/>
      <w:r>
        <w:rPr>
          <w:rFonts w:eastAsia="georgia" w:cs="georgia" w:ascii="georgia" w:hAnsi="georgia"/>
          <w:b/>
          <w:color w:val="000000"/>
          <w:sz w:val="24"/>
        </w:rPr>
        <w:t xml:space="preserve">3 opportunités à explorer</w:t>
      </w:r>
      <w:bookmarkEnd w:id="42"/>
    </w:p>
    <w:p>
      <w:pPr>
        <w:numPr>
          <w:ilvl w:val="0"/>
          <w:numId w:val="3"/>
        </w:numPr>
        <w:spacing w:line="360" w:before="105" w:after="105" w:lineRule="auto"/>
      </w:pPr>
      <w:r>
        <w:rPr>
          <w:rFonts w:eastAsia="georgia" w:cs="georgia" w:ascii="georgia" w:hAnsi="georgia"/>
          <w:color w:val="000000"/>
          <w:sz w:val="21"/>
        </w:rPr>
        <w:t xml:space="preserve">Développer des plateformes IA de suivi multimodal ciblant la multimorbidité chronique, en s’alignant sur les appels EP PerMed et les priorités UE.</w:t>
      </w:r>
      <w:bookmarkStart w:id="43" w:name="fnref12_5"/>
      <w:bookmarkEnd w:id="43"/>
      <w:hyperlink w:anchor="fn12">
        <w:r>
          <w:rPr>
            <w:rFonts w:eastAsia="helvetica neue" w:cs="helvetica neue" w:ascii="helvetica neue" w:hAnsi="helvetica neue"/>
            <w:color w:val="#000"/>
            <w:sz w:val="21"/>
            <w:u w:val="single"/>
            <w:vertAlign w:val="superscript"/>
          </w:rPr>
          <w:t xml:space="preserve">[12]</w:t>
        </w:r>
      </w:hyperlink>
      <w:bookmarkStart w:id="44" w:name="fnref16_3"/>
      <w:bookmarkEnd w:id="44"/>
      <w:hyperlink w:anchor="fn16">
        <w:r>
          <w:rPr>
            <w:rFonts w:eastAsia="helvetica neue" w:cs="helvetica neue" w:ascii="helvetica neue" w:hAnsi="helvetica neue"/>
            <w:color w:val="#000"/>
            <w:sz w:val="21"/>
            <w:u w:val="single"/>
            <w:vertAlign w:val="superscript"/>
          </w:rPr>
          <w:t xml:space="preserve">[16]</w:t>
        </w:r>
      </w:hyperlink>
    </w:p>
    <w:p>
      <w:pPr>
        <w:numPr>
          <w:ilvl w:val="0"/>
          <w:numId w:val="3"/>
        </w:numPr>
        <w:spacing w:line="360" w:before="105" w:after="105" w:lineRule="auto"/>
      </w:pPr>
      <w:r>
        <w:rPr>
          <w:rFonts w:eastAsia="georgia" w:cs="georgia" w:ascii="georgia" w:hAnsi="georgia"/>
          <w:color w:val="000000"/>
          <w:sz w:val="21"/>
        </w:rPr>
        <w:t xml:space="preserve">Co‑construire des offres packagées avec mutuelles et collectivités pour le maintien à domicile et la lutte contre les déserts médicaux.</w:t>
      </w:r>
      <w:bookmarkStart w:id="45" w:name="fnref13_7"/>
      <w:bookmarkEnd w:id="45"/>
      <w:hyperlink w:anchor="fn13">
        <w:r>
          <w:rPr>
            <w:rFonts w:eastAsia="helvetica neue" w:cs="helvetica neue" w:ascii="helvetica neue" w:hAnsi="helvetica neue"/>
            <w:color w:val="#000"/>
            <w:sz w:val="21"/>
            <w:u w:val="single"/>
            <w:vertAlign w:val="superscript"/>
          </w:rPr>
          <w:t xml:space="preserve">[13]</w:t>
        </w:r>
      </w:hyperlink>
      <w:bookmarkStart w:id="46" w:name="fnref17_6"/>
      <w:bookmarkEnd w:id="46"/>
      <w:hyperlink w:anchor="fn17">
        <w:r>
          <w:rPr>
            <w:rFonts w:eastAsia="helvetica neue" w:cs="helvetica neue" w:ascii="helvetica neue" w:hAnsi="helvetica neue"/>
            <w:color w:val="#000"/>
            <w:sz w:val="21"/>
            <w:u w:val="single"/>
            <w:vertAlign w:val="superscript"/>
          </w:rPr>
          <w:t xml:space="preserve">[17]</w:t>
        </w:r>
      </w:hyperlink>
    </w:p>
    <w:p>
      <w:pPr>
        <w:numPr>
          <w:ilvl w:val="0"/>
          <w:numId w:val="3"/>
        </w:numPr>
        <w:spacing w:line="360" w:before="105" w:after="105" w:lineRule="auto"/>
      </w:pPr>
      <w:r>
        <w:rPr>
          <w:rFonts w:eastAsia="georgia" w:cs="georgia" w:ascii="georgia" w:hAnsi="georgia"/>
          <w:color w:val="000000"/>
          <w:sz w:val="21"/>
        </w:rPr>
        <w:t xml:space="preserve">Valoriser les données de télésurveillance dans des projets de recherche et d’analytics, en s’adossant à Mon espace santé et aux cadres européens de données de santé.</w:t>
      </w:r>
      <w:bookmarkStart w:id="47" w:name="fnref8_6"/>
      <w:bookmarkEnd w:id="47"/>
      <w:hyperlink w:anchor="fn8">
        <w:r>
          <w:rPr>
            <w:rFonts w:eastAsia="helvetica neue" w:cs="helvetica neue" w:ascii="helvetica neue" w:hAnsi="helvetica neue"/>
            <w:color w:val="#000"/>
            <w:sz w:val="21"/>
            <w:u w:val="single"/>
            <w:vertAlign w:val="superscript"/>
          </w:rPr>
          <w:t xml:space="preserve">[8]</w:t>
        </w:r>
      </w:hyperlink>
      <w:bookmarkStart w:id="48" w:name="fnref12_6"/>
      <w:bookmarkEnd w:id="48"/>
      <w:hyperlink w:anchor="fn12">
        <w:r>
          <w:rPr>
            <w:rFonts w:eastAsia="helvetica neue" w:cs="helvetica neue" w:ascii="helvetica neue" w:hAnsi="helvetica neue"/>
            <w:color w:val="#000"/>
            <w:sz w:val="21"/>
            <w:u w:val="single"/>
            <w:vertAlign w:val="superscript"/>
          </w:rPr>
          <w:t xml:space="preserve">[12]</w:t>
        </w:r>
      </w:hyperlink>
    </w:p>
    <w:p>
      <w:pPr>
        <w:spacing w:line="360" w:before="315" w:after="105" w:lineRule="auto"/>
        <w:ind w:left="-30"/>
        <w:jc w:val="left"/>
      </w:pPr>
      <w:bookmarkStart w:id="49" w:name="bm_3_actions_concrètes_à_lancer_o_b3d97e"/>
      <w:r>
        <w:rPr>
          <w:rFonts w:eastAsia="georgia" w:cs="georgia" w:ascii="georgia" w:hAnsi="georgia"/>
          <w:b/>
          <w:color w:val="000000"/>
          <w:sz w:val="24"/>
        </w:rPr>
        <w:t xml:space="preserve">3 actions concrètes à lancer ou considérer</w:t>
      </w:r>
      <w:bookmarkEnd w:id="49"/>
    </w:p>
    <w:p>
      <w:pPr>
        <w:numPr>
          <w:ilvl w:val="0"/>
          <w:numId w:val="4"/>
        </w:numPr>
        <w:spacing w:line="360" w:after="210" w:lineRule="auto"/>
      </w:pPr>
      <w:r>
        <w:rPr>
          <w:rFonts w:eastAsia="georgia" w:cs="georgia" w:ascii="georgia" w:hAnsi="georgia"/>
          <w:b/>
          <w:color w:val="000000"/>
          <w:sz w:val="21"/>
        </w:rPr>
        <w:t xml:space="preserve">Action marché / produit</w:t>
      </w:r>
      <w:r>
        <w:rPr>
          <w:rFonts w:eastAsia="georgia" w:cs="georgia" w:ascii="georgia" w:hAnsi="georgia"/>
          <w:color w:val="000000"/>
          <w:sz w:val="21"/>
        </w:rPr>
        <w:t xml:space="preserve"> :</w:t>
      </w:r>
    </w:p>
    <w:p>
      <w:pPr>
        <w:numPr>
          <w:ilvl w:val="1"/>
          <w:numId w:val="4"/>
        </w:numPr>
        <w:spacing w:line="360" w:before="105" w:after="105" w:lineRule="auto"/>
      </w:pPr>
      <w:r>
        <w:rPr>
          <w:rFonts w:eastAsia="georgia" w:cs="georgia" w:ascii="georgia" w:hAnsi="georgia"/>
          <w:color w:val="000000"/>
          <w:sz w:val="21"/>
        </w:rPr>
        <w:t xml:space="preserve">Cartographier vos indications / cas d’usage vs LATM/PECAN, priorités UE et forfaits disponibles, puis ajuster votre roadmap (focus sur les segments à fort bénéfice clinique et ambulatoire).</w:t>
      </w:r>
      <w:bookmarkStart w:id="50" w:name="fnref5_4"/>
      <w:bookmarkEnd w:id="50"/>
      <w:hyperlink w:anchor="fn5">
        <w:r>
          <w:rPr>
            <w:rFonts w:eastAsia="helvetica neue" w:cs="helvetica neue" w:ascii="helvetica neue" w:hAnsi="helvetica neue"/>
            <w:color w:val="#000"/>
            <w:sz w:val="21"/>
            <w:u w:val="single"/>
            <w:vertAlign w:val="superscript"/>
          </w:rPr>
          <w:t xml:space="preserve">[5]</w:t>
        </w:r>
      </w:hyperlink>
      <w:bookmarkStart w:id="51" w:name="fnref1_2"/>
      <w:bookmarkEnd w:id="51"/>
      <w:hyperlink w:anchor="fn1">
        <w:r>
          <w:rPr>
            <w:rFonts w:eastAsia="helvetica neue" w:cs="helvetica neue" w:ascii="helvetica neue" w:hAnsi="helvetica neue"/>
            <w:color w:val="#000"/>
            <w:sz w:val="21"/>
            <w:u w:val="single"/>
            <w:vertAlign w:val="superscript"/>
          </w:rPr>
          <w:t xml:space="preserve">[1]</w:t>
        </w:r>
      </w:hyperlink>
      <w:bookmarkStart w:id="52" w:name="fnref2_4"/>
      <w:bookmarkEnd w:id="52"/>
      <w:hyperlink w:anchor="fn2">
        <w:r>
          <w:rPr>
            <w:rFonts w:eastAsia="helvetica neue" w:cs="helvetica neue" w:ascii="helvetica neue" w:hAnsi="helvetica neue"/>
            <w:color w:val="#000"/>
            <w:sz w:val="21"/>
            <w:u w:val="single"/>
            <w:vertAlign w:val="superscript"/>
          </w:rPr>
          <w:t xml:space="preserve">[2]</w:t>
        </w:r>
      </w:hyperlink>
    </w:p>
    <w:p>
      <w:pPr>
        <w:numPr>
          <w:ilvl w:val="0"/>
          <w:numId w:val="4"/>
        </w:numPr>
        <w:spacing w:line="360" w:after="210" w:lineRule="auto"/>
      </w:pPr>
      <w:r>
        <w:rPr>
          <w:rFonts w:eastAsia="georgia" w:cs="georgia" w:ascii="georgia" w:hAnsi="georgia"/>
          <w:b/>
          <w:color w:val="000000"/>
          <w:sz w:val="21"/>
        </w:rPr>
        <w:t xml:space="preserve">Action organisation / conformité</w:t>
      </w:r>
      <w:r>
        <w:rPr>
          <w:rFonts w:eastAsia="georgia" w:cs="georgia" w:ascii="georgia" w:hAnsi="georgia"/>
          <w:color w:val="000000"/>
          <w:sz w:val="21"/>
        </w:rPr>
        <w:t xml:space="preserve"> :</w:t>
      </w:r>
    </w:p>
    <w:p>
      <w:pPr>
        <w:numPr>
          <w:ilvl w:val="1"/>
          <w:numId w:val="4"/>
        </w:numPr>
        <w:spacing w:line="360" w:before="105" w:after="105" w:lineRule="auto"/>
      </w:pPr>
      <w:r>
        <w:rPr>
          <w:rFonts w:eastAsia="georgia" w:cs="georgia" w:ascii="georgia" w:hAnsi="georgia"/>
          <w:color w:val="000000"/>
          <w:sz w:val="21"/>
        </w:rPr>
        <w:t xml:space="preserve">Mettre à jour vos process de consentement, d’information patient et de gouvernance data (incluant intégration Mon espace santé), avec revue conjointe juridique–DPO–PO.</w:t>
      </w:r>
      <w:bookmarkStart w:id="53" w:name="fnref7_6"/>
      <w:bookmarkEnd w:id="53"/>
      <w:hyperlink w:anchor="fn7">
        <w:r>
          <w:rPr>
            <w:rFonts w:eastAsia="helvetica neue" w:cs="helvetica neue" w:ascii="helvetica neue" w:hAnsi="helvetica neue"/>
            <w:color w:val="#000"/>
            <w:sz w:val="21"/>
            <w:u w:val="single"/>
            <w:vertAlign w:val="superscript"/>
          </w:rPr>
          <w:t xml:space="preserve">[7]</w:t>
        </w:r>
      </w:hyperlink>
      <w:bookmarkStart w:id="54" w:name="fnref6_7"/>
      <w:bookmarkEnd w:id="54"/>
      <w:hyperlink w:anchor="fn6">
        <w:r>
          <w:rPr>
            <w:rFonts w:eastAsia="helvetica neue" w:cs="helvetica neue" w:ascii="helvetica neue" w:hAnsi="helvetica neue"/>
            <w:color w:val="#000"/>
            <w:sz w:val="21"/>
            <w:u w:val="single"/>
            <w:vertAlign w:val="superscript"/>
          </w:rPr>
          <w:t xml:space="preserve">[6]</w:t>
        </w:r>
      </w:hyperlink>
      <w:bookmarkStart w:id="55" w:name="fnref8_7"/>
      <w:bookmarkEnd w:id="55"/>
      <w:hyperlink w:anchor="fn8">
        <w:r>
          <w:rPr>
            <w:rFonts w:eastAsia="helvetica neue" w:cs="helvetica neue" w:ascii="helvetica neue" w:hAnsi="helvetica neue"/>
            <w:color w:val="#000"/>
            <w:sz w:val="21"/>
            <w:u w:val="single"/>
            <w:vertAlign w:val="superscript"/>
          </w:rPr>
          <w:t xml:space="preserve">[8]</w:t>
        </w:r>
      </w:hyperlink>
    </w:p>
    <w:p>
      <w:pPr>
        <w:numPr>
          <w:ilvl w:val="0"/>
          <w:numId w:val="4"/>
        </w:numPr>
        <w:spacing w:line="360" w:after="210" w:lineRule="auto"/>
      </w:pPr>
      <w:r>
        <w:rPr>
          <w:rFonts w:eastAsia="georgia" w:cs="georgia" w:ascii="georgia" w:hAnsi="georgia"/>
          <w:b/>
          <w:color w:val="000000"/>
          <w:sz w:val="21"/>
        </w:rPr>
        <w:t xml:space="preserve">Action partenariats / financement</w:t>
      </w:r>
      <w:r>
        <w:rPr>
          <w:rFonts w:eastAsia="georgia" w:cs="georgia" w:ascii="georgia" w:hAnsi="georgia"/>
          <w:color w:val="000000"/>
          <w:sz w:val="21"/>
        </w:rPr>
        <w:t xml:space="preserve"> :</w:t>
      </w:r>
    </w:p>
    <w:p>
      <w:pPr>
        <w:numPr>
          <w:ilvl w:val="1"/>
          <w:numId w:val="4"/>
        </w:numPr>
        <w:spacing w:line="360" w:before="105" w:after="105" w:lineRule="auto"/>
      </w:pPr>
      <w:r>
        <w:rPr>
          <w:rFonts w:eastAsia="georgia" w:cs="georgia" w:ascii="georgia" w:hAnsi="georgia"/>
          <w:color w:val="000000"/>
          <w:sz w:val="21"/>
        </w:rPr>
        <w:t xml:space="preserve">Identifier 2–3 partenaires clés (CHU, mutuelle, collectivité) pour monter un pilote de télésurveillance IA centré sur une pathologie chronique prioritaire, adossé à un appel type EP PerMed ou programme national.</w:t>
      </w:r>
      <w:bookmarkStart w:id="56" w:name="fnref12_7"/>
      <w:bookmarkEnd w:id="56"/>
      <w:hyperlink w:anchor="fn12">
        <w:r>
          <w:rPr>
            <w:rFonts w:eastAsia="helvetica neue" w:cs="helvetica neue" w:ascii="helvetica neue" w:hAnsi="helvetica neue"/>
            <w:color w:val="#000"/>
            <w:sz w:val="21"/>
            <w:u w:val="single"/>
            <w:vertAlign w:val="superscript"/>
          </w:rPr>
          <w:t xml:space="preserve">[12]</w:t>
        </w:r>
      </w:hyperlink>
      <w:bookmarkStart w:id="57" w:name="fnref17_7"/>
      <w:bookmarkEnd w:id="57"/>
      <w:hyperlink w:anchor="fn17">
        <w:r>
          <w:rPr>
            <w:rFonts w:eastAsia="helvetica neue" w:cs="helvetica neue" w:ascii="helvetica neue" w:hAnsi="helvetica neue"/>
            <w:color w:val="#000"/>
            <w:sz w:val="21"/>
            <w:u w:val="single"/>
            <w:vertAlign w:val="superscript"/>
          </w:rPr>
          <w:t xml:space="preserve">[17]</w:t>
        </w:r>
      </w:hyperlink>
      <w:bookmarkStart w:id="58" w:name="fnref13_8"/>
      <w:bookmarkEnd w:id="58"/>
      <w:hyperlink w:anchor="fn13">
        <w:r>
          <w:rPr>
            <w:rFonts w:eastAsia="helvetica neue" w:cs="helvetica neue" w:ascii="helvetica neue" w:hAnsi="helvetica neue"/>
            <w:color w:val="#000"/>
            <w:sz w:val="21"/>
            <w:u w:val="single"/>
            <w:vertAlign w:val="superscript"/>
          </w:rPr>
          <w:t xml:space="preserve">[13]</w:t>
        </w:r>
      </w:hyperlink>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9" w:name="fn1"/>
    <w:bookmarkEnd w:id="59"/>
    <w:p>
      <w:pPr>
        <w:numPr>
          <w:ilvl w:val="0"/>
          <w:numId w:val="6"/>
        </w:numPr>
        <w:spacing w:line="360" w:after="210" w:lineRule="auto"/>
      </w:pPr>
      <w:hyperlink r:id="rId6">
        <w:r>
          <w:rPr>
            <w:rFonts w:eastAsia="helvetica neue" w:cs="helvetica neue" w:ascii="helvetica neue" w:hAnsi="helvetica neue"/>
            <w:color w:val="#000"/>
            <w:sz w:val="18"/>
            <w:u w:val="single"/>
          </w:rPr>
          <w:t xml:space="preserve">https://www.legifrance.gouv.fr/jorf/id/JORFTEXT000053619011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0" w:name="fn2"/>
    <w:bookmarkEnd w:id="60"/>
    <w:p>
      <w:pPr>
        <w:numPr>
          <w:ilvl w:val="0"/>
          <w:numId w:val="6"/>
        </w:numPr>
        <w:spacing w:line="360" w:after="210" w:lineRule="auto"/>
      </w:pPr>
      <w:hyperlink r:id="rId7">
        <w:r>
          <w:rPr>
            <w:rFonts w:eastAsia="helvetica neue" w:cs="helvetica neue" w:ascii="helvetica neue" w:hAnsi="helvetica neue"/>
            <w:color w:val="#000"/>
            <w:sz w:val="18"/>
            <w:u w:val="single"/>
          </w:rPr>
          <w:t xml:space="preserve">https://www.legifrance.gouv.fr/jorf/article_jo/JORFARTI000053619050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1" w:name="fn3"/>
    <w:bookmarkEnd w:id="61"/>
    <w:p>
      <w:pPr>
        <w:numPr>
          <w:ilvl w:val="0"/>
          <w:numId w:val="6"/>
        </w:numPr>
        <w:spacing w:line="360" w:after="210" w:lineRule="auto"/>
      </w:pPr>
      <w:hyperlink r:id="rId8">
        <w:r>
          <w:rPr>
            <w:rFonts w:eastAsia="helvetica neue" w:cs="helvetica neue" w:ascii="helvetica neue" w:hAnsi="helvetica neue"/>
            <w:color w:val="#000"/>
            <w:sz w:val="18"/>
            <w:u w:val="single"/>
          </w:rPr>
          <w:t xml:space="preserve">https://gnius.esante.gouv.fr/en/financing/reimbursement-profiles/remote-monitoring-reimbursement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2" w:name="fn4"/>
    <w:bookmarkEnd w:id="62"/>
    <w:p>
      <w:pPr>
        <w:numPr>
          <w:ilvl w:val="0"/>
          <w:numId w:val="6"/>
        </w:numPr>
        <w:spacing w:line="360" w:after="210" w:lineRule="auto"/>
      </w:pPr>
      <w:hyperlink r:id="rId9">
        <w:r>
          <w:rPr>
            <w:rFonts w:eastAsia="helvetica neue" w:cs="helvetica neue" w:ascii="helvetica neue" w:hAnsi="helvetica neue"/>
            <w:color w:val="#000"/>
            <w:sz w:val="18"/>
            <w:u w:val="single"/>
          </w:rPr>
          <w:t xml:space="preserve">https://mtrconsult.com/news/early-coverage-scheme-digital-medical-devices-and-medical-telemonitoring-solutions-launched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3" w:name="fn5"/>
    <w:bookmarkEnd w:id="63"/>
    <w:p>
      <w:pPr>
        <w:numPr>
          <w:ilvl w:val="0"/>
          <w:numId w:val="6"/>
        </w:numPr>
        <w:spacing w:line="360" w:after="210" w:lineRule="auto"/>
      </w:pPr>
      <w:hyperlink r:id="rId10">
        <w:r>
          <w:rPr>
            <w:rFonts w:eastAsia="helvetica neue" w:cs="helvetica neue" w:ascii="helvetica neue" w:hAnsi="helvetica neue"/>
            <w:color w:val="#000"/>
            <w:sz w:val="18"/>
            <w:u w:val="single"/>
          </w:rPr>
          <w:t xml:space="preserve">https://www.icthealth.org/news/pecan-frances-fast-track-scheme-for-digital-health-applications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4" w:name="fn6"/>
    <w:bookmarkEnd w:id="64"/>
    <w:p>
      <w:pPr>
        <w:numPr>
          <w:ilvl w:val="0"/>
          <w:numId w:val="6"/>
        </w:numPr>
        <w:spacing w:line="360" w:after="210" w:lineRule="auto"/>
      </w:pPr>
      <w:hyperlink r:id="rId11">
        <w:r>
          <w:rPr>
            <w:rFonts w:eastAsia="helvetica neue" w:cs="helvetica neue" w:ascii="helvetica neue" w:hAnsi="helvetica neue"/>
            <w:color w:val="#000"/>
            <w:sz w:val="18"/>
            <w:u w:val="single"/>
          </w:rPr>
          <w:t xml:space="preserve">https://esante.gouv.fr/sites/default/files/media_entity/documents/rapport-telesurveillance-22072025.pdf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5" w:name="fn7"/>
    <w:bookmarkEnd w:id="65"/>
    <w:p>
      <w:pPr>
        <w:numPr>
          <w:ilvl w:val="0"/>
          <w:numId w:val="6"/>
        </w:numPr>
        <w:spacing w:line="360" w:after="210" w:lineRule="auto"/>
      </w:pPr>
      <w:hyperlink r:id="rId12">
        <w:r>
          <w:rPr>
            <w:rFonts w:eastAsia="helvetica neue" w:cs="helvetica neue" w:ascii="helvetica neue" w:hAnsi="helvetica neue"/>
            <w:color w:val="#000"/>
            <w:sz w:val="18"/>
            <w:u w:val="single"/>
          </w:rPr>
          <w:t xml:space="preserve">https://www.weka.fr/fiches-et-outils/telesurveillance-medicale-a-domicile-et-responsabilite-des-acteurs-de-soins-14126/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6" w:name="fn8"/>
    <w:bookmarkEnd w:id="66"/>
    <w:p>
      <w:pPr>
        <w:numPr>
          <w:ilvl w:val="0"/>
          <w:numId w:val="6"/>
        </w:numPr>
        <w:spacing w:line="360" w:after="210" w:lineRule="auto"/>
      </w:pPr>
      <w:hyperlink r:id="rId13">
        <w:r>
          <w:rPr>
            <w:rFonts w:eastAsia="helvetica neue" w:cs="helvetica neue" w:ascii="helvetica neue" w:hAnsi="helvetica neue"/>
            <w:color w:val="#000"/>
            <w:sz w:val="18"/>
            <w:u w:val="single"/>
          </w:rPr>
          <w:t xml:space="preserve">https://horizonviesanté.com/les-citoyens-francais-vont-pouvoir-controler-pleinement-leurs-donnees-de-sante-a-travers-leurope-grace-a-une-nouvelle-reglementation-europeenne/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7" w:name="fn9"/>
    <w:bookmarkEnd w:id="67"/>
    <w:p>
      <w:pPr>
        <w:numPr>
          <w:ilvl w:val="0"/>
          <w:numId w:val="6"/>
        </w:numPr>
        <w:spacing w:line="360" w:after="210" w:lineRule="auto"/>
      </w:pPr>
      <w:hyperlink r:id="rId14">
        <w:r>
          <w:rPr>
            <w:rFonts w:eastAsia="helvetica neue" w:cs="helvetica neue" w:ascii="helvetica neue" w:hAnsi="helvetica neue"/>
            <w:color w:val="#000"/>
            <w:sz w:val="18"/>
            <w:u w:val="single"/>
          </w:rPr>
          <w:t xml:space="preserve">https://presse.inserm.fr/suivi-des-maladies-chroniques-un-patient-sur-deux-serait-ouvert-a-la-teleconsultation/72085/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8" w:name="fn10"/>
    <w:bookmarkEnd w:id="68"/>
    <w:p>
      <w:pPr>
        <w:numPr>
          <w:ilvl w:val="0"/>
          <w:numId w:val="6"/>
        </w:numPr>
        <w:spacing w:line="360" w:after="210" w:lineRule="auto"/>
      </w:pPr>
      <w:hyperlink r:id="rId15">
        <w:r>
          <w:rPr>
            <w:rFonts w:eastAsia="helvetica neue" w:cs="helvetica neue" w:ascii="helvetica neue" w:hAnsi="helvetica neue"/>
            <w:color w:val="#000"/>
            <w:sz w:val="18"/>
            <w:u w:val="single"/>
          </w:rPr>
          <w:t xml:space="preserve">https://www.caducee.net/actualite-medicale/16571/la-telesurveillance-medicale-une-revolution-portee-par-les-patchs-connectes.html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9" w:name="fn11"/>
    <w:bookmarkEnd w:id="69"/>
    <w:p>
      <w:pPr>
        <w:numPr>
          <w:ilvl w:val="0"/>
          <w:numId w:val="6"/>
        </w:numPr>
        <w:spacing w:line="360" w:after="210" w:lineRule="auto"/>
      </w:pPr>
      <w:hyperlink r:id="rId16">
        <w:r>
          <w:rPr>
            <w:rFonts w:eastAsia="helvetica neue" w:cs="helvetica neue" w:ascii="helvetica neue" w:hAnsi="helvetica neue"/>
            <w:color w:val="#000"/>
            <w:sz w:val="18"/>
            <w:u w:val="single"/>
          </w:rPr>
          <w:t xml:space="preserve">https://pro.campus.sanofi/fr/amelioration-des-systemes-de-sante/articles/telesurveillance-medicale-ou-en-est-on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0" w:name="fn12"/>
    <w:bookmarkEnd w:id="70"/>
    <w:p>
      <w:pPr>
        <w:numPr>
          <w:ilvl w:val="0"/>
          <w:numId w:val="6"/>
        </w:numPr>
        <w:spacing w:line="360" w:after="210" w:lineRule="auto"/>
      </w:pPr>
      <w:hyperlink r:id="rId17">
        <w:r>
          <w:rPr>
            <w:rFonts w:eastAsia="helvetica neue" w:cs="helvetica neue" w:ascii="helvetica neue" w:hAnsi="helvetica neue"/>
            <w:color w:val="#000"/>
            <w:sz w:val="18"/>
            <w:u w:val="single"/>
          </w:rPr>
          <w:t xml:space="preserve">https://www.eppermed.eu/funding-projects/calls/ritc2026/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1" w:name="fn13"/>
    <w:bookmarkEnd w:id="71"/>
    <w:p>
      <w:pPr>
        <w:numPr>
          <w:ilvl w:val="0"/>
          <w:numId w:val="6"/>
        </w:numPr>
        <w:spacing w:line="360" w:after="210" w:lineRule="auto"/>
      </w:pPr>
      <w:hyperlink r:id="rId18">
        <w:r>
          <w:rPr>
            <w:rFonts w:eastAsia="helvetica neue" w:cs="helvetica neue" w:ascii="helvetica neue" w:hAnsi="helvetica neue"/>
            <w:color w:val="#000"/>
            <w:sz w:val="18"/>
            <w:u w:val="single"/>
          </w:rPr>
          <w:t xml:space="preserve">https://mutuelle.fr/actualites/ia-et-sante-connectee-les-mutuelles-seniors-et-le-maintien-a-domicile/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2" w:name="fn14"/>
    <w:bookmarkEnd w:id="72"/>
    <w:p>
      <w:pPr>
        <w:numPr>
          <w:ilvl w:val="0"/>
          <w:numId w:val="6"/>
        </w:numPr>
        <w:spacing w:line="360" w:after="210" w:lineRule="auto"/>
      </w:pPr>
      <w:hyperlink r:id="rId19">
        <w:r>
          <w:rPr>
            <w:rFonts w:eastAsia="helvetica neue" w:cs="helvetica neue" w:ascii="helvetica neue" w:hAnsi="helvetica neue"/>
            <w:color w:val="#000"/>
            <w:sz w:val="18"/>
            <w:u w:val="single"/>
          </w:rPr>
          <w:t xml:space="preserve">https://www.hospitalia.fr/Pr-Remi-Sabatier-la-telesurveillance-entre-promesses-et-defis_a4845.html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3" w:name="fn15"/>
    <w:bookmarkEnd w:id="73"/>
    <w:p>
      <w:pPr>
        <w:numPr>
          <w:ilvl w:val="0"/>
          <w:numId w:val="6"/>
        </w:numPr>
        <w:spacing w:line="360" w:after="210" w:lineRule="auto"/>
      </w:pPr>
      <w:hyperlink r:id="rId20">
        <w:r>
          <w:rPr>
            <w:rFonts w:eastAsia="helvetica neue" w:cs="helvetica neue" w:ascii="helvetica neue" w:hAnsi="helvetica neue"/>
            <w:color w:val="#000"/>
            <w:sz w:val="18"/>
            <w:u w:val="single"/>
          </w:rPr>
          <w:t xml:space="preserve">https://www.foundernest.com/insights/10-companies-focusing-on-the-remote-patient-monitoring-market-in-europe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4" w:name="fn16"/>
    <w:bookmarkEnd w:id="74"/>
    <w:p>
      <w:pPr>
        <w:numPr>
          <w:ilvl w:val="0"/>
          <w:numId w:val="6"/>
        </w:numPr>
        <w:spacing w:line="360" w:after="210" w:lineRule="auto"/>
      </w:pPr>
      <w:hyperlink r:id="rId21">
        <w:r>
          <w:rPr>
            <w:rFonts w:eastAsia="helvetica neue" w:cs="helvetica neue" w:ascii="helvetica neue" w:hAnsi="helvetica neue"/>
            <w:color w:val="#000"/>
            <w:sz w:val="18"/>
            <w:u w:val="single"/>
          </w:rPr>
          <w:t xml:space="preserve">https://www.linkedin.com/pulse/11-changes-shaping-eu-medtech-startups-2026-eren-irdiren-m-sc--tevyf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5" w:name="fn17"/>
    <w:bookmarkEnd w:id="75"/>
    <w:p>
      <w:pPr>
        <w:numPr>
          <w:ilvl w:val="0"/>
          <w:numId w:val="6"/>
        </w:numPr>
        <w:spacing w:line="360" w:after="210" w:lineRule="auto"/>
      </w:pPr>
      <w:hyperlink r:id="rId22">
        <w:r>
          <w:rPr>
            <w:rFonts w:eastAsia="helvetica neue" w:cs="helvetica neue" w:ascii="helvetica neue" w:hAnsi="helvetica neue"/>
            <w:color w:val="#000"/>
            <w:sz w:val="18"/>
            <w:u w:val="single"/>
          </w:rPr>
          <w:t xml:space="preserve">https://www.carenews.com/vyv-3/news/municipales-2026-la-sante-et-l-acces-aux-soins-au-coeur-des-preoccupations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6" w:name="fn18"/>
    <w:bookmarkEnd w:id="76"/>
    <w:p>
      <w:pPr>
        <w:numPr>
          <w:ilvl w:val="0"/>
          <w:numId w:val="6"/>
        </w:numPr>
        <w:spacing w:line="360" w:after="210" w:lineRule="auto"/>
      </w:pPr>
      <w:hyperlink r:id="rId23">
        <w:r>
          <w:rPr>
            <w:rFonts w:eastAsia="helvetica neue" w:cs="helvetica neue" w:ascii="helvetica neue" w:hAnsi="helvetica neue"/>
            <w:color w:val="#000"/>
            <w:sz w:val="18"/>
            <w:u w:val="single"/>
          </w:rPr>
          <w:t xml:space="preserve">https://www.vidal.fr/infos-pratiques/telesante-telesurveillance-medecins-liberaux-id16625.html</w:t>
        </w:r>
      </w:hyperlink>
      <w:r>
        <w:rPr>
          <w:rFonts w:eastAsia="georgia" w:cs="georgia" w:ascii="georgia" w:hAnsi="georgia"/>
          <w:color w:val="000000"/>
          <w:sz w:val="18"/>
        </w:rPr>
        <w:t xml:space="preserve"> </w:t>
      </w:r>
    </w:p>
    <w:bookmarkStart w:id="77" w:name="fn19"/>
    <w:bookmarkEnd w:id="77"/>
    <w:p>
      <w:pPr>
        <w:numPr>
          <w:ilvl w:val="0"/>
          <w:numId w:val="6"/>
        </w:numPr>
        <w:spacing w:line="360" w:after="210" w:lineRule="auto"/>
      </w:pPr>
      <w:hyperlink r:id="rId24">
        <w:r>
          <w:rPr>
            <w:rFonts w:eastAsia="helvetica neue" w:cs="helvetica neue" w:ascii="helvetica neue" w:hAnsi="helvetica neue"/>
            <w:color w:val="#000"/>
            <w:sz w:val="18"/>
            <w:u w:val="single"/>
          </w:rPr>
          <w:t xml:space="preserve">https://www.smartermedicine.ch/fr/liste-top-5/translate-to-franzoesisch-spitex-pflege-2026</w:t>
        </w:r>
      </w:hyperlink>
      <w:r>
        <w:rPr>
          <w:rFonts w:eastAsia="georgia" w:cs="georgia" w:ascii="georgia" w:hAnsi="georgia"/>
          <w:color w:val="000000"/>
          <w:sz w:val="18"/>
        </w:rPr>
        <w:t xml:space="preserve"> </w:t>
      </w:r>
    </w:p>
    <w:bookmarkStart w:id="78" w:name="fn20"/>
    <w:bookmarkEnd w:id="78"/>
    <w:p>
      <w:pPr>
        <w:numPr>
          <w:ilvl w:val="0"/>
          <w:numId w:val="6"/>
        </w:numPr>
        <w:spacing w:line="360" w:after="210" w:lineRule="auto"/>
      </w:pPr>
      <w:hyperlink r:id="rId25">
        <w:r>
          <w:rPr>
            <w:rFonts w:eastAsia="helvetica neue" w:cs="helvetica neue" w:ascii="helvetica neue" w:hAnsi="helvetica neue"/>
            <w:color w:val="#000"/>
            <w:sz w:val="18"/>
            <w:u w:val="single"/>
          </w:rPr>
          <w:t xml:space="preserve">https://meditechaccess.com/fr/actualites/</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d04bea752f93d97acd4cd2b40966dfdef0ab4e1.png" TargetMode="Internal"/><Relationship Id="rId6" Type="http://schemas.openxmlformats.org/officeDocument/2006/relationships/hyperlink" Target="https://www.legifrance.gouv.fr/jorf/id/JORFTEXT000053619011" TargetMode="External"/><Relationship Id="rId7" Type="http://schemas.openxmlformats.org/officeDocument/2006/relationships/hyperlink" Target="https://www.legifrance.gouv.fr/jorf/article_jo/JORFARTI000053619050" TargetMode="External"/><Relationship Id="rId8" Type="http://schemas.openxmlformats.org/officeDocument/2006/relationships/hyperlink" Target="https://gnius.esante.gouv.fr/en/financing/reimbursement-profiles/remote-monitoring-reimbursement" TargetMode="External"/><Relationship Id="rId9" Type="http://schemas.openxmlformats.org/officeDocument/2006/relationships/hyperlink" Target="https://mtrconsult.com/news/early-coverage-scheme-digital-medical-devices-and-medical-telemonitoring-solutions-launched" TargetMode="External"/><Relationship Id="rId10" Type="http://schemas.openxmlformats.org/officeDocument/2006/relationships/hyperlink" Target="https://www.icthealth.org/news/pecan-frances-fast-track-scheme-for-digital-health-applications" TargetMode="External"/><Relationship Id="rId11" Type="http://schemas.openxmlformats.org/officeDocument/2006/relationships/hyperlink" Target="https://esante.gouv.fr/sites/default/files/media_entity/documents/rapport-telesurveillance-22072025.pdf" TargetMode="External"/><Relationship Id="rId12" Type="http://schemas.openxmlformats.org/officeDocument/2006/relationships/hyperlink" Target="https://www.weka.fr/fiches-et-outils/telesurveillance-medicale-a-domicile-et-responsabilite-des-acteurs-de-soins-14126/" TargetMode="External"/><Relationship Id="rId13" Type="http://schemas.openxmlformats.org/officeDocument/2006/relationships/hyperlink" Target="https://xn--horizonviesant-okb.com/les-citoyens-francais-vont-pouvoir-controler-pleinement-leurs-donnees-de-sante-a-travers-leurope-grace-a-une-nouvelle-reglementation-europeenne/" TargetMode="External"/><Relationship Id="rId14" Type="http://schemas.openxmlformats.org/officeDocument/2006/relationships/hyperlink" Target="https://presse.inserm.fr/suivi-des-maladies-chroniques-un-patient-sur-deux-serait-ouvert-a-la-teleconsultation/72085/" TargetMode="External"/><Relationship Id="rId15" Type="http://schemas.openxmlformats.org/officeDocument/2006/relationships/hyperlink" Target="https://www.caducee.net/actualite-medicale/16571/la-telesurveillance-medicale-une-revolution-portee-par-les-patchs-connectes.html" TargetMode="External"/><Relationship Id="rId16" Type="http://schemas.openxmlformats.org/officeDocument/2006/relationships/hyperlink" Target="https://pro.campus.sanofi/fr/amelioration-des-systemes-de-sante/articles/telesurveillance-medicale-ou-en-est-on" TargetMode="External"/><Relationship Id="rId17" Type="http://schemas.openxmlformats.org/officeDocument/2006/relationships/hyperlink" Target="https://www.eppermed.eu/funding-projects/calls/ritc2026/" TargetMode="External"/><Relationship Id="rId18" Type="http://schemas.openxmlformats.org/officeDocument/2006/relationships/hyperlink" Target="https://mutuelle.fr/actualites/ia-et-sante-connectee-les-mutuelles-seniors-et-le-maintien-a-domicile/" TargetMode="External"/><Relationship Id="rId19" Type="http://schemas.openxmlformats.org/officeDocument/2006/relationships/hyperlink" Target="https://www.hospitalia.fr/Pr-Remi-Sabatier-la-telesurveillance-entre-promesses-et-defis_a4845.html" TargetMode="External"/><Relationship Id="rId20" Type="http://schemas.openxmlformats.org/officeDocument/2006/relationships/hyperlink" Target="https://www.foundernest.com/insights/10-companies-focusing-on-the-remote-patient-monitoring-market-in-europe" TargetMode="External"/><Relationship Id="rId21" Type="http://schemas.openxmlformats.org/officeDocument/2006/relationships/hyperlink" Target="https://www.linkedin.com/pulse/11-changes-shaping-eu-medtech-startups-2026-eren-irdiren-m-sc--tevyf" TargetMode="External"/><Relationship Id="rId22" Type="http://schemas.openxmlformats.org/officeDocument/2006/relationships/hyperlink" Target="https://www.carenews.com/vyv-3/news/municipales-2026-la-sante-et-l-acces-aux-soins-au-coeur-des-preoccupations" TargetMode="External"/><Relationship Id="rId23" Type="http://schemas.openxmlformats.org/officeDocument/2006/relationships/hyperlink" Target="https://www.vidal.fr/infos-pratiques/telesante-telesurveillance-medecins-liberaux-id16625.html" TargetMode="External"/><Relationship Id="rId24" Type="http://schemas.openxmlformats.org/officeDocument/2006/relationships/hyperlink" Target="https://www.smartermedicine.ch/fr/liste-top-5/translate-to-franzoesisch-spitex-pflege-2026" TargetMode="External"/><Relationship Id="rId25" Type="http://schemas.openxmlformats.org/officeDocument/2006/relationships/hyperlink" Target="https://meditechaccess.com/fr/actualit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2026-03-22T13:55:08.588Z</dcterms:created>
  <dcterms:modified xsi:type="dcterms:W3CDTF">2026-03-22T13:55:08.588Z</dcterms:modified>
</cp:coreProperties>
</file>