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SME Panel Review Actions</w:t>
      </w:r>
    </w:p>
    <w:p>
      <w:pPr>
        <w:jc w:val="center"/>
      </w:pPr>
      <w:r>
        <w:t>To Be Completed Today - 18 January 2026</w:t>
      </w:r>
    </w:p>
    <w:p/>
    <w:p>
      <w:r>
        <w:rPr>
          <w:b/>
        </w:rPr>
        <w:t xml:space="preserve">Total Actions Selected: </w:t>
      </w:r>
      <w:r>
        <w:t>107 items</w:t>
        <w:br/>
      </w:r>
      <w:r>
        <w:rPr>
          <w:b/>
        </w:rPr>
        <w:t xml:space="preserve">Source: </w:t>
      </w:r>
      <w:r>
        <w:t>CEO KPI Report SME Recommendations + Development Pathway</w:t>
        <w:br/>
      </w:r>
      <w:r>
        <w:rPr>
          <w:b/>
        </w:rPr>
        <w:t xml:space="preserve">Status: </w:t>
      </w:r>
      <w:r>
        <w:t>Logged for Implementation</w:t>
      </w:r>
    </w:p>
    <w:p/>
    <w:p>
      <w:pPr>
        <w:pStyle w:val="Heading1"/>
      </w:pPr>
      <w:r>
        <w:t>Section 1: SME Panel Actions (20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SME Reviewer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Panel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Dr Sarah Chen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Cloud Architecture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Implement edge caching for global latency reduction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Marcus Webb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AI Systems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Add model versioning and A/B testing framework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Elena Rodriguez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Implement zero-trust architecture for API layer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Thomas Eriksson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Optimize database queries for scale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Lisa Park</w:t>
            </w:r>
          </w:p>
        </w:tc>
        <w:tc>
          <w:tcPr>
            <w:tcW w:type="dxa" w:w="1440"/>
          </w:tcPr>
          <w:p>
            <w:r>
              <w:t>UI/UX</w:t>
            </w:r>
          </w:p>
        </w:tc>
        <w:tc>
          <w:tcPr>
            <w:tcW w:type="dxa" w:w="1440"/>
          </w:tcPr>
          <w:p>
            <w:r>
              <w:t>UX Research</w:t>
            </w:r>
          </w:p>
        </w:tc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Conduct usability testing with 20+ users monthly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David Müller</w:t>
            </w:r>
          </w:p>
        </w:tc>
        <w:tc>
          <w:tcPr>
            <w:tcW w:type="dxa" w:w="1440"/>
          </w:tcPr>
          <w:p>
            <w:r>
              <w:t>UI/UX</w:t>
            </w:r>
          </w:p>
        </w:tc>
        <w:tc>
          <w:tcPr>
            <w:tcW w:type="dxa" w:w="1440"/>
          </w:tcPr>
          <w:p>
            <w:r>
              <w:t>Interaction Design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Reduce cognitive load in complex workflows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Sophie Laurent</w:t>
            </w:r>
          </w:p>
        </w:tc>
        <w:tc>
          <w:tcPr>
            <w:tcW w:type="dxa" w:w="1440"/>
          </w:tcPr>
          <w:p>
            <w:r>
              <w:t>UI/UX</w:t>
            </w:r>
          </w:p>
        </w:tc>
        <w:tc>
          <w:tcPr>
            <w:tcW w:type="dxa" w:w="1440"/>
          </w:tcPr>
          <w:p>
            <w:r>
              <w:t>Visual Design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Strengthen brand consistency in micro-interactions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Michael Santos</w:t>
            </w:r>
          </w:p>
        </w:tc>
        <w:tc>
          <w:tcPr>
            <w:tcW w:type="dxa" w:w="1440"/>
          </w:tcPr>
          <w:p>
            <w:r>
              <w:t>UI/UX</w:t>
            </w:r>
          </w:p>
        </w:tc>
        <w:tc>
          <w:tcPr>
            <w:tcW w:type="dxa" w:w="1440"/>
          </w:tcPr>
          <w:p>
            <w:r>
              <w:t>Design Systems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Document component library for consistency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Michael Torres</w:t>
            </w:r>
          </w:p>
        </w:tc>
        <w:tc>
          <w:tcPr>
            <w:tcW w:type="dxa" w:w="1440"/>
          </w:tcPr>
          <w:p>
            <w:r>
              <w:t>Strategy</w:t>
            </w:r>
          </w:p>
        </w:tc>
        <w:tc>
          <w:tcPr>
            <w:tcW w:type="dxa" w:w="1440"/>
          </w:tcPr>
          <w:p>
            <w:r>
              <w:t>Investment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Prepare investor deck for Series A readiness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Dr Helen Wright</w:t>
            </w:r>
          </w:p>
        </w:tc>
        <w:tc>
          <w:tcPr>
            <w:tcW w:type="dxa" w:w="1440"/>
          </w:tcPr>
          <w:p>
            <w:r>
              <w:t>Strategy</w:t>
            </w:r>
          </w:p>
        </w:tc>
        <w:tc>
          <w:tcPr>
            <w:tcW w:type="dxa" w:w="1440"/>
          </w:tcPr>
          <w:p>
            <w:r>
              <w:t>Competitive Intel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Establish monthly competitor tracking dashboard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Jonathan Blake</w:t>
            </w:r>
          </w:p>
        </w:tc>
        <w:tc>
          <w:tcPr>
            <w:tcW w:type="dxa" w:w="1440"/>
          </w:tcPr>
          <w:p>
            <w:r>
              <w:t>Strategy</w:t>
            </w:r>
          </w:p>
        </w:tc>
        <w:tc>
          <w:tcPr>
            <w:tcW w:type="dxa" w:w="1440"/>
          </w:tcPr>
          <w:p>
            <w:r>
              <w:t>M&amp;A Advisory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Identify potential acquisition targets in AI space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Carlos Mendez</w:t>
            </w:r>
          </w:p>
        </w:tc>
        <w:tc>
          <w:tcPr>
            <w:tcW w:type="dxa" w:w="1440"/>
          </w:tcPr>
          <w:p>
            <w:r>
              <w:t>Operations</w:t>
            </w:r>
          </w:p>
        </w:tc>
        <w:tc>
          <w:tcPr>
            <w:tcW w:type="dxa" w:w="1440"/>
          </w:tcPr>
          <w:p>
            <w:r>
              <w:t>Process Engineer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Implement continuous improvement framework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Diana Patel</w:t>
            </w:r>
          </w:p>
        </w:tc>
        <w:tc>
          <w:tcPr>
            <w:tcW w:type="dxa" w:w="1440"/>
          </w:tcPr>
          <w:p>
            <w:r>
              <w:t>Finance</w:t>
            </w:r>
          </w:p>
        </w:tc>
        <w:tc>
          <w:tcPr>
            <w:tcW w:type="dxa" w:w="1440"/>
          </w:tcPr>
          <w:p>
            <w:r>
              <w:t>Investor Relations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Create monthly investor update cadence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Emma Wilson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Customer Success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Implement proactive health scoring for accounts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Rachel Green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Customer Research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Launch NPS program with quarterly surveys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Daniel Brown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Community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Build customer community with 1000+ members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William Taylor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Retention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Implement churn prediction model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Patrick Sullivan</w:t>
            </w:r>
          </w:p>
        </w:tc>
        <w:tc>
          <w:tcPr>
            <w:tcW w:type="dxa" w:w="1440"/>
          </w:tcPr>
          <w:p>
            <w:r>
              <w:t>Legal</w:t>
            </w:r>
          </w:p>
        </w:tc>
        <w:tc>
          <w:tcPr>
            <w:tcW w:type="dxa" w:w="1440"/>
          </w:tcPr>
          <w:p>
            <w:r>
              <w:t>Compliance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Implement GDPR compliance automation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Natalie Chen</w:t>
            </w:r>
          </w:p>
        </w:tc>
        <w:tc>
          <w:tcPr>
            <w:tcW w:type="dxa" w:w="1440"/>
          </w:tcPr>
          <w:p>
            <w:r>
              <w:t>Legal</w:t>
            </w:r>
          </w:p>
        </w:tc>
        <w:tc>
          <w:tcPr>
            <w:tcW w:type="dxa" w:w="1440"/>
          </w:tcPr>
          <w:p>
            <w:r>
              <w:t>Privacy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Conduct annual privacy impact assessments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Andrew Walsh</w:t>
            </w:r>
          </w:p>
        </w:tc>
        <w:tc>
          <w:tcPr>
            <w:tcW w:type="dxa" w:w="1440"/>
          </w:tcPr>
          <w:p>
            <w:r>
              <w:t>Legal</w:t>
            </w:r>
          </w:p>
        </w:tc>
        <w:tc>
          <w:tcPr>
            <w:tcW w:type="dxa" w:w="1440"/>
          </w:tcPr>
          <w:p>
            <w:r>
              <w:t>Corporate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Establish board advisory committee</w:t>
            </w:r>
          </w:p>
        </w:tc>
      </w:tr>
    </w:tbl>
    <w:p/>
    <w:p>
      <w:pPr>
        <w:pStyle w:val="Heading1"/>
      </w:pPr>
      <w:r>
        <w:t>Section 2: Morning Signal System (32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Connect ElevenLabs TTS to daily signal content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Create voice briefing script generator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Add voice note player to Morning Signal page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Store generated audio files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Connect AI avatar video generation to daily signal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Create video script from signal content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Generate avatar video presentation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Add video player to Morning Signal page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Generate branded PDF using CEPHO design guidelines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Include all signal sections in PDF format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Add download button to Morning Signal page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Store generated PDFs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All outputs pass through Chief of Staff validation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Check design guidelines compliance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Verify content quality before delivery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Log all outputs for COS learning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Ensure all parts work together seamlessly end-to-end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Single trigger generates all three formats (voice, video, PDF)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Consistent content across all formats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Unified delivery mechanism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Error handling across the pipeline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Progress tracking for multi-format generation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Fallback if one format fails (others still deliver)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Define CEPHO voice tone profile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Create tone guidelines for different content types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Build tone matching system against user preferences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Implement urgency detection and appropriate delivery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Avoid monotone - vary pace and emphasis naturally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Create script structure templates (hook, body, close)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Define attention span guidelines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Build engagement hooks library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Implement boredom prevention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/>
    <w:p>
      <w:pPr>
        <w:pStyle w:val="Heading1"/>
      </w:pPr>
      <w:r>
        <w:t>Section 3: Content Quality SME Panel (12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Script Writer SME - review all scripts before generation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Film Director SME - advise on visual pacing and imagery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Voice Director SME - guide tone and delivery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Engagement Expert SME - optimize for attention retention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Optimize ElevenLabs voice settings for CEPHO tone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Implement dynamic pacing in voice scripts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Add emphasis markers for key points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Create voice style presets (briefing, urgent, casual)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Test and refine voice output quality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Define visual pacing guidelines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Create imagery prompts for key moments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Build transition and visual hook library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/>
    <w:p>
      <w:pPr>
        <w:pStyle w:val="Heading1"/>
      </w:pPr>
      <w:r>
        <w:t>Section 4: Quality Assurance System (10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Define engagement metrics for each format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Build feedback loop for continuous improvement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Track attention retention data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A/B test different approaches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COS reviews all outputs against quality standards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Daily Signal (voice, video, PDF) quality check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Project briefings quality check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SME consultations quality check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Reports and presentations quality check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All external communications quality check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/>
    <w:p>
      <w:pPr>
        <w:pStyle w:val="Heading1"/>
      </w:pPr>
      <w:r>
        <w:t>Section 5: Digital Twin Questionnaire System (10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114</w:t>
            </w:r>
          </w:p>
        </w:tc>
        <w:tc>
          <w:tcPr>
            <w:tcW w:type="dxa" w:w="2160"/>
          </w:tcPr>
          <w:p>
            <w:r>
              <w:t>Add 200-question Digital Twin questionnaire to onboarding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Create database table to store questionnaire responses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Build questionnaire UI component with progress tracking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117</w:t>
            </w:r>
          </w:p>
        </w:tc>
        <w:tc>
          <w:tcPr>
            <w:tcW w:type="dxa" w:w="2160"/>
          </w:tcPr>
          <w:p>
            <w:r>
              <w:t>Split questionnaire into digestible sections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118</w:t>
            </w:r>
          </w:p>
        </w:tc>
        <w:tc>
          <w:tcPr>
            <w:tcW w:type="dxa" w:w="2160"/>
          </w:tcPr>
          <w:p>
            <w:r>
              <w:t>Store responses and calculate user profile scores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Generate Digital Twin profile from questionnaire responses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Show COS Understanding Level based on completion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Allow users to update answers over time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Use questionnaire data to personalize COS behavior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Make questionnaire completion part of Getting to 100 score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/>
    <w:p>
      <w:pPr>
        <w:pStyle w:val="Heading1"/>
      </w:pPr>
      <w:r>
        <w:t>Section 6: Chief of Staff KPI Dashboard (6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124</w:t>
            </w:r>
          </w:p>
        </w:tc>
        <w:tc>
          <w:tcPr>
            <w:tcW w:type="dxa" w:w="2160"/>
          </w:tcPr>
          <w:p>
            <w:r>
              <w:t>Create ChiefOfStaffKPIReport component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Build SME Performance Heatmap with color-coded scoring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Create Business Area Scoring Table with all SME rankings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t>Implement Enhancement Recommendations engine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Add export functionality for report (PDF/CSV)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129</w:t>
            </w:r>
          </w:p>
        </w:tc>
        <w:tc>
          <w:tcPr>
            <w:tcW w:type="dxa" w:w="2160"/>
          </w:tcPr>
          <w:p>
            <w:r>
              <w:t>Integrate report into Chief of Staff page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/>
    <w:p>
      <w:pPr>
        <w:pStyle w:val="Heading1"/>
      </w:pPr>
      <w:r>
        <w:t>Section 7: Process Documentation (10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Build process flow document showing each step visually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131</w:t>
            </w:r>
          </w:p>
        </w:tc>
        <w:tc>
          <w:tcPr>
            <w:tcW w:type="dxa" w:w="2160"/>
          </w:tcPr>
          <w:p>
            <w:r>
              <w:t>Add decision points and branches in the flow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132</w:t>
            </w:r>
          </w:p>
        </w:tc>
        <w:tc>
          <w:tcPr>
            <w:tcW w:type="dxa" w:w="2160"/>
          </w:tcPr>
          <w:p>
            <w:r>
              <w:t>Add imagery cues for video scripts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Implement attention retention techniques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Add B-roll and visual variety guidance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Daily Signal application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Project briefings application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137</w:t>
            </w:r>
          </w:p>
        </w:tc>
        <w:tc>
          <w:tcPr>
            <w:tcW w:type="dxa" w:w="2160"/>
          </w:tcPr>
          <w:p>
            <w:r>
              <w:t>SME consultations application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Reports and presentations application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139</w:t>
            </w:r>
          </w:p>
        </w:tc>
        <w:tc>
          <w:tcPr>
            <w:tcW w:type="dxa" w:w="2160"/>
          </w:tcPr>
          <w:p>
            <w:r>
              <w:t>All external communications application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/>
    <w:p>
      <w:pPr>
        <w:pStyle w:val="Heading1"/>
      </w:pPr>
      <w:r>
        <w:t>Section 8: Additional Items (7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143</w:t>
            </w:r>
          </w:p>
        </w:tc>
        <w:tc>
          <w:tcPr>
            <w:tcW w:type="dxa" w:w="2160"/>
          </w:tcPr>
          <w:p>
            <w:r>
              <w:t>Active learning mode with screen observation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Label and thread management for Gmail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145</w:t>
            </w:r>
          </w:p>
        </w:tc>
        <w:tc>
          <w:tcPr>
            <w:tcW w:type="dxa" w:w="2160"/>
          </w:tcPr>
          <w:p>
            <w:r>
              <w:t>Push notifications for new emails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146</w:t>
            </w:r>
          </w:p>
        </w:tc>
        <w:tc>
          <w:tcPr>
            <w:tcW w:type="dxa" w:w="2160"/>
          </w:tcPr>
          <w:p>
            <w:r>
              <w:t>Real-time webhook for new emails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147</w:t>
            </w:r>
          </w:p>
        </w:tc>
        <w:tc>
          <w:tcPr>
            <w:tcW w:type="dxa" w:w="2160"/>
          </w:tcPr>
          <w:p>
            <w:r>
              <w:t>Custom domain setup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/>
    <w:p>
      <w:pPr>
        <w:pStyle w:val="Heading1"/>
      </w:pPr>
      <w:r>
        <w:t>Summary by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Items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P2/P3</w:t>
            </w:r>
          </w:p>
        </w:tc>
      </w:tr>
      <w:tr>
        <w:tc>
          <w:tcPr>
            <w:tcW w:type="dxa" w:w="2160"/>
          </w:tcPr>
          <w:p>
            <w:r>
              <w:t>SME Panel Actions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Morning Signal System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Content Quality SME Panel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Quality Assurance System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Digital Twin Questionnaire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Chief of Staff KPI Dashboard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Process Documentation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Additional Items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83</w:t>
            </w:r>
          </w:p>
        </w:tc>
      </w:tr>
    </w:tbl>
    <w:p/>
    <w:p>
      <w:r>
        <w:rPr>
          <w:b/>
        </w:rPr>
        <w:t xml:space="preserve">Report Generated: </w:t>
      </w:r>
      <w:r>
        <w:t>18 January 2026 | 13:30 GMT+4</w:t>
        <w:br/>
      </w:r>
      <w:r>
        <w:rPr>
          <w:b/>
        </w:rPr>
        <w:t xml:space="preserve">Logged by: </w:t>
      </w:r>
      <w:r>
        <w:t>Chief of Staff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