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7C3AED"/>
          <w:sz w:val="72"/>
        </w:rPr>
        <w:t>CEPHO.AI</w:t>
      </w:r>
    </w:p>
    <w:p>
      <w:pPr>
        <w:jc w:val="center"/>
      </w:pPr>
      <w:r>
        <w:rPr>
          <w:rFonts w:ascii="Calibri" w:hAnsi="Calibri"/>
          <w:b/>
          <w:color w:val="2D1B69"/>
          <w:sz w:val="40"/>
        </w:rPr>
        <w:t>The Grand Master Plan — The Definitive Final Edition</w:t>
      </w:r>
    </w:p>
    <w:p/>
    <w:p>
      <w:pPr>
        <w:jc w:val="center"/>
      </w:pPr>
      <w:r>
        <w:rPr>
          <w:rFonts w:ascii="Calibri" w:hAnsi="Calibri"/>
          <w:color w:val="6B7280"/>
          <w:sz w:val="22"/>
        </w:rPr>
        <w:t>Version 10.0  |  March 2026  |  CONFIDENTIAL</w:t>
      </w:r>
    </w:p>
    <w:p/>
    <w:p>
      <w:pPr>
        <w:jc w:val="center"/>
      </w:pPr>
      <w:r>
        <w:rPr>
          <w:rFonts w:ascii="Calibri" w:hAnsi="Calibri"/>
          <w:b/>
          <w:color w:val="7C3AED"/>
          <w:sz w:val="24"/>
        </w:rPr>
        <w:t>The definitive, single source of truth for building a world-class, enterprise-grade AI Chief of Staff platform. There are no gaps remaining.</w:t>
      </w:r>
    </w:p>
    <w:p>
      <w:r>
        <w:br w:type="page"/>
      </w:r>
    </w:p>
    <w:p>
      <w:pPr>
        <w:pStyle w:val="Heading1"/>
        <w:jc w:val="left"/>
      </w:pPr>
      <w:r>
        <w:rPr>
          <w:rFonts w:ascii="Calibri" w:hAnsi="Calibri"/>
          <w:color w:val="059669"/>
        </w:rPr>
        <w:t>What's New in v10.0: The 5 Final Gaps Closed</w:t>
      </w:r>
    </w:p>
    <w:p>
      <w:r>
        <w:rPr>
          <w:rFonts w:ascii="Calibri" w:hAnsi="Calibri"/>
          <w:b w:val="0"/>
          <w:i w:val="0"/>
          <w:sz w:val="20"/>
        </w:rPr>
        <w:t>This definitive v10.0 plan is the result of a final, comprehensive review of the entire platform architecture. It closes the 5 remaining gaps between the v9.0 plan and a truly world-class, enterprise-grade platform, providing the connective tissue required for robust management, professional presentation, and operational excellence.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Gap #</w:t>
            </w:r>
          </w:p>
        </w:tc>
        <w:tc>
          <w:tcPr>
            <w:tcW w:type="dxa" w:w="3135"/>
            <w:shd w:val="clear" w:color="auto" w:fill="2D1B69"/>
          </w:tcPr>
          <w:p>
            <w:r>
              <w:rPr>
                <w:rFonts w:ascii="Calibri" w:hAnsi="Calibri"/>
                <w:b/>
                <w:color w:val="FFFFFF"/>
                <w:sz w:val="18"/>
              </w:rPr>
              <w:t>The Gap</w:t>
            </w:r>
          </w:p>
        </w:tc>
        <w:tc>
          <w:tcPr>
            <w:tcW w:type="dxa" w:w="3135"/>
            <w:shd w:val="clear" w:color="auto" w:fill="2D1B69"/>
          </w:tcPr>
          <w:p>
            <w:r>
              <w:rPr>
                <w:rFonts w:ascii="Calibri" w:hAnsi="Calibri"/>
                <w:b/>
                <w:color w:val="FFFFFF"/>
                <w:sz w:val="18"/>
              </w:rPr>
              <w:t>The Solution (New in v10.0)</w:t>
            </w:r>
          </w:p>
        </w:tc>
      </w:tr>
      <w:tr>
        <w:tc>
          <w:tcPr>
            <w:tcW w:type="dxa" w:w="3135"/>
            <w:shd w:val="clear" w:color="auto" w:fill="F5F3FF"/>
          </w:tcPr>
          <w:p>
            <w:r>
              <w:rPr>
                <w:rFonts w:ascii="Calibri" w:hAnsi="Calibri"/>
                <w:sz w:val="18"/>
              </w:rPr>
              <w:t>1</w:t>
            </w:r>
          </w:p>
        </w:tc>
        <w:tc>
          <w:tcPr>
            <w:tcW w:type="dxa" w:w="3135"/>
            <w:shd w:val="clear" w:color="auto" w:fill="F5F3FF"/>
          </w:tcPr>
          <w:p>
            <w:r>
              <w:rPr>
                <w:rFonts w:ascii="Calibri" w:hAnsi="Calibri"/>
                <w:sz w:val="18"/>
              </w:rPr>
              <w:t>No Central Settings &amp; Permissions Engine</w:t>
            </w:r>
          </w:p>
        </w:tc>
        <w:tc>
          <w:tcPr>
            <w:tcW w:type="dxa" w:w="3135"/>
            <w:shd w:val="clear" w:color="auto" w:fill="F5F3FF"/>
          </w:tcPr>
          <w:p>
            <w:r>
              <w:rPr>
                <w:rFonts w:ascii="Calibri" w:hAnsi="Calibri"/>
                <w:sz w:val="18"/>
              </w:rPr>
              <w:t>Appendix T: A full specification for a role-based access control (RBAC) system and a hierarchical settings engine.</w:t>
            </w:r>
          </w:p>
        </w:tc>
      </w:tr>
      <w:tr>
        <w:tc>
          <w:tcPr>
            <w:tcW w:type="dxa" w:w="3135"/>
            <w:shd w:val="clear" w:color="auto" w:fill="FFFFFF"/>
          </w:tcPr>
          <w:p>
            <w:r>
              <w:rPr>
                <w:rFonts w:ascii="Calibri" w:hAnsi="Calibri"/>
                <w:sz w:val="18"/>
              </w:rPr>
              <w:t>2</w:t>
            </w:r>
          </w:p>
        </w:tc>
        <w:tc>
          <w:tcPr>
            <w:tcW w:type="dxa" w:w="3135"/>
            <w:shd w:val="clear" w:color="auto" w:fill="FFFFFF"/>
          </w:tcPr>
          <w:p>
            <w:r>
              <w:rPr>
                <w:rFonts w:ascii="Calibri" w:hAnsi="Calibri"/>
                <w:sz w:val="18"/>
              </w:rPr>
              <w:t>No Standardized Document Templating</w:t>
            </w:r>
          </w:p>
        </w:tc>
        <w:tc>
          <w:tcPr>
            <w:tcW w:type="dxa" w:w="3135"/>
            <w:shd w:val="clear" w:color="auto" w:fill="FFFFFF"/>
          </w:tcPr>
          <w:p>
            <w:r>
              <w:rPr>
                <w:rFonts w:ascii="Calibri" w:hAnsi="Calibri"/>
                <w:sz w:val="18"/>
              </w:rPr>
              <w:t>Appendix U: A new, dedicated service to apply consistent, professional branding and formatting to all generated documents.</w:t>
            </w:r>
          </w:p>
        </w:tc>
      </w:tr>
      <w:tr>
        <w:tc>
          <w:tcPr>
            <w:tcW w:type="dxa" w:w="3135"/>
            <w:shd w:val="clear" w:color="auto" w:fill="F5F3FF"/>
          </w:tcPr>
          <w:p>
            <w:r>
              <w:rPr>
                <w:rFonts w:ascii="Calibri" w:hAnsi="Calibri"/>
                <w:sz w:val="18"/>
              </w:rPr>
              <w:t>3</w:t>
            </w:r>
          </w:p>
        </w:tc>
        <w:tc>
          <w:tcPr>
            <w:tcW w:type="dxa" w:w="3135"/>
            <w:shd w:val="clear" w:color="auto" w:fill="F5F3FF"/>
          </w:tcPr>
          <w:p>
            <w:r>
              <w:rPr>
                <w:rFonts w:ascii="Calibri" w:hAnsi="Calibri"/>
                <w:sz w:val="18"/>
              </w:rPr>
              <w:t>No "God Mode" Admin Dashboard</w:t>
            </w:r>
          </w:p>
        </w:tc>
        <w:tc>
          <w:tcPr>
            <w:tcW w:type="dxa" w:w="3135"/>
            <w:shd w:val="clear" w:color="auto" w:fill="F5F3FF"/>
          </w:tcPr>
          <w:p>
            <w:r>
              <w:rPr>
                <w:rFonts w:ascii="Calibri" w:hAnsi="Calibri"/>
                <w:sz w:val="18"/>
              </w:rPr>
              <w:t>Phase 8: A new, final phase dedicated to building a secure admin dashboard for full operational control and visibility.</w:t>
            </w:r>
          </w:p>
        </w:tc>
      </w:tr>
      <w:tr>
        <w:tc>
          <w:tcPr>
            <w:tcW w:type="dxa" w:w="3135"/>
            <w:shd w:val="clear" w:color="auto" w:fill="FFFFFF"/>
          </w:tcPr>
          <w:p>
            <w:r>
              <w:rPr>
                <w:rFonts w:ascii="Calibri" w:hAnsi="Calibri"/>
                <w:sz w:val="18"/>
              </w:rPr>
              <w:t>4</w:t>
            </w:r>
          </w:p>
        </w:tc>
        <w:tc>
          <w:tcPr>
            <w:tcW w:type="dxa" w:w="3135"/>
            <w:shd w:val="clear" w:color="auto" w:fill="FFFFFF"/>
          </w:tcPr>
          <w:p>
            <w:r>
              <w:rPr>
                <w:rFonts w:ascii="Calibri" w:hAnsi="Calibri"/>
                <w:sz w:val="18"/>
              </w:rPr>
              <w:t>No Guided Onboarding Flow</w:t>
            </w:r>
          </w:p>
        </w:tc>
        <w:tc>
          <w:tcPr>
            <w:tcW w:type="dxa" w:w="3135"/>
            <w:shd w:val="clear" w:color="auto" w:fill="FFFFFF"/>
          </w:tcPr>
          <w:p>
            <w:r>
              <w:rPr>
                <w:rFonts w:ascii="Calibri" w:hAnsi="Calibri"/>
                <w:sz w:val="18"/>
              </w:rPr>
              <w:t>Appendix V: A detailed, multi-step onboarding wizard to guide new users through setup and demonstrate immediate value.</w:t>
            </w:r>
          </w:p>
        </w:tc>
      </w:tr>
      <w:tr>
        <w:tc>
          <w:tcPr>
            <w:tcW w:type="dxa" w:w="3135"/>
            <w:shd w:val="clear" w:color="auto" w:fill="F5F3FF"/>
          </w:tcPr>
          <w:p>
            <w:r>
              <w:rPr>
                <w:rFonts w:ascii="Calibri" w:hAnsi="Calibri"/>
                <w:sz w:val="18"/>
              </w:rPr>
              <w:t>5</w:t>
            </w:r>
          </w:p>
        </w:tc>
        <w:tc>
          <w:tcPr>
            <w:tcW w:type="dxa" w:w="3135"/>
            <w:shd w:val="clear" w:color="auto" w:fill="F5F3FF"/>
          </w:tcPr>
          <w:p>
            <w:r>
              <w:rPr>
                <w:rFonts w:ascii="Calibri" w:hAnsi="Calibri"/>
                <w:sz w:val="18"/>
              </w:rPr>
              <w:t>Incomplete DevOps &amp; Environments</w:t>
            </w:r>
          </w:p>
        </w:tc>
        <w:tc>
          <w:tcPr>
            <w:tcW w:type="dxa" w:w="3135"/>
            <w:shd w:val="clear" w:color="auto" w:fill="F5F3FF"/>
          </w:tcPr>
          <w:p>
            <w:r>
              <w:rPr>
                <w:rFonts w:ascii="Calibri" w:hAnsi="Calibri"/>
                <w:sz w:val="18"/>
              </w:rPr>
              <w:t>Appendix W: A complete strategy for managing dev, staging, and production environments with safe, automated deployments.</w:t>
            </w:r>
          </w:p>
        </w:tc>
      </w:tr>
    </w:tbl>
    <w:p>
      <w:r>
        <w:br w:type="page"/>
      </w:r>
    </w:p>
    <w:p>
      <w:pPr>
        <w:pStyle w:val="Heading1"/>
        <w:jc w:val="left"/>
      </w:pPr>
      <w:r>
        <w:rPr>
          <w:rFonts w:ascii="Calibri" w:hAnsi="Calibri"/>
          <w:color w:val="2D1B69"/>
        </w:rPr>
        <w:t>Executive Summary</w:t>
      </w:r>
    </w:p>
    <w:p>
      <w:r>
        <w:rPr>
          <w:rFonts w:ascii="Calibri" w:hAnsi="Calibri"/>
          <w:b w:val="0"/>
          <w:i w:val="0"/>
          <w:sz w:val="20"/>
        </w:rPr>
        <w:t>CEPHO.AI is an autonomous platform designed to replicate and automate the core functions of a world-class Chief of Staff. This Grand Master Plan is the single, definitive roadmap for transforming the platform from its current Grade E state to Grade A+ — a genuinely intelligent, fully autonomous, enterprise-ready platform with no features missing.</w:t>
      </w:r>
    </w:p>
    <w:p/>
    <w:p>
      <w:r>
        <w:rPr>
          <w:rFonts w:ascii="Calibri" w:hAnsi="Calibri"/>
          <w:b w:val="0"/>
          <w:i w:val="0"/>
          <w:sz w:val="20"/>
        </w:rPr>
        <w:t>This definitive v10.0 plan is the final and most complete version. It incorporates a deep, comprehensive review to close the final 5 architectural gaps, ensuring the platform is not only intelligent and autonomous but also robust, manageable, and operationally excellent from day one. This is the final, executable blueprint. There are no gaps remaining.</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Phase</w:t>
            </w:r>
          </w:p>
        </w:tc>
        <w:tc>
          <w:tcPr>
            <w:tcW w:type="dxa" w:w="2351"/>
            <w:shd w:val="clear" w:color="auto" w:fill="2D1B69"/>
          </w:tcPr>
          <w:p>
            <w:r>
              <w:rPr>
                <w:rFonts w:ascii="Calibri" w:hAnsi="Calibri"/>
                <w:b/>
                <w:color w:val="FFFFFF"/>
                <w:sz w:val="18"/>
              </w:rPr>
              <w:t>Name</w:t>
            </w:r>
          </w:p>
        </w:tc>
        <w:tc>
          <w:tcPr>
            <w:tcW w:type="dxa" w:w="2351"/>
            <w:shd w:val="clear" w:color="auto" w:fill="2D1B69"/>
          </w:tcPr>
          <w:p>
            <w:r>
              <w:rPr>
                <w:rFonts w:ascii="Calibri" w:hAnsi="Calibri"/>
                <w:b/>
                <w:color w:val="FFFFFF"/>
                <w:sz w:val="18"/>
              </w:rPr>
              <w:t>Core Focus</w:t>
            </w:r>
          </w:p>
        </w:tc>
        <w:tc>
          <w:tcPr>
            <w:tcW w:type="dxa" w:w="2351"/>
            <w:shd w:val="clear" w:color="auto" w:fill="2D1B69"/>
          </w:tcPr>
          <w:p>
            <w:r>
              <w:rPr>
                <w:rFonts w:ascii="Calibri" w:hAnsi="Calibri"/>
                <w:b/>
                <w:color w:val="FFFFFF"/>
                <w:sz w:val="18"/>
              </w:rPr>
              <w:t>Grade</w:t>
            </w:r>
          </w:p>
        </w:tc>
      </w:tr>
      <w:tr>
        <w:tc>
          <w:tcPr>
            <w:tcW w:type="dxa" w:w="2351"/>
            <w:shd w:val="clear" w:color="auto" w:fill="F5F3FF"/>
          </w:tcPr>
          <w:p>
            <w:r>
              <w:rPr>
                <w:rFonts w:ascii="Calibri" w:hAnsi="Calibri"/>
                <w:sz w:val="18"/>
              </w:rPr>
              <w:t>Phase 0</w:t>
            </w:r>
          </w:p>
        </w:tc>
        <w:tc>
          <w:tcPr>
            <w:tcW w:type="dxa" w:w="2351"/>
            <w:shd w:val="clear" w:color="auto" w:fill="F5F3FF"/>
          </w:tcPr>
          <w:p>
            <w:r>
              <w:rPr>
                <w:rFonts w:ascii="Calibri" w:hAnsi="Calibri"/>
                <w:sz w:val="18"/>
              </w:rPr>
              <w:t>Pre-Conditions &amp; Toolchain</w:t>
            </w:r>
          </w:p>
        </w:tc>
        <w:tc>
          <w:tcPr>
            <w:tcW w:type="dxa" w:w="2351"/>
            <w:shd w:val="clear" w:color="auto" w:fill="F5F3FF"/>
          </w:tcPr>
          <w:p>
            <w:r>
              <w:rPr>
                <w:rFonts w:ascii="Calibri" w:hAnsi="Calibri"/>
                <w:sz w:val="18"/>
              </w:rPr>
              <w:t>CI/CD, branch strategy, env vars, seed data, ADRs, full test strategy, toolchain setup.</w:t>
            </w:r>
          </w:p>
        </w:tc>
        <w:tc>
          <w:tcPr>
            <w:tcW w:type="dxa" w:w="2351"/>
            <w:shd w:val="clear" w:color="auto" w:fill="F5F3FF"/>
          </w:tcPr>
          <w:p>
            <w:r>
              <w:rPr>
                <w:rFonts w:ascii="Calibri" w:hAnsi="Calibri"/>
                <w:sz w:val="18"/>
              </w:rPr>
              <w:t>E → D</w:t>
            </w:r>
          </w:p>
        </w:tc>
      </w:tr>
      <w:tr>
        <w:tc>
          <w:tcPr>
            <w:tcW w:type="dxa" w:w="2351"/>
            <w:shd w:val="clear" w:color="auto" w:fill="FFFFFF"/>
          </w:tcPr>
          <w:p>
            <w:r>
              <w:rPr>
                <w:rFonts w:ascii="Calibri" w:hAnsi="Calibri"/>
                <w:sz w:val="18"/>
              </w:rPr>
              <w:t>Phase 1</w:t>
            </w:r>
          </w:p>
        </w:tc>
        <w:tc>
          <w:tcPr>
            <w:tcW w:type="dxa" w:w="2351"/>
            <w:shd w:val="clear" w:color="auto" w:fill="FFFFFF"/>
          </w:tcPr>
          <w:p>
            <w:r>
              <w:rPr>
                <w:rFonts w:ascii="Calibri" w:hAnsi="Calibri"/>
                <w:sz w:val="18"/>
              </w:rPr>
              <w:t>Stabilise &amp; Fix</w:t>
            </w:r>
          </w:p>
        </w:tc>
        <w:tc>
          <w:tcPr>
            <w:tcW w:type="dxa" w:w="2351"/>
            <w:shd w:val="clear" w:color="auto" w:fill="FFFFFF"/>
          </w:tcPr>
          <w:p>
            <w:r>
              <w:rPr>
                <w:rFonts w:ascii="Calibri" w:hAnsi="Calibri"/>
                <w:sz w:val="18"/>
              </w:rPr>
              <w:t>All crashes, security holes, broken routes, orphaned tables.</w:t>
            </w:r>
          </w:p>
        </w:tc>
        <w:tc>
          <w:tcPr>
            <w:tcW w:type="dxa" w:w="2351"/>
            <w:shd w:val="clear" w:color="auto" w:fill="FFFFFF"/>
          </w:tcPr>
          <w:p>
            <w:r>
              <w:rPr>
                <w:rFonts w:ascii="Calibri" w:hAnsi="Calibri"/>
                <w:sz w:val="18"/>
              </w:rPr>
              <w:t>D → B</w:t>
            </w:r>
          </w:p>
        </w:tc>
      </w:tr>
      <w:tr>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Digital Twin &amp; Intelligence</w:t>
            </w:r>
          </w:p>
        </w:tc>
        <w:tc>
          <w:tcPr>
            <w:tcW w:type="dxa" w:w="2351"/>
            <w:shd w:val="clear" w:color="auto" w:fill="F5F3FF"/>
          </w:tcPr>
          <w:p>
            <w:r>
              <w:rPr>
                <w:rFonts w:ascii="Calibri" w:hAnsi="Calibri"/>
                <w:sz w:val="18"/>
              </w:rPr>
              <w:t>The complete 4-module Digital Twin, vector DB, agent memory, Shadow Mode, email/meeting intelligence.</w:t>
            </w:r>
          </w:p>
        </w:tc>
        <w:tc>
          <w:tcPr>
            <w:tcW w:type="dxa" w:w="2351"/>
            <w:shd w:val="clear" w:color="auto" w:fill="F5F3FF"/>
          </w:tcPr>
          <w:p>
            <w:r>
              <w:rPr>
                <w:rFonts w:ascii="Calibri" w:hAnsi="Calibri"/>
                <w:sz w:val="18"/>
              </w:rPr>
              <w:t>B → A-</w:t>
            </w:r>
          </w:p>
        </w:tc>
      </w:tr>
      <w:tr>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Innovation, Voice &amp; Automation</w:t>
            </w:r>
          </w:p>
        </w:tc>
        <w:tc>
          <w:tcPr>
            <w:tcW w:type="dxa" w:w="2351"/>
            <w:shd w:val="clear" w:color="auto" w:fill="FFFFFF"/>
          </w:tcPr>
          <w:p>
            <w:r>
              <w:rPr>
                <w:rFonts w:ascii="Calibri" w:hAnsi="Calibri"/>
                <w:sz w:val="18"/>
              </w:rPr>
              <w:t>The Innovation Hub &amp; Idea Portal, voice-first interface, push briefings, CEPHO Score, cron jobs.</w:t>
            </w:r>
          </w:p>
        </w:tc>
        <w:tc>
          <w:tcPr>
            <w:tcW w:type="dxa" w:w="2351"/>
            <w:shd w:val="clear" w:color="auto" w:fill="FFFFFF"/>
          </w:tcPr>
          <w:p>
            <w:r>
              <w:rPr>
                <w:rFonts w:ascii="Calibri" w:hAnsi="Calibri"/>
                <w:sz w:val="18"/>
              </w:rPr>
              <w:t>A- → A</w:t>
            </w:r>
          </w:p>
        </w:tc>
      </w:tr>
      <w:tr>
        <w:tc>
          <w:tcPr>
            <w:tcW w:type="dxa" w:w="2351"/>
            <w:shd w:val="clear" w:color="auto" w:fill="F5F3FF"/>
          </w:tcPr>
          <w:p>
            <w:r>
              <w:rPr>
                <w:rFonts w:ascii="Calibri" w:hAnsi="Calibri"/>
                <w:sz w:val="18"/>
              </w:rPr>
              <w:t>Phase 4</w:t>
            </w:r>
          </w:p>
        </w:tc>
        <w:tc>
          <w:tcPr>
            <w:tcW w:type="dxa" w:w="2351"/>
            <w:shd w:val="clear" w:color="auto" w:fill="F5F3FF"/>
          </w:tcPr>
          <w:p>
            <w:r>
              <w:rPr>
                <w:rFonts w:ascii="Calibri" w:hAnsi="Calibri"/>
                <w:sz w:val="18"/>
              </w:rPr>
              <w:t>Flywheel, Scale &amp; Teams</w:t>
            </w:r>
          </w:p>
        </w:tc>
        <w:tc>
          <w:tcPr>
            <w:tcW w:type="dxa" w:w="2351"/>
            <w:shd w:val="clear" w:color="auto" w:fill="F5F3FF"/>
          </w:tcPr>
          <w:p>
            <w:r>
              <w:rPr>
                <w:rFonts w:ascii="Calibri" w:hAnsi="Calibri"/>
                <w:sz w:val="18"/>
              </w:rPr>
              <w:t>The Innovation Flywheel engine, monetisation, multi-tenancy, team workspaces, performance optimisation.</w:t>
            </w:r>
          </w:p>
        </w:tc>
        <w:tc>
          <w:tcPr>
            <w:tcW w:type="dxa" w:w="2351"/>
            <w:shd w:val="clear" w:color="auto" w:fill="F5F3FF"/>
          </w:tcPr>
          <w:p>
            <w:r>
              <w:rPr>
                <w:rFonts w:ascii="Calibri" w:hAnsi="Calibri"/>
                <w:sz w:val="18"/>
              </w:rPr>
              <w:t>A → A+</w:t>
            </w:r>
          </w:p>
        </w:tc>
      </w:tr>
      <w:tr>
        <w:tc>
          <w:tcPr>
            <w:tcW w:type="dxa" w:w="2351"/>
            <w:shd w:val="clear" w:color="auto" w:fill="FFFFFF"/>
          </w:tcPr>
          <w:p>
            <w:r>
              <w:rPr>
                <w:rFonts w:ascii="Calibri" w:hAnsi="Calibri"/>
                <w:sz w:val="18"/>
              </w:rPr>
              <w:t>Phase 5</w:t>
            </w:r>
          </w:p>
        </w:tc>
        <w:tc>
          <w:tcPr>
            <w:tcW w:type="dxa" w:w="2351"/>
            <w:shd w:val="clear" w:color="auto" w:fill="FFFFFF"/>
          </w:tcPr>
          <w:p>
            <w:r>
              <w:rPr>
                <w:rFonts w:ascii="Calibri" w:hAnsi="Calibri"/>
                <w:sz w:val="18"/>
              </w:rPr>
              <w:t>Operational Excellence &amp; Learning</w:t>
            </w:r>
          </w:p>
        </w:tc>
        <w:tc>
          <w:tcPr>
            <w:tcW w:type="dxa" w:w="2351"/>
            <w:shd w:val="clear" w:color="auto" w:fill="FFFFFF"/>
          </w:tcPr>
          <w:p>
            <w:r>
              <w:rPr>
                <w:rFonts w:ascii="Calibri" w:hAnsi="Calibri"/>
                <w:sz w:val="18"/>
              </w:rPr>
              <w:t>The Innovation Flywheel feedback loop, outcome tracking, runbook, alerting, audit log, pen testing, DR/BC.</w:t>
            </w:r>
          </w:p>
        </w:tc>
        <w:tc>
          <w:tcPr>
            <w:tcW w:type="dxa" w:w="2351"/>
            <w:shd w:val="clear" w:color="auto" w:fill="FFFFFF"/>
          </w:tcPr>
          <w:p>
            <w:r>
              <w:rPr>
                <w:rFonts w:ascii="Calibri" w:hAnsi="Calibri"/>
                <w:sz w:val="18"/>
              </w:rPr>
              <w:t>A+ → A+*</w:t>
            </w:r>
          </w:p>
        </w:tc>
      </w:tr>
      <w:tr>
        <w:tc>
          <w:tcPr>
            <w:tcW w:type="dxa" w:w="2351"/>
            <w:shd w:val="clear" w:color="auto" w:fill="F5F3FF"/>
          </w:tcPr>
          <w:p>
            <w:r>
              <w:rPr>
                <w:rFonts w:ascii="Calibri" w:hAnsi="Calibri"/>
                <w:sz w:val="18"/>
              </w:rPr>
              <w:t>Phase 6</w:t>
            </w:r>
          </w:p>
        </w:tc>
        <w:tc>
          <w:tcPr>
            <w:tcW w:type="dxa" w:w="2351"/>
            <w:shd w:val="clear" w:color="auto" w:fill="F5F3FF"/>
          </w:tcPr>
          <w:p>
            <w:r>
              <w:rPr>
                <w:rFonts w:ascii="Calibri" w:hAnsi="Calibri"/>
                <w:sz w:val="18"/>
              </w:rPr>
              <w:t>Differentiated Intelligence</w:t>
            </w:r>
          </w:p>
        </w:tc>
        <w:tc>
          <w:tcPr>
            <w:tcW w:type="dxa" w:w="2351"/>
            <w:shd w:val="clear" w:color="auto" w:fill="F5F3FF"/>
          </w:tcPr>
          <w:p>
            <w:r>
              <w:rPr>
                <w:rFonts w:ascii="Calibri" w:hAnsi="Calibri"/>
                <w:sz w:val="18"/>
              </w:rPr>
              <w:t>Agent performance dashboard, continuous learning, War Room, network &amp; regulatory intelligence.</w:t>
            </w:r>
          </w:p>
        </w:tc>
        <w:tc>
          <w:tcPr>
            <w:tcW w:type="dxa" w:w="2351"/>
            <w:shd w:val="clear" w:color="auto" w:fill="F5F3FF"/>
          </w:tcPr>
          <w:p>
            <w:r>
              <w:rPr>
                <w:rFonts w:ascii="Calibri" w:hAnsi="Calibri"/>
                <w:sz w:val="18"/>
              </w:rPr>
              <w:t>A+* → A+**</w:t>
            </w:r>
          </w:p>
        </w:tc>
      </w:tr>
      <w:tr>
        <w:tc>
          <w:tcPr>
            <w:tcW w:type="dxa" w:w="2351"/>
            <w:shd w:val="clear" w:color="auto" w:fill="FFFFFF"/>
          </w:tcPr>
          <w:p>
            <w:r>
              <w:rPr>
                <w:rFonts w:ascii="Calibri" w:hAnsi="Calibri"/>
                <w:sz w:val="18"/>
              </w:rPr>
              <w:t>Phase 7</w:t>
            </w:r>
          </w:p>
        </w:tc>
        <w:tc>
          <w:tcPr>
            <w:tcW w:type="dxa" w:w="2351"/>
            <w:shd w:val="clear" w:color="auto" w:fill="FFFFFF"/>
          </w:tcPr>
          <w:p>
            <w:r>
              <w:rPr>
                <w:rFonts w:ascii="Calibri" w:hAnsi="Calibri"/>
                <w:sz w:val="18"/>
              </w:rPr>
              <w:t>Full Autonomy</w:t>
            </w:r>
          </w:p>
        </w:tc>
        <w:tc>
          <w:tcPr>
            <w:tcW w:type="dxa" w:w="2351"/>
            <w:shd w:val="clear" w:color="auto" w:fill="FFFFFF"/>
          </w:tcPr>
          <w:p>
            <w:r>
              <w:rPr>
                <w:rFonts w:ascii="Calibri" w:hAnsi="Calibri"/>
                <w:sz w:val="18"/>
              </w:rPr>
              <w:t>The Autonomous Execution Engine and Persephone Board, enabling true One-Sentence Execution.</w:t>
            </w:r>
          </w:p>
        </w:tc>
        <w:tc>
          <w:tcPr>
            <w:tcW w:type="dxa" w:w="2351"/>
            <w:shd w:val="clear" w:color="auto" w:fill="FFFFFF"/>
          </w:tcPr>
          <w:p>
            <w:r>
              <w:rPr>
                <w:rFonts w:ascii="Calibri" w:hAnsi="Calibri"/>
                <w:sz w:val="18"/>
              </w:rPr>
              <w:t>A+** → A+***</w:t>
            </w:r>
          </w:p>
        </w:tc>
      </w:tr>
      <w:tr>
        <w:tc>
          <w:tcPr>
            <w:tcW w:type="dxa" w:w="2351"/>
            <w:shd w:val="clear" w:color="auto" w:fill="F5F3FF"/>
          </w:tcPr>
          <w:p>
            <w:r>
              <w:rPr>
                <w:rFonts w:ascii="Calibri" w:hAnsi="Calibri"/>
                <w:sz w:val="18"/>
              </w:rPr>
              <w:t>Phase 8</w:t>
            </w:r>
          </w:p>
        </w:tc>
        <w:tc>
          <w:tcPr>
            <w:tcW w:type="dxa" w:w="2351"/>
            <w:shd w:val="clear" w:color="auto" w:fill="F5F3FF"/>
          </w:tcPr>
          <w:p>
            <w:r>
              <w:rPr>
                <w:rFonts w:ascii="Calibri" w:hAnsi="Calibri"/>
                <w:sz w:val="18"/>
              </w:rPr>
              <w:t>Admin &amp; Governance</w:t>
            </w:r>
          </w:p>
        </w:tc>
        <w:tc>
          <w:tcPr>
            <w:tcW w:type="dxa" w:w="2351"/>
            <w:shd w:val="clear" w:color="auto" w:fill="F5F3FF"/>
          </w:tcPr>
          <w:p>
            <w:r>
              <w:rPr>
                <w:rFonts w:ascii="Calibri" w:hAnsi="Calibri"/>
                <w:sz w:val="18"/>
              </w:rPr>
              <w:t>The secure admin dashboard, user management, system analytics, and agent oversight.</w:t>
            </w:r>
          </w:p>
        </w:tc>
        <w:tc>
          <w:tcPr>
            <w:tcW w:type="dxa" w:w="2351"/>
            <w:shd w:val="clear" w:color="auto" w:fill="F5F3FF"/>
          </w:tcPr>
          <w:p>
            <w:r>
              <w:rPr>
                <w:rFonts w:ascii="Calibri" w:hAnsi="Calibri"/>
                <w:sz w:val="18"/>
              </w:rPr>
              <w:t>A+*** → A+****</w:t>
            </w:r>
          </w:p>
        </w:tc>
      </w:tr>
    </w:tbl>
    <w:p>
      <w:r>
        <w:br w:type="page"/>
      </w:r>
    </w:p>
    <w:p>
      <w:pPr>
        <w:pStyle w:val="Heading1"/>
        <w:jc w:val="left"/>
      </w:pPr>
      <w:r>
        <w:rPr>
          <w:rFonts w:ascii="Calibri" w:hAnsi="Calibri"/>
          <w:color w:val="7C3AED"/>
        </w:rPr>
        <w:t>Phase 8: Admin &amp; Governance</w:t>
      </w:r>
    </w:p>
    <w:p>
      <w:r>
        <w:rPr>
          <w:rFonts w:ascii="Calibri" w:hAnsi="Calibri"/>
          <w:b w:val="0"/>
          <w:i w:val="0"/>
          <w:sz w:val="20"/>
        </w:rPr>
        <w:t>This is the final layer of the platform, providing the tools for administrators to manage, monitor, and govern the entire system at scale. It ensures the platform is not just powerful, but also secure, compliant, and operationally robust. Grade: A+*** → A+****.</w:t>
      </w:r>
    </w:p>
    <w:p/>
    <w:p>
      <w:pPr>
        <w:pStyle w:val="Heading3"/>
        <w:jc w:val="left"/>
      </w:pPr>
      <w:r>
        <w:rPr>
          <w:rFonts w:ascii="Calibri" w:hAnsi="Calibri"/>
          <w:color w:val="7C3AED"/>
        </w:rPr>
        <w:t>ADMIN-01: The Admin Dashboard (God Mode)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Platform A+*** → A+****</w:t>
            </w:r>
          </w:p>
        </w:tc>
      </w:tr>
    </w:tbl>
    <w:p/>
    <w:p>
      <w:r>
        <w:rPr>
          <w:rFonts w:ascii="Calibri" w:hAnsi="Calibri"/>
          <w:b w:val="0"/>
          <w:i w:val="0"/>
          <w:sz w:val="20"/>
        </w:rPr>
        <w:t>Implement the secure admin dashboard at /admin, accessible only to users with the ADMIN role. This includes user management (impersonation, password reset), system-wide analytics, and agent oversight capabilities.</w:t>
      </w:r>
    </w:p>
    <w:p/>
    <w:p>
      <w:pPr>
        <w:pStyle w:val="Heading3"/>
        <w:jc w:val="left"/>
      </w:pPr>
      <w:r>
        <w:rPr>
          <w:rFonts w:ascii="Calibri" w:hAnsi="Calibri"/>
          <w:color w:val="7C3AED"/>
        </w:rPr>
        <w:t>GOV-01: Settings &amp; RBAC Engine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Platform A+*** → A+****</w:t>
            </w:r>
          </w:p>
        </w:tc>
      </w:tr>
    </w:tbl>
    <w:p/>
    <w:p>
      <w:r>
        <w:rPr>
          <w:rFonts w:ascii="Calibri" w:hAnsi="Calibri"/>
          <w:b w:val="0"/>
          <w:i w:val="0"/>
          <w:sz w:val="20"/>
        </w:rPr>
        <w:t>Implement the complete Settings &amp; RBAC Engine as specified in Appendix T. This includes the roles, permissions, and settings hierarchy required for enterprise-grade governance.</w:t>
      </w:r>
    </w:p>
    <w:p/>
    <w:p>
      <w:r>
        <w:br w:type="page"/>
      </w:r>
    </w:p>
    <w:p>
      <w:pPr>
        <w:pStyle w:val="Heading1"/>
        <w:jc w:val="left"/>
      </w:pPr>
      <w:r>
        <w:rPr>
          <w:rFonts w:ascii="Calibri" w:hAnsi="Calibri"/>
          <w:color w:val="7C3AED"/>
        </w:rPr>
        <w:t>Appendix T: The Settings &amp; RBAC Engine</w:t>
      </w:r>
    </w:p>
    <w:p>
      <w:r>
        <w:rPr>
          <w:rFonts w:ascii="Calibri" w:hAnsi="Calibri"/>
          <w:b w:val="0"/>
          <w:i w:val="0"/>
          <w:sz w:val="20"/>
        </w:rPr>
        <w:t>This appendix details the architecture for a robust, enterprise-grade settings and Role-Based Access Control (RBAC) system.</w:t>
      </w:r>
    </w:p>
    <w:p/>
    <w:p>
      <w:pPr>
        <w:pStyle w:val="Heading2"/>
        <w:jc w:val="left"/>
      </w:pPr>
      <w:r>
        <w:rPr>
          <w:rFonts w:ascii="Calibri" w:hAnsi="Calibri"/>
          <w:color w:val="7C3AED"/>
        </w:rPr>
        <w:t>1. Role-Based Access Control (RBAC)</w:t>
      </w:r>
    </w:p>
    <w:p>
      <w:r>
        <w:rPr>
          <w:rFonts w:ascii="Calibri" w:hAnsi="Calibri"/>
          <w:b w:val="0"/>
          <w:i w:val="0"/>
          <w:sz w:val="20"/>
        </w:rPr>
        <w:t>A new `roles` table will define three core roles: `ADMIN`, `MEMBER`, and `VIEWER`. A `permissions` table will define granular permissions (e.g., `project:create`), and a `role_permissions` join table will link them. The `users` table will have a `role` column.</w:t>
      </w:r>
    </w:p>
    <w:p/>
    <w:p>
      <w:pPr>
        <w:pStyle w:val="Heading2"/>
        <w:jc w:val="left"/>
      </w:pPr>
      <w:r>
        <w:rPr>
          <w:rFonts w:ascii="Calibri" w:hAnsi="Calibri"/>
          <w:color w:val="7C3AED"/>
        </w:rPr>
        <w:t>2. Settings Hierarchy</w:t>
      </w:r>
    </w:p>
    <w:p>
      <w:r>
        <w:rPr>
          <w:rFonts w:ascii="Calibri" w:hAnsi="Calibri"/>
          <w:b w:val="0"/>
          <w:i w:val="0"/>
          <w:sz w:val="20"/>
        </w:rPr>
        <w:t>A new `workspaces` table will be created, and every user will belong to a workspace. A new `settings` table will store key-value pairs with a `level` (`user`, `workspace`, `system`), allowing for a clear override hierarchy.</w:t>
      </w:r>
    </w:p>
    <w:p/>
    <w:p>
      <w:pPr>
        <w:pStyle w:val="Heading2"/>
        <w:jc w:val="left"/>
      </w:pPr>
      <w:r>
        <w:rPr>
          <w:rFonts w:ascii="Calibri" w:hAnsi="Calibri"/>
          <w:color w:val="7C3AED"/>
        </w:rPr>
        <w:t>3. Dedicated Settings API</w:t>
      </w:r>
    </w:p>
    <w:p>
      <w:r>
        <w:rPr>
          <w:rFonts w:ascii="Calibri" w:hAnsi="Calibri"/>
          <w:b w:val="0"/>
          <w:i w:val="0"/>
          <w:sz w:val="20"/>
        </w:rPr>
        <w:t>A new `settings.router.ts` will provide protected procedures for getting and setting configuration values, with permission checks enforced at the API layer.</w:t>
      </w:r>
    </w:p>
    <w:p>
      <w:r>
        <w:br w:type="page"/>
      </w:r>
    </w:p>
    <w:p>
      <w:pPr>
        <w:pStyle w:val="Heading1"/>
        <w:jc w:val="left"/>
      </w:pPr>
      <w:r>
        <w:rPr>
          <w:rFonts w:ascii="Calibri" w:hAnsi="Calibri"/>
          <w:color w:val="7C3AED"/>
        </w:rPr>
        <w:t>Appendix U: The Document &amp; Templating Engine</w:t>
      </w:r>
    </w:p>
    <w:p>
      <w:r>
        <w:rPr>
          <w:rFonts w:ascii="Calibri" w:hAnsi="Calibri"/>
          <w:b w:val="0"/>
          <w:i w:val="0"/>
          <w:sz w:val="20"/>
        </w:rPr>
        <w:t>This appendix details the architecture for a centralized engine to ensure all documents generated by the platform are consistent, professional, and on-brand.</w:t>
      </w:r>
    </w:p>
    <w:p/>
    <w:p>
      <w:pPr>
        <w:pStyle w:val="Heading2"/>
        <w:jc w:val="left"/>
      </w:pPr>
      <w:r>
        <w:rPr>
          <w:rFonts w:ascii="Calibri" w:hAnsi="Calibri"/>
          <w:color w:val="7C3AED"/>
        </w:rPr>
        <w:t>1. Centralized Templating Service</w:t>
      </w:r>
    </w:p>
    <w:p>
      <w:r>
        <w:rPr>
          <w:rFonts w:ascii="Calibri" w:hAnsi="Calibri"/>
          <w:b w:val="0"/>
          <w:i w:val="0"/>
          <w:sz w:val="20"/>
        </w:rPr>
        <w:t>A new microservice, the Templating Engine, will expose a single endpoint (`POST /generate`) that takes a template ID, JSON data, and an output format (PDF, DOCX).</w:t>
      </w:r>
    </w:p>
    <w:p/>
    <w:p>
      <w:pPr>
        <w:pStyle w:val="Heading2"/>
        <w:jc w:val="left"/>
      </w:pPr>
      <w:r>
        <w:rPr>
          <w:rFonts w:ascii="Calibri" w:hAnsi="Calibri"/>
          <w:color w:val="7C3AED"/>
        </w:rPr>
        <w:t>2. Template &amp; BrandKit Integration</w:t>
      </w:r>
    </w:p>
    <w:p>
      <w:r>
        <w:rPr>
          <w:rFonts w:ascii="Calibri" w:hAnsi="Calibri"/>
          <w:b w:val="0"/>
          <w:i w:val="0"/>
          <w:sz w:val="20"/>
        </w:rPr>
        <w:t>The service will fetch the user’s branding from the `brandKit` table, inject it and the provided data into a Handlebars-based HTML template, and then use a library like WeasyPrint or Pandoc to generate the final, professionally formatted document.</w:t>
      </w:r>
    </w:p>
    <w:p>
      <w:r>
        <w:br w:type="page"/>
      </w:r>
    </w:p>
    <w:p>
      <w:pPr>
        <w:pStyle w:val="Heading1"/>
        <w:jc w:val="left"/>
      </w:pPr>
      <w:r>
        <w:rPr>
          <w:rFonts w:ascii="Calibri" w:hAnsi="Calibri"/>
          <w:color w:val="7C3AED"/>
        </w:rPr>
        <w:t>Appendix V: The User Onboarding &amp; Activation Flow</w:t>
      </w:r>
    </w:p>
    <w:p>
      <w:r>
        <w:rPr>
          <w:rFonts w:ascii="Calibri" w:hAnsi="Calibri"/>
          <w:b w:val="0"/>
          <w:i w:val="0"/>
          <w:sz w:val="20"/>
        </w:rPr>
        <w:t>This appendix details the architecture for a guided onboarding experience to ensure new users are activated and see value in their first session.</w:t>
      </w:r>
    </w:p>
    <w:p/>
    <w:p>
      <w:pPr>
        <w:pStyle w:val="Heading2"/>
        <w:jc w:val="left"/>
      </w:pPr>
      <w:r>
        <w:rPr>
          <w:rFonts w:ascii="Calibri" w:hAnsi="Calibri"/>
          <w:color w:val="7C3AED"/>
        </w:rPr>
        <w:t>1. Multi-Step Onboarding Wizard</w:t>
      </w:r>
    </w:p>
    <w:p>
      <w:r>
        <w:rPr>
          <w:rFonts w:ascii="Calibri" w:hAnsi="Calibri"/>
          <w:b w:val="0"/>
          <w:i w:val="0"/>
          <w:sz w:val="20"/>
        </w:rPr>
        <w:t>On first login, new users will be redirected to a `/welcome` wizard that guides them through profile setup, Digital Twin calibration, connecting integrations, and giving their first one-sentence command to the platform.</w:t>
      </w:r>
    </w:p>
    <w:p/>
    <w:p>
      <w:pPr>
        <w:pStyle w:val="Heading2"/>
        <w:jc w:val="left"/>
      </w:pPr>
      <w:r>
        <w:rPr>
          <w:rFonts w:ascii="Calibri" w:hAnsi="Calibri"/>
          <w:color w:val="7C3AED"/>
        </w:rPr>
        <w:t>2. Progress Tracking</w:t>
      </w:r>
    </w:p>
    <w:p>
      <w:r>
        <w:rPr>
          <w:rFonts w:ascii="Calibri" w:hAnsi="Calibri"/>
          <w:b w:val="0"/>
          <w:i w:val="0"/>
          <w:sz w:val="20"/>
        </w:rPr>
        <w:t>The `users` table will have an `onboarding_step` column to track progress, allowing users to resume the onboarding flow if they leave.</w:t>
      </w:r>
    </w:p>
    <w:p>
      <w:r>
        <w:br w:type="page"/>
      </w:r>
    </w:p>
    <w:p>
      <w:pPr>
        <w:pStyle w:val="Heading1"/>
        <w:jc w:val="left"/>
      </w:pPr>
      <w:r>
        <w:rPr>
          <w:rFonts w:ascii="Calibri" w:hAnsi="Calibri"/>
          <w:color w:val="7C3AED"/>
        </w:rPr>
        <w:t>Appendix W: The DevOps &amp; Environments Lifecycle</w:t>
      </w:r>
    </w:p>
    <w:p>
      <w:r>
        <w:rPr>
          <w:rFonts w:ascii="Calibri" w:hAnsi="Calibri"/>
          <w:b w:val="0"/>
          <w:i w:val="0"/>
          <w:sz w:val="20"/>
        </w:rPr>
        <w:t>This appendix details the strategy for managing multiple environments and ensuring safe, automated deployments.</w:t>
      </w:r>
    </w:p>
    <w:p/>
    <w:p>
      <w:pPr>
        <w:pStyle w:val="Heading2"/>
        <w:jc w:val="left"/>
      </w:pPr>
      <w:r>
        <w:rPr>
          <w:rFonts w:ascii="Calibri" w:hAnsi="Calibri"/>
          <w:color w:val="7C3AED"/>
        </w:rPr>
        <w:t>1. Multiple Environments</w:t>
      </w:r>
    </w:p>
    <w:p>
      <w:r>
        <w:rPr>
          <w:rFonts w:ascii="Calibri" w:hAnsi="Calibri"/>
          <w:b w:val="0"/>
          <w:i w:val="0"/>
          <w:sz w:val="20"/>
        </w:rPr>
        <w:t>The platform will use three environments: `development` (local), `staging` (a mirror of production for testing), and `production` (the live application). All PRs will be automatically deployed to staging.</w:t>
      </w:r>
    </w:p>
    <w:p/>
    <w:p>
      <w:pPr>
        <w:pStyle w:val="Heading2"/>
        <w:jc w:val="left"/>
      </w:pPr>
      <w:r>
        <w:rPr>
          <w:rFonts w:ascii="Calibri" w:hAnsi="Calibri"/>
          <w:color w:val="7C3AED"/>
        </w:rPr>
        <w:t>2. Automated Database Migrations</w:t>
      </w:r>
    </w:p>
    <w:p>
      <w:r>
        <w:rPr>
          <w:rFonts w:ascii="Calibri" w:hAnsi="Calibri"/>
          <w:b w:val="0"/>
          <w:i w:val="0"/>
          <w:sz w:val="20"/>
        </w:rPr>
        <w:t>Drizzle Kit will be used to generate SQL migration files. The CI/CD pipeline will automatically apply these to the staging database, with production migrations being a manual one-click step in Render for safety.</w:t>
      </w:r>
    </w:p>
    <w:p/>
    <w:p>
      <w:pPr>
        <w:pStyle w:val="Heading2"/>
        <w:jc w:val="left"/>
      </w:pPr>
      <w:r>
        <w:rPr>
          <w:rFonts w:ascii="Calibri" w:hAnsi="Calibri"/>
          <w:color w:val="7C3AED"/>
        </w:rPr>
        <w:t>3. Rollback Strategy</w:t>
      </w:r>
    </w:p>
    <w:p>
      <w:r>
        <w:rPr>
          <w:rFonts w:ascii="Calibri" w:hAnsi="Calibri"/>
          <w:b w:val="0"/>
          <w:i w:val="0"/>
          <w:sz w:val="20"/>
        </w:rPr>
        <w:t>Render provides one-click rollbacks for application code. A documented process for creating and restoring database backups before any major migration will be established.</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