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FF"/>
          <w:sz w:val="28"/>
          <w:szCs w:val="28"/>
        </w:rPr>
        <w:t xml:space="preserve">BookdIn</w:t>
      </w:r>
    </w:p>
    <w:p>
      <w:pPr>
        <w:spacing w:after="100"/>
      </w:pPr>
      <w:r>
        <w:rPr>
          <w:b/>
          <w:bCs/>
          <w:color w:val="0A0F1E"/>
          <w:sz w:val="44"/>
          <w:szCs w:val="44"/>
        </w:rPr>
        <w:t xml:space="preserve">AI Voice Sales Agent — Outbound Program Plan</w:t>
      </w:r>
    </w:p>
    <w:p>
      <w:pPr>
        <w:spacing w:after="400"/>
      </w:pPr>
      <w:r>
        <w:rPr>
          <w:i/>
          <w:iCs/>
          <w:color w:val="57616F"/>
          <w:sz w:val="21"/>
          <w:szCs w:val="21"/>
        </w:rPr>
        <w:t xml:space="preserve">Draft for review — August 2026</w:t>
      </w:r>
    </w:p>
    <w:p>
      <w:pPr>
        <w:pStyle w:val="Heading1"/>
        <w:spacing w:after="160" w:before="360"/>
      </w:pPr>
      <w:r>
        <w:t xml:space="preserve">1. Executive Summary</w:t>
      </w:r>
    </w:p>
    <w:p>
      <w:pPr>
        <w:spacing w:after="140"/>
      </w:pPr>
      <w:r>
        <w:t xml:space="preserve">This is a plan for an AI voice agent that cold-calls cleaning and home-service businesses (BookdIn's own target customer), leads with a genuine pain point — missed after-hours calls — and offers a 14-day free trial of BookdIn, including Aria, BookdIn's own after-hours voice agent. It is deliberately built to sell the product by demonstrating the product: the caller is doing exactly what Aria would do for the prospect.</w:t>
      </w:r>
    </w:p>
    <w:p>
      <w:pPr>
        <w:spacing w:after="140"/>
      </w:pPr>
      <w:r>
        <w:t xml:space="preserve">Two markets are in scope for the pilot: Australia and the United States. They need different playbooks. Australia's telemarketing law has a clean business-to-business exemption, so a straightforward cold-calling program is workable there once caller ID rules are followed. The US treats AI-generated voice calls to mobile numbers as regulated "artificial voice" calls under the TCPA, largely regardless of B2B framing, with per-call penalties starting at $500 and no cap — so the US leg needs a consent-first design (SMS/email opt-in before any AI voice call), not pure cold-calling.</w:t>
      </w:r>
    </w:p>
    <w:p>
      <w:pPr>
        <w:spacing w:after="140"/>
      </w:pPr>
      <w:r>
        <w:t xml:space="preserve">The opening line matters more than it might seem. A fabricated pretext ("I tried calling to book last night") is a false statement about who's calling and why — which is exactly what Australia's caller-identification rules and most state telemarketing standards prohibit, on top of being a bad look if a prospect ever checks. This plan uses an honest, equally sharp opener instead: a direct question about the actual pain point, asked because it's actually relevant to what's being sold.</w:t>
      </w:r>
    </w:p>
    <w:p>
      <w:pPr>
        <w:pStyle w:val="Heading1"/>
        <w:spacing w:after="160" w:before="360"/>
      </w:pPr>
      <w:r>
        <w:t xml:space="preserve">2. Program Objective</w:t>
      </w:r>
    </w:p>
    <w:p>
      <w:pPr>
        <w:pStyle w:val="ListParagraph"/>
        <w:numPr>
          <w:ilvl w:val="0"/>
          <w:numId w:val="2"/>
        </w:numPr>
        <w:spacing w:after="60"/>
      </w:pPr>
      <w:r>
        <w:t xml:space="preserve">Source a large, qualified list of cleaning / home-service businesses globally (pilot: Australia + United States).</w:t>
      </w:r>
    </w:p>
    <w:p>
      <w:pPr>
        <w:pStyle w:val="ListParagraph"/>
        <w:numPr>
          <w:ilvl w:val="0"/>
          <w:numId w:val="2"/>
        </w:numPr>
        <w:spacing w:after="60"/>
      </w:pPr>
      <w:r>
        <w:t xml:space="preserve">Have an AI voice agent call them, open with a genuine pain-point question, and pitch BookdIn with a 14-day free trial, no card required.</w:t>
      </w:r>
    </w:p>
    <w:p>
      <w:pPr>
        <w:pStyle w:val="ListParagraph"/>
        <w:numPr>
          <w:ilvl w:val="0"/>
          <w:numId w:val="2"/>
        </w:numPr>
        <w:spacing w:after="60"/>
      </w:pPr>
      <w:r>
        <w:t xml:space="preserve">Route every call outcome into BookdIn's own CRM pipeline (Lead → Contacted → Quoted → Won), so the program itself runs on the product being sold.</w:t>
      </w:r>
    </w:p>
    <w:p>
      <w:pPr>
        <w:pStyle w:val="ListParagraph"/>
        <w:numPr>
          <w:ilvl w:val="0"/>
          <w:numId w:val="2"/>
        </w:numPr>
        <w:spacing w:after="60"/>
      </w:pPr>
      <w:r>
        <w:t xml:space="preserve">Convert trial signups into paying subscribers through a structured nurture sequence.</w:t>
      </w:r>
    </w:p>
    <w:p>
      <w:pPr>
        <w:pStyle w:val="Heading1"/>
        <w:spacing w:after="160" w:before="360"/>
      </w:pPr>
      <w:r>
        <w:t xml:space="preserve">3. Compliance Framework — Read This Before Building Anything</w:t>
      </w:r>
    </w:p>
    <w:p>
      <w:pPr>
        <w:spacing w:after="140"/>
      </w:pPr>
      <w:r>
        <w:t xml:space="preserve">AI/robocall regulation is one of the fastest-moving areas of law right now, and it varies enormously by country and, in the US, by state. This section is a starting point, not legal advice — a short call with a telemarketing-savvy lawyer before the first real batch of calls goes out (in either country) is money well spent given the per-call penalty exposure below.</w:t>
      </w:r>
    </w:p>
    <w:p>
      <w:pPr>
        <w:pStyle w:val="Heading2"/>
        <w:spacing w:after="120" w:before="260"/>
      </w:pPr>
      <w:r>
        <w:t xml:space="preserve">3.1 Australia — workable now, with guardrails</w:t>
      </w:r>
    </w:p>
    <w:p>
      <w:pPr>
        <w:pStyle w:val="ListParagraph"/>
        <w:numPr>
          <w:ilvl w:val="0"/>
          <w:numId w:val="2"/>
        </w:numPr>
        <w:spacing w:after="60"/>
      </w:pPr>
      <w:r>
        <w:t xml:space="preserve">Business-to-business exemption: calls to a business number, made for a genuine business purpose, are exempt from the Do Not Call Register. A business's main landline or work mobile is fair game.</w:t>
      </w:r>
    </w:p>
    <w:p>
      <w:pPr>
        <w:pStyle w:val="ListParagraph"/>
        <w:numPr>
          <w:ilvl w:val="0"/>
          <w:numId w:val="2"/>
        </w:numPr>
        <w:spacing w:after="60"/>
      </w:pPr>
      <w:r>
        <w:t xml:space="preserve">Caller identification still applies: the Do Not Call Register Industry Standard 2017 requires the caller to accurately state who they are and why they're calling, near the start of the call. This is the rule the fake-customer opener would break — it's not optional, and it's the reason this plan uses an honest opener.</w:t>
      </w:r>
    </w:p>
    <w:p>
      <w:pPr>
        <w:pStyle w:val="ListParagraph"/>
        <w:numPr>
          <w:ilvl w:val="0"/>
          <w:numId w:val="2"/>
        </w:numPr>
        <w:spacing w:after="60"/>
      </w:pPr>
      <w:r>
        <w:t xml:space="preserve">Calling hours and opt-out mechanisms under the Industry Standard still apply even to exempt B2B calls as a matter of good practice.</w:t>
      </w:r>
    </w:p>
    <w:p>
      <w:pPr>
        <w:pStyle w:val="Heading2"/>
        <w:spacing w:after="120" w:before="260"/>
      </w:pPr>
      <w:r>
        <w:t xml:space="preserve">3.2 United States — higher risk, needs a consent-first design</w:t>
      </w:r>
    </w:p>
    <w:p>
      <w:pPr>
        <w:pStyle w:val="ListParagraph"/>
        <w:numPr>
          <w:ilvl w:val="0"/>
          <w:numId w:val="2"/>
        </w:numPr>
        <w:spacing w:after="60"/>
      </w:pPr>
      <w:r>
        <w:t xml:space="preserve">The FCC's February 2024 ruling classifies AI-generated voices as “artificial voice” calls under the TCPA. Calls using an artificial/AI voice to a wireless (mobile) number generally need prior express consent — courts have not carved out a clean B2B exception, and most small cleaning/trades businesses run on a mobile as their main line.</w:t>
      </w:r>
    </w:p>
    <w:p>
      <w:pPr>
        <w:pStyle w:val="ListParagraph"/>
        <w:numPr>
          <w:ilvl w:val="0"/>
          <w:numId w:val="2"/>
        </w:numPr>
        <w:spacing w:after="60"/>
      </w:pPr>
      <w:r>
        <w:t xml:space="preserve">Penalties: $500–$1,500 per call, trebled for willful violations, with no statutory cap. This is a per-call number, not a per-campaign cap — it adds up fast at outbound scale.</w:t>
      </w:r>
    </w:p>
    <w:p>
      <w:pPr>
        <w:pStyle w:val="ListParagraph"/>
        <w:numPr>
          <w:ilvl w:val="0"/>
          <w:numId w:val="2"/>
        </w:numPr>
        <w:spacing w:after="60"/>
      </w:pPr>
      <w:r>
        <w:t xml:space="preserve">A federal proposal (FCC 24-84) would require an explicit “you're speaking with an AI” disclosure at the start of every AI call; not yet final as of mid-2026, but several states (Texas, Georgia, Pennsylvania, New York) already have their own AI-disclosure bills moving, so building the disclosure in now avoids a re-work later.</w:t>
      </w:r>
    </w:p>
    <w:p>
      <w:pPr>
        <w:pStyle w:val="ListParagraph"/>
        <w:numPr>
          <w:ilvl w:val="0"/>
          <w:numId w:val="2"/>
        </w:numPr>
        <w:spacing w:after="60"/>
      </w:pPr>
      <w:r>
        <w:t xml:space="preserve">Recommended design: a two-touch sequence — an SMS or email goes out first (“Reply YES for a 5-minute call about covering your after-hours bookings”), and the AI voice call is placed only to numbers that opt in. This creates a defensible record of prior express consent before any AI voice call happens, and sidesteps the TCPA exposure of cold AI-calling mobile numbers directly.</w:t>
      </w:r>
    </w:p>
    <w:p>
      <w:pPr>
        <w:pStyle w:val="Heading2"/>
        <w:spacing w:after="120" w:before="260"/>
      </w:pPr>
      <w:r>
        <w:t xml:space="preserve">3.3 Call recording</w:t>
      </w:r>
    </w:p>
    <w:p>
      <w:pPr>
        <w:spacing w:after="140"/>
      </w:pPr>
      <w:r>
        <w:t xml:space="preserve">If calls are recorded for QA/training (reasonable to want, given the goal is to keep tuning the script), twelve US states require every party's consent, not just one: California, Connecticut, Delaware, Florida, Illinois, Maryland, Massachusetts, Montana, New Hampshire, Oregon, Pennsylvania, and Washington. Simplest fix: a short recorded notice (“this call may be recorded for quality purposes”) at the very start of every call, everywhere, regardless of state — cheaper than filtering by area code and it also doubles as the AI-disclosure moment.</w:t>
      </w:r>
    </w:p>
    <w:tbl>
      <w:tblPr>
        <w:tblW w:type="dxa" w:w="9350"/>
        <w:tblBorders>
          <w:top w:val="single" w:color="2563FF" w:sz="4"/>
          <w:left w:val="single" w:color="2563FF" w:sz="24"/>
          <w:bottom w:val="single" w:color="2563FF" w:sz="4"/>
          <w:right w:val="single" w:color="2563FF" w:sz="4"/>
          <w:insideH w:val="single" w:color="auto" w:sz="4"/>
          <w:insideV w:val="single" w:color="auto" w:sz="4"/>
        </w:tblBorders>
      </w:tblPr>
      <w:tblGrid>
        <w:gridCol w:w="9350"/>
      </w:tblGrid>
      <w:tr>
        <w:tc>
          <w:tcPr>
            <w:tcW w:type="dxa" w:w="9350"/>
            <w:shd w:fill="F4F7FF" w:val="clear"/>
            <w:tcMar>
              <w:top w:type="dxa" w:w="160"/>
              <w:left w:type="dxa" w:w="220"/>
              <w:bottom w:type="dxa" w:w="160"/>
              <w:right w:type="dxa" w:w="220"/>
            </w:tcMar>
          </w:tcPr>
          <w:p>
            <w:pPr>
              <w:spacing w:after="80"/>
            </w:pPr>
            <w:r>
              <w:rPr>
                <w:b/>
                <w:bCs/>
                <w:color w:val="2563FF"/>
              </w:rPr>
              <w:t xml:space="preserve">Bottom line</w:t>
            </w:r>
          </w:p>
          <w:p>
            <w:pPr>
              <w:spacing w:after="40"/>
            </w:pPr>
            <w:r>
              <w:rPr>
                <w:sz w:val="20"/>
                <w:szCs w:val="20"/>
              </w:rPr>
              <w:t xml:space="preserve">Australia: cold-call, honest identification, standard opt-out.</w:t>
            </w:r>
          </w:p>
          <w:p>
            <w:pPr>
              <w:spacing w:after="40"/>
            </w:pPr>
            <w:r>
              <w:rPr>
                <w:sz w:val="20"/>
                <w:szCs w:val="20"/>
              </w:rPr>
              <w:t xml:space="preserve">US: text/email opt-in first, AI voice call only after a reply, recording notice on every call.</w:t>
            </w:r>
          </w:p>
          <w:p>
            <w:pPr>
              <w:spacing w:after="40"/>
            </w:pPr>
            <w:r>
              <w:rPr>
                <w:sz w:val="20"/>
                <w:szCs w:val="20"/>
              </w:rPr>
              <w:t xml:space="preserve">Either market: no fabricated pretext for who's calling or why.</w:t>
            </w:r>
          </w:p>
        </w:tc>
      </w:tr>
    </w:tbl>
    <w:p>
      <w:pPr>
        <w:pStyle w:val="Heading1"/>
        <w:spacing w:after="160" w:before="360"/>
      </w:pPr>
      <w:r>
        <w:t xml:space="preserve">4. Target Market &amp; Lead Qualification</w:t>
      </w:r>
    </w:p>
    <w:p>
      <w:pPr>
        <w:spacing w:after="140"/>
      </w:pPr>
      <w:r>
        <w:t xml:space="preserve">Same ideal customer profile BookdIn already sells to — no need to invent a new one: cleaning, gardening, pest control and similar home-service businesses, roughly 2–20 staff, currently running on paper, spreadsheets, or a booking tool that doesn't cover after-hours calls.</w:t>
      </w:r>
    </w:p>
    <w:p>
      <w:pPr>
        <w:pStyle w:val="Heading2"/>
        <w:spacing w:after="120" w:before="260"/>
      </w:pPr>
      <w:r>
        <w:t xml:space="preserve">4.1 Qualifying signals to score leads on</w:t>
      </w:r>
    </w:p>
    <w:p>
      <w:pPr>
        <w:pStyle w:val="ListParagraph"/>
        <w:numPr>
          <w:ilvl w:val="0"/>
          <w:numId w:val="2"/>
        </w:numPr>
        <w:spacing w:after="60"/>
      </w:pPr>
      <w:r>
        <w:t xml:space="preserve">Business category matches the ICP (house cleaning, carpet cleaning, gardening/landscaping, pest control, pool service, etc.).</w:t>
      </w:r>
    </w:p>
    <w:p>
      <w:pPr>
        <w:pStyle w:val="ListParagraph"/>
        <w:numPr>
          <w:ilvl w:val="0"/>
          <w:numId w:val="2"/>
        </w:numPr>
        <w:spacing w:after="60"/>
      </w:pPr>
      <w:r>
        <w:t xml:space="preserve">Review count in a “established but not huge” band (roughly 15–300 reviews) — proxy for a real, running small business rather than brand-new or an enterprise franchise.</w:t>
      </w:r>
    </w:p>
    <w:p>
      <w:pPr>
        <w:pStyle w:val="ListParagraph"/>
        <w:numPr>
          <w:ilvl w:val="0"/>
          <w:numId w:val="2"/>
        </w:numPr>
        <w:spacing w:after="60"/>
      </w:pPr>
      <w:r>
        <w:t xml:space="preserve">No visible online booking widget on their website (or no website at all) — the strongest signal for the after-hours pain point being real.</w:t>
      </w:r>
    </w:p>
    <w:p>
      <w:pPr>
        <w:pStyle w:val="ListParagraph"/>
        <w:numPr>
          <w:ilvl w:val="0"/>
          <w:numId w:val="2"/>
        </w:numPr>
        <w:spacing w:after="60"/>
      </w:pPr>
      <w:r>
        <w:t xml:space="preserve">Phone number type: landline vs mobile matters for US TCPA exposure (see §3.2) — tag every lead with this.</w:t>
      </w:r>
    </w:p>
    <w:p>
      <w:pPr>
        <w:pStyle w:val="ListParagraph"/>
        <w:numPr>
          <w:ilvl w:val="0"/>
          <w:numId w:val="2"/>
        </w:numPr>
        <w:spacing w:after="60"/>
      </w:pPr>
      <w:r>
        <w:t xml:space="preserve">Operating hours listed as anything other than 24/7 — directly supports the after-hours hook.</w:t>
      </w:r>
    </w:p>
    <w:p>
      <w:pPr>
        <w:pStyle w:val="Heading1"/>
        <w:spacing w:after="160" w:before="360"/>
      </w:pPr>
      <w:r>
        <w:t xml:space="preserve">5. Lead Sourcing &amp; Data Pipeline</w:t>
      </w:r>
    </w:p>
    <w:p>
      <w:pPr>
        <w:pStyle w:val="Heading2"/>
        <w:spacing w:after="120" w:before="260"/>
      </w:pPr>
      <w:r>
        <w:t xml:space="preserve">5.1 Sourcing tool</w:t>
      </w:r>
    </w:p>
    <w:p>
      <w:pPr>
        <w:spacing w:after="140"/>
      </w:pPr>
      <w:r>
        <w:t xml:space="preserve">Use the official Google Places API as the primary source rather than raw scraping of Google Maps/Yelp — raw scraping violates those platforms' terms of service and produces messier, less structured data. The API gives name, phone, category, address, rating, review count, and website in one structured call.</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2150"/>
        <w:gridCol w:w="2950"/>
      </w:tblGrid>
      <w:tr>
        <w:trPr>
          <w:tblHeader/>
        </w:trPr>
        <w:tc>
          <w:tcPr>
            <w:tcW w:type="dxa" w:w="2050"/>
            <w:shd w:fill="0A0F1E" w:val="clear"/>
            <w:tcMar>
              <w:top w:type="dxa" w:w="100"/>
              <w:left w:type="dxa" w:w="120"/>
              <w:bottom w:type="dxa" w:w="100"/>
              <w:right w:type="dxa" w:w="120"/>
            </w:tcMar>
          </w:tcPr>
          <w:p>
            <w:r>
              <w:rPr>
                <w:b/>
                <w:bCs/>
                <w:color w:val="FFFFFF"/>
                <w:sz w:val="20"/>
                <w:szCs w:val="20"/>
              </w:rPr>
              <w:t xml:space="preserve">Source</w:t>
            </w:r>
          </w:p>
        </w:tc>
        <w:tc>
          <w:tcPr>
            <w:tcW w:type="dxa" w:w="2900"/>
            <w:shd w:fill="0A0F1E" w:val="clear"/>
            <w:tcMar>
              <w:top w:type="dxa" w:w="100"/>
              <w:left w:type="dxa" w:w="120"/>
              <w:bottom w:type="dxa" w:w="100"/>
              <w:right w:type="dxa" w:w="120"/>
            </w:tcMar>
          </w:tcPr>
          <w:p>
            <w:r>
              <w:rPr>
                <w:b/>
                <w:bCs/>
                <w:color w:val="FFFFFF"/>
                <w:sz w:val="20"/>
                <w:szCs w:val="20"/>
              </w:rPr>
              <w:t xml:space="preserve">Coverage</w:t>
            </w:r>
          </w:p>
        </w:tc>
        <w:tc>
          <w:tcPr>
            <w:tcW w:type="dxa" w:w="2150"/>
            <w:shd w:fill="0A0F1E" w:val="clear"/>
            <w:tcMar>
              <w:top w:type="dxa" w:w="100"/>
              <w:left w:type="dxa" w:w="120"/>
              <w:bottom w:type="dxa" w:w="100"/>
              <w:right w:type="dxa" w:w="120"/>
            </w:tcMar>
          </w:tcPr>
          <w:p>
            <w:r>
              <w:rPr>
                <w:b/>
                <w:bCs/>
                <w:color w:val="FFFFFF"/>
                <w:sz w:val="20"/>
                <w:szCs w:val="20"/>
              </w:rPr>
              <w:t xml:space="preserve">Cost</w:t>
            </w:r>
          </w:p>
        </w:tc>
        <w:tc>
          <w:tcPr>
            <w:tcW w:type="dxa" w:w="2950"/>
            <w:shd w:fill="0A0F1E" w:val="clear"/>
            <w:tcMar>
              <w:top w:type="dxa" w:w="100"/>
              <w:left w:type="dxa" w:w="120"/>
              <w:bottom w:type="dxa" w:w="100"/>
              <w:right w:type="dxa" w:w="120"/>
            </w:tcMar>
          </w:tcPr>
          <w:p>
            <w:r>
              <w:rPr>
                <w:b/>
                <w:bCs/>
                <w:color w:val="FFFFFF"/>
                <w:sz w:val="20"/>
                <w:szCs w:val="20"/>
              </w:rPr>
              <w:t xml:space="preserve">Notes</w:t>
            </w:r>
          </w:p>
        </w:tc>
      </w:tr>
      <w:tr>
        <w:tc>
          <w:tcPr>
            <w:tcW w:type="dxa" w:w="2050"/>
            <w:shd w:fill="FFFFFF" w:val="clear"/>
            <w:tcMar>
              <w:top w:type="dxa" w:w="90"/>
              <w:left w:type="dxa" w:w="120"/>
              <w:bottom w:type="dxa" w:w="90"/>
              <w:right w:type="dxa" w:w="120"/>
            </w:tcMar>
          </w:tcPr>
          <w:p>
            <w:r>
              <w:rPr>
                <w:sz w:val="19"/>
                <w:szCs w:val="19"/>
              </w:rPr>
              <w:t xml:space="preserve">Google Places API</w:t>
            </w:r>
          </w:p>
        </w:tc>
        <w:tc>
          <w:tcPr>
            <w:tcW w:type="dxa" w:w="2900"/>
            <w:shd w:fill="FFFFFF" w:val="clear"/>
            <w:tcMar>
              <w:top w:type="dxa" w:w="90"/>
              <w:left w:type="dxa" w:w="120"/>
              <w:bottom w:type="dxa" w:w="90"/>
              <w:right w:type="dxa" w:w="120"/>
            </w:tcMar>
          </w:tcPr>
          <w:p>
            <w:r>
              <w:rPr>
                <w:sz w:val="19"/>
                <w:szCs w:val="19"/>
              </w:rPr>
              <w:t xml:space="preserve">Best — 3,200+ results per category in a mid-size city vs Yelp's ~850</w:t>
            </w:r>
          </w:p>
        </w:tc>
        <w:tc>
          <w:tcPr>
            <w:tcW w:type="dxa" w:w="2150"/>
            <w:shd w:fill="FFFFFF" w:val="clear"/>
            <w:tcMar>
              <w:top w:type="dxa" w:w="90"/>
              <w:left w:type="dxa" w:w="120"/>
              <w:bottom w:type="dxa" w:w="90"/>
              <w:right w:type="dxa" w:w="120"/>
            </w:tcMar>
          </w:tcPr>
          <w:p>
            <w:r>
              <w:rPr>
                <w:sz w:val="19"/>
                <w:szCs w:val="19"/>
              </w:rPr>
              <w:t xml:space="preserve">$17–$32 per 1,000 requests (~$500–$960/mo at scale)</w:t>
            </w:r>
          </w:p>
        </w:tc>
        <w:tc>
          <w:tcPr>
            <w:tcW w:type="dxa" w:w="2950"/>
            <w:shd w:fill="FFFFFF" w:val="clear"/>
            <w:tcMar>
              <w:top w:type="dxa" w:w="90"/>
              <w:left w:type="dxa" w:w="120"/>
              <w:bottom w:type="dxa" w:w="90"/>
              <w:right w:type="dxa" w:w="120"/>
            </w:tcMar>
          </w:tcPr>
          <w:p>
            <w:r>
              <w:rPr>
                <w:sz w:val="19"/>
                <w:szCs w:val="19"/>
              </w:rPr>
              <w:t xml:space="preserve">Recommended primary source</w:t>
            </w:r>
          </w:p>
        </w:tc>
      </w:tr>
      <w:tr>
        <w:tc>
          <w:tcPr>
            <w:tcW w:type="dxa" w:w="2050"/>
            <w:shd w:fill="F7F8FC" w:val="clear"/>
            <w:tcMar>
              <w:top w:type="dxa" w:w="90"/>
              <w:left w:type="dxa" w:w="120"/>
              <w:bottom w:type="dxa" w:w="90"/>
              <w:right w:type="dxa" w:w="120"/>
            </w:tcMar>
          </w:tcPr>
          <w:p>
            <w:r>
              <w:rPr>
                <w:sz w:val="19"/>
                <w:szCs w:val="19"/>
              </w:rPr>
              <w:t xml:space="preserve">Yelp Fusion / Places API</w:t>
            </w:r>
          </w:p>
        </w:tc>
        <w:tc>
          <w:tcPr>
            <w:tcW w:type="dxa" w:w="2900"/>
            <w:shd w:fill="F7F8FC" w:val="clear"/>
            <w:tcMar>
              <w:top w:type="dxa" w:w="90"/>
              <w:left w:type="dxa" w:w="120"/>
              <w:bottom w:type="dxa" w:w="90"/>
              <w:right w:type="dxa" w:w="120"/>
            </w:tcMar>
          </w:tcPr>
          <w:p>
            <w:r>
              <w:rPr>
                <w:sz w:val="19"/>
                <w:szCs w:val="19"/>
              </w:rPr>
              <w:t xml:space="preserve">Weaker for trades — skews food/nightlife, thin on cleaning &amp; pest control</w:t>
            </w:r>
          </w:p>
        </w:tc>
        <w:tc>
          <w:tcPr>
            <w:tcW w:type="dxa" w:w="2150"/>
            <w:shd w:fill="F7F8FC" w:val="clear"/>
            <w:tcMar>
              <w:top w:type="dxa" w:w="90"/>
              <w:left w:type="dxa" w:w="120"/>
              <w:bottom w:type="dxa" w:w="90"/>
              <w:right w:type="dxa" w:w="120"/>
            </w:tcMar>
          </w:tcPr>
          <w:p>
            <w:r>
              <w:rPr>
                <w:sz w:val="19"/>
                <w:szCs w:val="19"/>
              </w:rPr>
              <w:t xml:space="preserve">$7.99–$14.99 per 1,000 calls, 5,000 free on trial</w:t>
            </w:r>
          </w:p>
        </w:tc>
        <w:tc>
          <w:tcPr>
            <w:tcW w:type="dxa" w:w="2950"/>
            <w:shd w:fill="F7F8FC" w:val="clear"/>
            <w:tcMar>
              <w:top w:type="dxa" w:w="90"/>
              <w:left w:type="dxa" w:w="120"/>
              <w:bottom w:type="dxa" w:w="90"/>
              <w:right w:type="dxa" w:w="120"/>
            </w:tcMar>
          </w:tcPr>
          <w:p>
            <w:r>
              <w:rPr>
                <w:sz w:val="19"/>
                <w:szCs w:val="19"/>
              </w:rPr>
              <w:t xml:space="preserve">Secondary, US-only supplement</w:t>
            </w:r>
          </w:p>
        </w:tc>
      </w:tr>
      <w:tr>
        <w:tc>
          <w:tcPr>
            <w:tcW w:type="dxa" w:w="2050"/>
            <w:shd w:fill="FFFFFF" w:val="clear"/>
            <w:tcMar>
              <w:top w:type="dxa" w:w="90"/>
              <w:left w:type="dxa" w:w="120"/>
              <w:bottom w:type="dxa" w:w="90"/>
              <w:right w:type="dxa" w:w="120"/>
            </w:tcMar>
          </w:tcPr>
          <w:p>
            <w:r>
              <w:rPr>
                <w:sz w:val="19"/>
                <w:szCs w:val="19"/>
              </w:rPr>
              <w:t xml:space="preserve">Hunter.io</w:t>
            </w:r>
          </w:p>
        </w:tc>
        <w:tc>
          <w:tcPr>
            <w:tcW w:type="dxa" w:w="2900"/>
            <w:shd w:fill="FFFFFF" w:val="clear"/>
            <w:tcMar>
              <w:top w:type="dxa" w:w="90"/>
              <w:left w:type="dxa" w:w="120"/>
              <w:bottom w:type="dxa" w:w="90"/>
              <w:right w:type="dxa" w:w="120"/>
            </w:tcMar>
          </w:tcPr>
          <w:p>
            <w:r>
              <w:rPr>
                <w:sz w:val="19"/>
                <w:szCs w:val="19"/>
              </w:rPr>
              <w:t xml:space="preserve">Email enrichment for a found domain</w:t>
            </w:r>
          </w:p>
        </w:tc>
        <w:tc>
          <w:tcPr>
            <w:tcW w:type="dxa" w:w="2150"/>
            <w:shd w:fill="FFFFFF" w:val="clear"/>
            <w:tcMar>
              <w:top w:type="dxa" w:w="90"/>
              <w:left w:type="dxa" w:w="120"/>
              <w:bottom w:type="dxa" w:w="90"/>
              <w:right w:type="dxa" w:w="120"/>
            </w:tcMar>
          </w:tcPr>
          <w:p>
            <w:r>
              <w:rPr>
                <w:sz w:val="19"/>
                <w:szCs w:val="19"/>
              </w:rPr>
              <w:t xml:space="preserve">Already licensed — used for the real-estate agent outreach pack</w:t>
            </w:r>
          </w:p>
        </w:tc>
        <w:tc>
          <w:tcPr>
            <w:tcW w:type="dxa" w:w="2950"/>
            <w:shd w:fill="FFFFFF" w:val="clear"/>
            <w:tcMar>
              <w:top w:type="dxa" w:w="90"/>
              <w:left w:type="dxa" w:w="120"/>
              <w:bottom w:type="dxa" w:w="90"/>
              <w:right w:type="dxa" w:w="120"/>
            </w:tcMar>
          </w:tcPr>
          <w:p>
            <w:r>
              <w:rPr>
                <w:sz w:val="19"/>
                <w:szCs w:val="19"/>
              </w:rPr>
              <w:t xml:space="preserve">Use for the SMS/email opt-in touch</w:t>
            </w:r>
          </w:p>
        </w:tc>
      </w:tr>
    </w:tbl>
    <w:p>
      <w:pPr>
        <w:spacing w:before="160"/>
      </w:pPr>
    </w:p>
    <w:p>
      <w:pPr>
        <w:pStyle w:val="Heading2"/>
        <w:spacing w:after="120" w:before="260"/>
      </w:pPr>
      <w:r>
        <w:t xml:space="preserve">5.2 Pipeline</w:t>
      </w:r>
    </w:p>
    <w:p>
      <w:pPr>
        <w:pStyle w:val="ListParagraph"/>
        <w:numPr>
          <w:ilvl w:val="0"/>
          <w:numId w:val="2"/>
        </w:numPr>
        <w:spacing w:after="60"/>
      </w:pPr>
      <w:r>
        <w:t xml:space="preserve">Google Places API pulls raw leads by category + geography (start: Australian capital-city metros, then a handful of large US metros).</w:t>
      </w:r>
    </w:p>
    <w:p>
      <w:pPr>
        <w:pStyle w:val="ListParagraph"/>
        <w:numPr>
          <w:ilvl w:val="0"/>
          <w:numId w:val="2"/>
        </w:numPr>
        <w:spacing w:after="60"/>
      </w:pPr>
      <w:r>
        <w:t xml:space="preserve">Enrichment step tags each lead with the qualifying signals from §4.1, scores fit, and pulls an email via Hunter.io where a website/domain exists.</w:t>
      </w:r>
    </w:p>
    <w:p>
      <w:pPr>
        <w:pStyle w:val="ListParagraph"/>
        <w:numPr>
          <w:ilvl w:val="0"/>
          <w:numId w:val="2"/>
        </w:numPr>
        <w:spacing w:after="60"/>
      </w:pPr>
      <w:r>
        <w:t xml:space="preserve">Leads land directly in BookdIn's own CRM (dogfooding the product) as new contacts at the “Lead” stage, with lead_source = “AI Outbound”, so the whole program is trackable inside the tool being sold.</w:t>
      </w:r>
    </w:p>
    <w:p>
      <w:pPr>
        <w:pStyle w:val="ListParagraph"/>
        <w:numPr>
          <w:ilvl w:val="0"/>
          <w:numId w:val="2"/>
        </w:numPr>
        <w:spacing w:after="60"/>
      </w:pPr>
      <w:r>
        <w:t xml:space="preserve">US leads route through the SMS/email opt-in gate before ever reaching the call queue; AU leads go straight to the call queue.</w:t>
      </w:r>
    </w:p>
    <w:p>
      <w:pPr>
        <w:pStyle w:val="Heading1"/>
        <w:spacing w:after="160" w:before="360"/>
      </w:pPr>
      <w:r>
        <w:t xml:space="preserve">6. Technical Architecture</w:t>
      </w:r>
    </w:p>
    <w:p>
      <w:pPr>
        <w:spacing w:after="140"/>
      </w:pPr>
      <w:r>
        <w:t xml:space="preserve">BookdIn already has Vapi + Twilio wired up for Aria (the after-hours receptionist). Reuse that infrastructure rather than standing up a second stack — but as a separate assistant persona, not Aria herself, so the customer-facing after-hours voice and the outbound sales voice stay distinct.</w:t>
      </w:r>
    </w:p>
    <w:p>
      <w:pPr>
        <w:pStyle w:val="ListParagraph"/>
        <w:numPr>
          <w:ilvl w:val="0"/>
          <w:numId w:val="2"/>
        </w:numPr>
        <w:spacing w:after="60"/>
      </w:pPr>
      <w:r>
        <w:t xml:space="preserve">A second Vapi assistant (“BookdIn Outbound”, distinct voice from Aria) with its own system prompt, built from the call framework in §7.</w:t>
      </w:r>
    </w:p>
    <w:p>
      <w:pPr>
        <w:pStyle w:val="ListParagraph"/>
        <w:numPr>
          <w:ilvl w:val="0"/>
          <w:numId w:val="2"/>
        </w:numPr>
        <w:spacing w:after="60"/>
      </w:pPr>
      <w:r>
        <w:t xml:space="preserve">Twilio for outbound dialing; a small queue/worker service throttles call volume, respects calling-hour windows per state/timezone, and retries voicemail drops on a delay rather than immediately.</w:t>
      </w:r>
    </w:p>
    <w:p>
      <w:pPr>
        <w:pStyle w:val="ListParagraph"/>
        <w:numPr>
          <w:ilvl w:val="0"/>
          <w:numId w:val="2"/>
        </w:numPr>
        <w:spacing w:after="60"/>
      </w:pPr>
      <w:r>
        <w:t xml:space="preserve">Every call result (connected / voicemail / no answer / declined / trial signup) posts back to BookdIn's CRM via webhook, advancing the contact's pipeline stage automatically — the same stage-automation logic already built for the CRM (see stageAutomation.ts) can likely be reused almost as-is.</w:t>
      </w:r>
    </w:p>
    <w:p>
      <w:pPr>
        <w:pStyle w:val="ListParagraph"/>
        <w:numPr>
          <w:ilvl w:val="0"/>
          <w:numId w:val="2"/>
        </w:numPr>
        <w:spacing w:after="60"/>
      </w:pPr>
      <w:r>
        <w:t xml:space="preserve">A simple internal dashboard (could live inside BookdIn itself, another dogfooding opportunity) tracks calls placed, connect rate, trial signups, and trial→paid conversion by campaign batch.</w:t>
      </w:r>
    </w:p>
    <w:p>
      <w:pPr>
        <w:pStyle w:val="Heading1"/>
        <w:spacing w:after="160" w:before="360"/>
      </w:pPr>
      <w:r>
        <w:t xml:space="preserve">7. The Call Framework</w:t>
      </w:r>
    </w:p>
    <w:p>
      <w:pPr>
        <w:spacing w:after="140"/>
      </w:pPr>
      <w:r>
        <w:t xml:space="preserve">Structure built for a fast, honest, high-conversion call — same psychological shape as the fake-customer version (pattern interrupt → pain point → solution → low-friction ask), minus the fabricated pretext.</w:t>
      </w:r>
    </w:p>
    <w:p>
      <w:pPr>
        <w:pStyle w:val="ListParagraph"/>
        <w:numPr>
          <w:ilvl w:val="0"/>
          <w:numId w:val="2"/>
        </w:numPr>
        <w:spacing w:after="60"/>
      </w:pPr>
      <w:r>
        <w:rPr>
          <w:b/>
          <w:bCs/>
        </w:rPr>
        <w:t xml:space="preserve">Opener (honest pattern interrupt): </w:t>
      </w:r>
      <w:r>
        <w:t xml:space="preserve">“Hi, this is [name] calling on behalf of BookdIn — quick one: if a customer tries to book with you after 6pm tonight, does anyone actually pick up?”</w:t>
      </w:r>
    </w:p>
    <w:p>
      <w:pPr>
        <w:pStyle w:val="ListParagraph"/>
        <w:numPr>
          <w:ilvl w:val="0"/>
          <w:numId w:val="2"/>
        </w:numPr>
        <w:spacing w:after="60"/>
      </w:pPr>
      <w:r>
        <w:rPr>
          <w:b/>
          <w:bCs/>
        </w:rPr>
        <w:t xml:space="preserve">Discovery (1–2 questions, not an interrogation): </w:t>
      </w:r>
      <w:r>
        <w:t xml:space="preserve">how they currently take bookings; roughly how many calls they think they miss after hours or when the team's on a job.</w:t>
      </w:r>
    </w:p>
    <w:p>
      <w:pPr>
        <w:pStyle w:val="ListParagraph"/>
        <w:numPr>
          <w:ilvl w:val="0"/>
          <w:numId w:val="2"/>
        </w:numPr>
        <w:spacing w:after="60"/>
      </w:pPr>
      <w:r>
        <w:rPr>
          <w:b/>
          <w:bCs/>
        </w:rPr>
        <w:t xml:space="preserve">Problem agitation, with a number: </w:t>
      </w:r>
      <w:r>
        <w:t xml:space="preserve">an average missed-call-to-lost-job estimate specific to their trade, framed as a specific dollar figure per week, not a vague “you're losing business.”</w:t>
      </w:r>
    </w:p>
    <w:p>
      <w:pPr>
        <w:pStyle w:val="ListParagraph"/>
        <w:numPr>
          <w:ilvl w:val="0"/>
          <w:numId w:val="2"/>
        </w:numPr>
        <w:spacing w:after="60"/>
      </w:pPr>
      <w:r>
        <w:rPr>
          <w:b/>
          <w:bCs/>
        </w:rPr>
        <w:t xml:space="preserve">Solution + proof: </w:t>
      </w:r>
      <w:r>
        <w:t xml:space="preserve">BookdIn's Aria answers after-hours calls and books the job automatically — and the AI Agent gives a daily brief on what needs attention. Genuine social proof available: Jonathan runs Clean Freaks on BookdIn himself, across four Australian cities — this is a real operator's tool, not a pitch deck.</w:t>
      </w:r>
    </w:p>
    <w:p>
      <w:pPr>
        <w:pStyle w:val="ListParagraph"/>
        <w:numPr>
          <w:ilvl w:val="0"/>
          <w:numId w:val="2"/>
        </w:numPr>
        <w:spacing w:after="60"/>
      </w:pPr>
      <w:r>
        <w:rPr>
          <w:b/>
          <w:bCs/>
        </w:rPr>
        <w:t xml:space="preserve">Low-friction close: </w:t>
      </w:r>
      <w:r>
        <w:t xml:space="preserve">“14 days, free, no card. Want me to text you the link right now?” — the ask is a trial, not a purchase, which is the whole point of keeping the commitment small.</w:t>
      </w:r>
    </w:p>
    <w:p>
      <w:pPr>
        <w:pStyle w:val="ListParagraph"/>
        <w:numPr>
          <w:ilvl w:val="0"/>
          <w:numId w:val="2"/>
        </w:numPr>
        <w:spacing w:after="60"/>
      </w:pPr>
      <w:r>
        <w:rPr>
          <w:b/>
          <w:bCs/>
        </w:rPr>
        <w:t xml:space="preserve">Objection handling: </w:t>
      </w:r>
      <w:r>
        <w:t xml:space="preserve">see table below.</w:t>
      </w:r>
    </w:p>
    <w:p>
      <w:pPr>
        <w:pStyle w:val="Heading2"/>
        <w:spacing w:after="120" w:before="260"/>
      </w:pPr>
      <w:r>
        <w:t xml:space="preserve">7.1 Objection handling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0A0F1E" w:val="clear"/>
            <w:tcMar>
              <w:top w:type="dxa" w:w="100"/>
              <w:left w:type="dxa" w:w="120"/>
              <w:bottom w:type="dxa" w:w="100"/>
              <w:right w:type="dxa" w:w="120"/>
            </w:tcMar>
          </w:tcPr>
          <w:p>
            <w:r>
              <w:rPr>
                <w:b/>
                <w:bCs/>
                <w:color w:val="FFFFFF"/>
                <w:sz w:val="20"/>
                <w:szCs w:val="20"/>
              </w:rPr>
              <w:t xml:space="preserve">Objection</w:t>
            </w:r>
          </w:p>
        </w:tc>
        <w:tc>
          <w:tcPr>
            <w:tcW w:type="dxa" w:w="6050"/>
            <w:shd w:fill="0A0F1E" w:val="clear"/>
            <w:tcMar>
              <w:top w:type="dxa" w:w="100"/>
              <w:left w:type="dxa" w:w="120"/>
              <w:bottom w:type="dxa" w:w="100"/>
              <w:right w:type="dxa" w:w="120"/>
            </w:tcMar>
          </w:tcPr>
          <w:p>
            <w:r>
              <w:rPr>
                <w:b/>
                <w:bCs/>
                <w:color w:val="FFFFFF"/>
                <w:sz w:val="20"/>
                <w:szCs w:val="20"/>
              </w:rPr>
              <w:t xml:space="preserve">Response direction</w:t>
            </w:r>
          </w:p>
        </w:tc>
      </w:tr>
      <w:tr>
        <w:tc>
          <w:tcPr>
            <w:tcW w:type="dxa" w:w="3300"/>
            <w:shd w:fill="FFFFFF" w:val="clear"/>
            <w:tcMar>
              <w:top w:type="dxa" w:w="90"/>
              <w:left w:type="dxa" w:w="120"/>
              <w:bottom w:type="dxa" w:w="90"/>
              <w:right w:type="dxa" w:w="120"/>
            </w:tcMar>
          </w:tcPr>
          <w:p>
            <w:r>
              <w:rPr>
                <w:sz w:val="19"/>
                <w:szCs w:val="19"/>
              </w:rPr>
              <w:t xml:space="preserve">“We already have a booking system”</w:t>
            </w:r>
          </w:p>
        </w:tc>
        <w:tc>
          <w:tcPr>
            <w:tcW w:type="dxa" w:w="6050"/>
            <w:shd w:fill="FFFFFF" w:val="clear"/>
            <w:tcMar>
              <w:top w:type="dxa" w:w="90"/>
              <w:left w:type="dxa" w:w="120"/>
              <w:bottom w:type="dxa" w:w="90"/>
              <w:right w:type="dxa" w:w="120"/>
            </w:tcMar>
          </w:tcPr>
          <w:p>
            <w:r>
              <w:rPr>
                <w:sz w:val="19"/>
                <w:szCs w:val="19"/>
              </w:rPr>
              <w:t xml:space="preserve">Ask if it answers the phone after hours — most don't. Reframe as complementary, not a rip-and-replace.</w:t>
            </w:r>
          </w:p>
        </w:tc>
      </w:tr>
      <w:tr>
        <w:tc>
          <w:tcPr>
            <w:tcW w:type="dxa" w:w="3300"/>
            <w:shd w:fill="F7F8FC" w:val="clear"/>
            <w:tcMar>
              <w:top w:type="dxa" w:w="90"/>
              <w:left w:type="dxa" w:w="120"/>
              <w:bottom w:type="dxa" w:w="90"/>
              <w:right w:type="dxa" w:w="120"/>
            </w:tcMar>
          </w:tcPr>
          <w:p>
            <w:r>
              <w:rPr>
                <w:sz w:val="19"/>
                <w:szCs w:val="19"/>
              </w:rPr>
              <w:t xml:space="preserve">“Send me something in writing”</w:t>
            </w:r>
          </w:p>
        </w:tc>
        <w:tc>
          <w:tcPr>
            <w:tcW w:type="dxa" w:w="6050"/>
            <w:shd w:fill="F7F8FC" w:val="clear"/>
            <w:tcMar>
              <w:top w:type="dxa" w:w="90"/>
              <w:left w:type="dxa" w:w="120"/>
              <w:bottom w:type="dxa" w:w="90"/>
              <w:right w:type="dxa" w:w="120"/>
            </w:tcMar>
          </w:tcPr>
          <w:p>
            <w:r>
              <w:rPr>
                <w:sz w:val="19"/>
                <w:szCs w:val="19"/>
              </w:rPr>
              <w:t xml:space="preserve">Send the SMS/link immediately, on the call — removes the “I'll get to it later” drop-off, and confirms the number is real.</w:t>
            </w:r>
          </w:p>
        </w:tc>
      </w:tr>
      <w:tr>
        <w:tc>
          <w:tcPr>
            <w:tcW w:type="dxa" w:w="3300"/>
            <w:shd w:fill="FFFFFF" w:val="clear"/>
            <w:tcMar>
              <w:top w:type="dxa" w:w="90"/>
              <w:left w:type="dxa" w:w="120"/>
              <w:bottom w:type="dxa" w:w="90"/>
              <w:right w:type="dxa" w:w="120"/>
            </w:tcMar>
          </w:tcPr>
          <w:p>
            <w:r>
              <w:rPr>
                <w:sz w:val="19"/>
                <w:szCs w:val="19"/>
              </w:rPr>
              <w:t xml:space="preserve">“We're too small for this”</w:t>
            </w:r>
          </w:p>
        </w:tc>
        <w:tc>
          <w:tcPr>
            <w:tcW w:type="dxa" w:w="6050"/>
            <w:shd w:fill="FFFFFF" w:val="clear"/>
            <w:tcMar>
              <w:top w:type="dxa" w:w="90"/>
              <w:left w:type="dxa" w:w="120"/>
              <w:bottom w:type="dxa" w:w="90"/>
              <w:right w:type="dxa" w:w="120"/>
            </w:tcMar>
          </w:tcPr>
          <w:p>
            <w:r>
              <w:rPr>
                <w:sz w:val="19"/>
                <w:szCs w:val="19"/>
              </w:rPr>
              <w:t xml:space="preserve">Starter tier ($49/mo) exists exactly for 1–3-person teams — name the price on the call, don't make them ask.</w:t>
            </w:r>
          </w:p>
        </w:tc>
      </w:tr>
      <w:tr>
        <w:tc>
          <w:tcPr>
            <w:tcW w:type="dxa" w:w="3300"/>
            <w:shd w:fill="F7F8FC" w:val="clear"/>
            <w:tcMar>
              <w:top w:type="dxa" w:w="90"/>
              <w:left w:type="dxa" w:w="120"/>
              <w:bottom w:type="dxa" w:w="90"/>
              <w:right w:type="dxa" w:w="120"/>
            </w:tcMar>
          </w:tcPr>
          <w:p>
            <w:r>
              <w:rPr>
                <w:sz w:val="19"/>
                <w:szCs w:val="19"/>
              </w:rPr>
              <w:t xml:space="preserve">“Not interested”</w:t>
            </w:r>
          </w:p>
        </w:tc>
        <w:tc>
          <w:tcPr>
            <w:tcW w:type="dxa" w:w="6050"/>
            <w:shd w:fill="F7F8FC" w:val="clear"/>
            <w:tcMar>
              <w:top w:type="dxa" w:w="90"/>
              <w:left w:type="dxa" w:w="120"/>
              <w:bottom w:type="dxa" w:w="90"/>
              <w:right w:type="dxa" w:w="120"/>
            </w:tcMar>
          </w:tcPr>
          <w:p>
            <w:r>
              <w:rPr>
                <w:sz w:val="19"/>
                <w:szCs w:val="19"/>
              </w:rPr>
              <w:t xml:space="preserve">One honest follow-up question (“no worries — is it a bad time, or just not for you?”), then a graceful close. No pressure past a clear no — also the compliant move re: opt-out handling.</w:t>
            </w:r>
          </w:p>
        </w:tc>
      </w:tr>
      <w:tr>
        <w:tc>
          <w:tcPr>
            <w:tcW w:type="dxa" w:w="3300"/>
            <w:shd w:fill="FFFFFF" w:val="clear"/>
            <w:tcMar>
              <w:top w:type="dxa" w:w="90"/>
              <w:left w:type="dxa" w:w="120"/>
              <w:bottom w:type="dxa" w:w="90"/>
              <w:right w:type="dxa" w:w="120"/>
            </w:tcMar>
          </w:tcPr>
          <w:p>
            <w:r>
              <w:rPr>
                <w:sz w:val="19"/>
                <w:szCs w:val="19"/>
              </w:rPr>
              <w:t xml:space="preserve">“Is this a real person?”</w:t>
            </w:r>
          </w:p>
        </w:tc>
        <w:tc>
          <w:tcPr>
            <w:tcW w:type="dxa" w:w="6050"/>
            <w:shd w:fill="FFFFFF" w:val="clear"/>
            <w:tcMar>
              <w:top w:type="dxa" w:w="90"/>
              <w:left w:type="dxa" w:w="120"/>
              <w:bottom w:type="dxa" w:w="90"/>
              <w:right w:type="dxa" w:w="120"/>
            </w:tcMar>
          </w:tcPr>
          <w:p>
            <w:r>
              <w:rPr>
                <w:sz w:val="19"/>
                <w:szCs w:val="19"/>
              </w:rPr>
              <w:t xml:space="preserve">Answer honestly — “I'm an AI calling on BookdIn's behalf” — immediately, then continue. Honesty here is the whole premise of the pitch, so getting caught softening it undercuts the sale.</w:t>
            </w:r>
          </w:p>
        </w:tc>
      </w:tr>
    </w:tbl>
    <w:p>
      <w:pPr>
        <w:pStyle w:val="Heading1"/>
        <w:spacing w:after="160" w:before="360"/>
      </w:pPr>
      <w:r>
        <w:t xml:space="preserve">8. Trial-to-Paid Conversion</w:t>
      </w:r>
    </w:p>
    <w:p>
      <w:pPr>
        <w:pStyle w:val="ListParagraph"/>
        <w:numPr>
          <w:ilvl w:val="0"/>
          <w:numId w:val="2"/>
        </w:numPr>
        <w:spacing w:after="60"/>
      </w:pPr>
      <w:r>
        <w:t xml:space="preserve">Day 0: trial signup confirmation + a short “what to set up first” checklist (mirrors the guided onboarding already used elsewhere in BookdIn).</w:t>
      </w:r>
    </w:p>
    <w:p>
      <w:pPr>
        <w:pStyle w:val="ListParagraph"/>
        <w:numPr>
          <w:ilvl w:val="0"/>
          <w:numId w:val="2"/>
        </w:numPr>
        <w:spacing w:after="60"/>
      </w:pPr>
      <w:r>
        <w:t xml:space="preserve">Day 3: automated check-in — has Aria taken a call yet? If not, a nudge with a one-tap setup fix.</w:t>
      </w:r>
    </w:p>
    <w:p>
      <w:pPr>
        <w:pStyle w:val="ListParagraph"/>
        <w:numPr>
          <w:ilvl w:val="0"/>
          <w:numId w:val="2"/>
        </w:numPr>
        <w:spacing w:after="60"/>
      </w:pPr>
      <w:r>
        <w:t xml:space="preserve">Day 10: value recap (“Aria's answered X calls this trial”) + upgrade prompt before the trial ends.</w:t>
      </w:r>
    </w:p>
    <w:p>
      <w:pPr>
        <w:pStyle w:val="ListParagraph"/>
        <w:numPr>
          <w:ilvl w:val="0"/>
          <w:numId w:val="2"/>
        </w:numPr>
        <w:spacing w:after="60"/>
      </w:pPr>
      <w:r>
        <w:t xml:space="preserve">Day 14: trial end — downgrade to view-only rather than hard cutoff, with a simple one-click reactivate-to-paid flow.</w:t>
      </w:r>
    </w:p>
    <w:p>
      <w:pPr>
        <w:pStyle w:val="ListParagraph"/>
        <w:numPr>
          <w:ilvl w:val="0"/>
          <w:numId w:val="2"/>
        </w:numPr>
        <w:spacing w:after="60"/>
      </w:pPr>
      <w:r>
        <w:t xml:space="preserve">Any trial that goes cold gets one AI follow-up call at day 12, same honest framing, before the trial lapses.</w:t>
      </w:r>
    </w:p>
    <w:p>
      <w:pPr>
        <w:pStyle w:val="Heading1"/>
        <w:spacing w:after="160" w:before="360"/>
      </w:pPr>
      <w:r>
        <w:t xml:space="preserve">9. Metrics &amp;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A0F1E" w:val="clear"/>
            <w:tcMar>
              <w:top w:type="dxa" w:w="100"/>
              <w:left w:type="dxa" w:w="120"/>
              <w:bottom w:type="dxa" w:w="100"/>
              <w:right w:type="dxa" w:w="120"/>
            </w:tcMar>
          </w:tcPr>
          <w:p>
            <w:r>
              <w:rPr>
                <w:b/>
                <w:bCs/>
                <w:color w:val="FFFFFF"/>
                <w:sz w:val="20"/>
                <w:szCs w:val="20"/>
              </w:rPr>
              <w:t xml:space="preserve">Metric</w:t>
            </w:r>
          </w:p>
        </w:tc>
        <w:tc>
          <w:tcPr>
            <w:tcW w:type="dxa" w:w="6150"/>
            <w:shd w:fill="0A0F1E" w:val="clear"/>
            <w:tcMar>
              <w:top w:type="dxa" w:w="100"/>
              <w:left w:type="dxa" w:w="120"/>
              <w:bottom w:type="dxa" w:w="100"/>
              <w:right w:type="dxa" w:w="120"/>
            </w:tcMar>
          </w:tcPr>
          <w:p>
            <w:r>
              <w:rPr>
                <w:b/>
                <w:bCs/>
                <w:color w:val="FFFFFF"/>
                <w:sz w:val="20"/>
                <w:szCs w:val="20"/>
              </w:rPr>
              <w:t xml:space="preserve">What it tells you</w:t>
            </w:r>
          </w:p>
        </w:tc>
      </w:tr>
      <w:tr>
        <w:tc>
          <w:tcPr>
            <w:tcW w:type="dxa" w:w="3200"/>
            <w:shd w:fill="FFFFFF" w:val="clear"/>
            <w:tcMar>
              <w:top w:type="dxa" w:w="90"/>
              <w:left w:type="dxa" w:w="120"/>
              <w:bottom w:type="dxa" w:w="90"/>
              <w:right w:type="dxa" w:w="120"/>
            </w:tcMar>
          </w:tcPr>
          <w:p>
            <w:r>
              <w:rPr>
                <w:sz w:val="19"/>
                <w:szCs w:val="19"/>
              </w:rPr>
              <w:t xml:space="preserve">Connect rate</w:t>
            </w:r>
          </w:p>
        </w:tc>
        <w:tc>
          <w:tcPr>
            <w:tcW w:type="dxa" w:w="6150"/>
            <w:shd w:fill="FFFFFF" w:val="clear"/>
            <w:tcMar>
              <w:top w:type="dxa" w:w="90"/>
              <w:left w:type="dxa" w:w="120"/>
              <w:bottom w:type="dxa" w:w="90"/>
              <w:right w:type="dxa" w:w="120"/>
            </w:tcMar>
          </w:tcPr>
          <w:p>
            <w:r>
              <w:rPr>
                <w:sz w:val="19"/>
                <w:szCs w:val="19"/>
              </w:rPr>
              <w:t xml:space="preserve">% of dialed numbers that result in a live conversation</w:t>
            </w:r>
          </w:p>
        </w:tc>
      </w:tr>
      <w:tr>
        <w:tc>
          <w:tcPr>
            <w:tcW w:type="dxa" w:w="3200"/>
            <w:shd w:fill="F7F8FC" w:val="clear"/>
            <w:tcMar>
              <w:top w:type="dxa" w:w="90"/>
              <w:left w:type="dxa" w:w="120"/>
              <w:bottom w:type="dxa" w:w="90"/>
              <w:right w:type="dxa" w:w="120"/>
            </w:tcMar>
          </w:tcPr>
          <w:p>
            <w:r>
              <w:rPr>
                <w:sz w:val="19"/>
                <w:szCs w:val="19"/>
              </w:rPr>
              <w:t xml:space="preserve">Opt-in rate (US)</w:t>
            </w:r>
          </w:p>
        </w:tc>
        <w:tc>
          <w:tcPr>
            <w:tcW w:type="dxa" w:w="6150"/>
            <w:shd w:fill="F7F8FC" w:val="clear"/>
            <w:tcMar>
              <w:top w:type="dxa" w:w="90"/>
              <w:left w:type="dxa" w:w="120"/>
              <w:bottom w:type="dxa" w:w="90"/>
              <w:right w:type="dxa" w:w="120"/>
            </w:tcMar>
          </w:tcPr>
          <w:p>
            <w:r>
              <w:rPr>
                <w:sz w:val="19"/>
                <w:szCs w:val="19"/>
              </w:rPr>
              <w:t xml:space="preserve">% of SMS/email touches that reply YES and enter the call queue</w:t>
            </w:r>
          </w:p>
        </w:tc>
      </w:tr>
      <w:tr>
        <w:tc>
          <w:tcPr>
            <w:tcW w:type="dxa" w:w="3200"/>
            <w:shd w:fill="FFFFFF" w:val="clear"/>
            <w:tcMar>
              <w:top w:type="dxa" w:w="90"/>
              <w:left w:type="dxa" w:w="120"/>
              <w:bottom w:type="dxa" w:w="90"/>
              <w:right w:type="dxa" w:w="120"/>
            </w:tcMar>
          </w:tcPr>
          <w:p>
            <w:r>
              <w:rPr>
                <w:sz w:val="19"/>
                <w:szCs w:val="19"/>
              </w:rPr>
              <w:t xml:space="preserve">Trial signup rate</w:t>
            </w:r>
          </w:p>
        </w:tc>
        <w:tc>
          <w:tcPr>
            <w:tcW w:type="dxa" w:w="6150"/>
            <w:shd w:fill="FFFFFF" w:val="clear"/>
            <w:tcMar>
              <w:top w:type="dxa" w:w="90"/>
              <w:left w:type="dxa" w:w="120"/>
              <w:bottom w:type="dxa" w:w="90"/>
              <w:right w:type="dxa" w:w="120"/>
            </w:tcMar>
          </w:tcPr>
          <w:p>
            <w:r>
              <w:rPr>
                <w:sz w:val="19"/>
                <w:szCs w:val="19"/>
              </w:rPr>
              <w:t xml:space="preserve">% of connected calls that end in a trial signup</w:t>
            </w:r>
          </w:p>
        </w:tc>
      </w:tr>
      <w:tr>
        <w:tc>
          <w:tcPr>
            <w:tcW w:type="dxa" w:w="3200"/>
            <w:shd w:fill="F7F8FC" w:val="clear"/>
            <w:tcMar>
              <w:top w:type="dxa" w:w="90"/>
              <w:left w:type="dxa" w:w="120"/>
              <w:bottom w:type="dxa" w:w="90"/>
              <w:right w:type="dxa" w:w="120"/>
            </w:tcMar>
          </w:tcPr>
          <w:p>
            <w:r>
              <w:rPr>
                <w:sz w:val="19"/>
                <w:szCs w:val="19"/>
              </w:rPr>
              <w:t xml:space="preserve">Trial→paid conversion</w:t>
            </w:r>
          </w:p>
        </w:tc>
        <w:tc>
          <w:tcPr>
            <w:tcW w:type="dxa" w:w="6150"/>
            <w:shd w:fill="F7F8FC" w:val="clear"/>
            <w:tcMar>
              <w:top w:type="dxa" w:w="90"/>
              <w:left w:type="dxa" w:w="120"/>
              <w:bottom w:type="dxa" w:w="90"/>
              <w:right w:type="dxa" w:w="120"/>
            </w:tcMar>
          </w:tcPr>
          <w:p>
            <w:r>
              <w:rPr>
                <w:sz w:val="19"/>
                <w:szCs w:val="19"/>
              </w:rPr>
              <w:t xml:space="preserve">% of trials that convert to a paying subscription</w:t>
            </w:r>
          </w:p>
        </w:tc>
      </w:tr>
      <w:tr>
        <w:tc>
          <w:tcPr>
            <w:tcW w:type="dxa" w:w="3200"/>
            <w:shd w:fill="FFFFFF" w:val="clear"/>
            <w:tcMar>
              <w:top w:type="dxa" w:w="90"/>
              <w:left w:type="dxa" w:w="120"/>
              <w:bottom w:type="dxa" w:w="90"/>
              <w:right w:type="dxa" w:w="120"/>
            </w:tcMar>
          </w:tcPr>
          <w:p>
            <w:r>
              <w:rPr>
                <w:sz w:val="19"/>
                <w:szCs w:val="19"/>
              </w:rPr>
              <w:t xml:space="preserve">Cost per paying customer</w:t>
            </w:r>
          </w:p>
        </w:tc>
        <w:tc>
          <w:tcPr>
            <w:tcW w:type="dxa" w:w="6150"/>
            <w:shd w:fill="FFFFFF" w:val="clear"/>
            <w:tcMar>
              <w:top w:type="dxa" w:w="90"/>
              <w:left w:type="dxa" w:w="120"/>
              <w:bottom w:type="dxa" w:w="90"/>
              <w:right w:type="dxa" w:w="120"/>
            </w:tcMar>
          </w:tcPr>
          <w:p>
            <w:r>
              <w:rPr>
                <w:sz w:val="19"/>
                <w:szCs w:val="19"/>
              </w:rPr>
              <w:t xml:space="preserve">Total program cost ÷ paying customers acquired — the number that decides whether to scale</w:t>
            </w:r>
          </w:p>
        </w:tc>
      </w:tr>
    </w:tbl>
    <w:p>
      <w:pPr>
        <w:pStyle w:val="Heading1"/>
        <w:spacing w:after="160" w:before="360"/>
      </w:pPr>
      <w:r>
        <w:t xml:space="preserve">10. Phased Rollout</w:t>
      </w:r>
    </w:p>
    <w:p>
      <w:pPr>
        <w:pStyle w:val="ListParagraph"/>
        <w:numPr>
          <w:ilvl w:val="0"/>
          <w:numId w:val="2"/>
        </w:numPr>
        <w:spacing w:after="60"/>
      </w:pPr>
      <w:r>
        <w:rPr>
          <w:b/>
          <w:bCs/>
        </w:rPr>
        <w:t xml:space="preserve">Phase 1 — Pilot (2–3 weeks): </w:t>
      </w:r>
      <w:r>
        <w:t xml:space="preserve">Australia only, 200–500 leads, one metro, human-reviewed call recordings daily to tune the script before any real scale.</w:t>
      </w:r>
    </w:p>
    <w:p>
      <w:pPr>
        <w:pStyle w:val="ListParagraph"/>
        <w:numPr>
          <w:ilvl w:val="0"/>
          <w:numId w:val="2"/>
        </w:numPr>
        <w:spacing w:after="60"/>
      </w:pPr>
      <w:r>
        <w:rPr>
          <w:b/>
          <w:bCs/>
        </w:rPr>
        <w:t xml:space="preserve">Phase 2 — AU scale + US pilot: </w:t>
      </w:r>
      <w:r>
        <w:t xml:space="preserve">expand AU to multiple metros once conversion is proven; stand up the US consent-first (SMS/email opt-in) sequence and pilot it small.</w:t>
      </w:r>
    </w:p>
    <w:p>
      <w:pPr>
        <w:pStyle w:val="ListParagraph"/>
        <w:numPr>
          <w:ilvl w:val="0"/>
          <w:numId w:val="2"/>
        </w:numPr>
        <w:spacing w:after="60"/>
      </w:pPr>
      <w:r>
        <w:rPr>
          <w:b/>
          <w:bCs/>
        </w:rPr>
        <w:t xml:space="preserve">Phase 3 — Scale both markets: </w:t>
      </w:r>
      <w:r>
        <w:t xml:space="preserve">once cost-per-paying-customer is known and healthy, increase lead volume and consider additional English-speaking markets (UK, NZ, Canada) — each needs its own quick compliance check before launch, same as AU/US did here.</w:t>
      </w:r>
    </w:p>
    <w:p>
      <w:pPr>
        <w:pStyle w:val="Heading1"/>
        <w:spacing w:after="160" w:before="360"/>
      </w:pPr>
      <w:r>
        <w:t xml:space="preserve">11. Open Questions for Jonathan</w:t>
      </w:r>
    </w:p>
    <w:p>
      <w:pPr>
        <w:pStyle w:val="ListParagraph"/>
        <w:numPr>
          <w:ilvl w:val="0"/>
          <w:numId w:val="2"/>
        </w:numPr>
        <w:spacing w:after="60"/>
      </w:pPr>
      <w:r>
        <w:t xml:space="preserve">Where should AI-driven trial signups sit relative to the existing human sales-agent commission program ($150 upfront + 15% recurring, months 1–12, + 8% ongoing)? Worth deciding before scale, since it affects unit economics.</w:t>
      </w:r>
    </w:p>
    <w:p>
      <w:pPr>
        <w:pStyle w:val="ListParagraph"/>
        <w:numPr>
          <w:ilvl w:val="0"/>
          <w:numId w:val="2"/>
        </w:numPr>
        <w:spacing w:after="60"/>
      </w:pPr>
      <w:r>
        <w:t xml:space="preserve">Who reviews call recordings during the pilot, and how often — daily seems right for the first couple of weeks.</w:t>
      </w:r>
    </w:p>
    <w:p>
      <w:pPr>
        <w:pStyle w:val="ListParagraph"/>
        <w:numPr>
          <w:ilvl w:val="0"/>
          <w:numId w:val="2"/>
        </w:numPr>
        <w:spacing w:after="60"/>
      </w:pPr>
      <w:r>
        <w:t xml:space="preserve">Voice/persona for the outbound assistant — same voice as Aria, or deliberately different so prospects don't confuse “the salesperson” with “the product” after they sign up?</w:t>
      </w:r>
    </w:p>
    <w:p>
      <w:pPr>
        <w:pStyle w:val="ListParagraph"/>
        <w:numPr>
          <w:ilvl w:val="0"/>
          <w:numId w:val="2"/>
        </w:numPr>
        <w:spacing w:after="60"/>
      </w:pPr>
      <w:r>
        <w:t xml:space="preserve">Starting geography within Australia — Melbourne/Perth/Adelaide first (cities you already have local knowledge of via Clean Freaks), or a broader spread?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2026-08-12T07:15:39.221Z</dcterms:created>
  <dcterms:modified xsi:type="dcterms:W3CDTF">2026-08-12T07:15:39.221Z</dcterms:modified>
</cp:coreProperties>
</file>

<file path=docProps/custom.xml><?xml version="1.0" encoding="utf-8"?>
<Properties xmlns="http://schemas.openxmlformats.org/officeDocument/2006/custom-properties" xmlns:vt="http://schemas.openxmlformats.org/officeDocument/2006/docPropsVTypes"/>
</file>