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BookdIn</w:t>
      </w:r>
    </w:p>
    <w:p>
      <w:pPr>
        <w:spacing w:after="40"/>
      </w:pPr>
      <w:r>
        <w:rPr>
          <w:color w:val="666666"/>
          <w:sz w:val="28"/>
          <w:szCs w:val="28"/>
        </w:rPr>
        <w:t xml:space="preserve">Pricing Structure — Reference Brief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Updated 12 Aug 2026 — reflects the live tenant pricing on bookdin.co</w:t>
      </w:r>
    </w:p>
    <w:p>
      <w:pPr>
        <w:pBdr>
          <w:left w:val="single" w:color="2563FF" w:sz="12" w:space="8"/>
        </w:pBdr>
        <w:spacing w:after="200"/>
      </w:pPr>
      <w:r>
        <w:rPr>
          <w:i/>
          <w:iCs/>
          <w:color w:val="666666"/>
        </w:rPr>
        <w:t xml:space="preserve">Status: This pricing structure is live on the bookdin.co marketing site (3-tier cards, monthly/yearly toggle, feature overflow reveal). This document is kept as the source-of-truth reference for the numbers and feature gating — update it whenever pricing changes.</w:t>
      </w:r>
    </w:p>
    <w:p>
      <w:pPr>
        <w:pStyle w:val="Heading1"/>
        <w:spacing w:after="150" w:before="300"/>
      </w:pPr>
      <w:r>
        <w:t xml:space="preserve">Reference: How ConvertLabs Does It</w:t>
      </w:r>
    </w:p>
    <w:p>
      <w:pPr>
        <w:spacing w:after="120"/>
      </w:pPr>
      <w:r>
        <w:t xml:space="preserve">ConvertLabs uses a 3-tier monthly/yearly toggle pricing modal with feature lists, a highlighted Enterprise card, and progressive feature unlocking. The current plan shows as greyed out with 'Current Plan' label. This was the design pattern BookdIn's pricing section was modeled on.</w:t>
      </w:r>
    </w:p>
    <w:p>
      <w:pPr>
        <w:spacing w:after="120"/>
      </w:pPr>
      <w:r>
        <w:rPr>
          <w:color w:val="666666"/>
        </w:rPr>
        <w:t xml:space="preserve">ConvertLabs tiers: Basic $67/month, Professional $197/month, Enterprise $397/month.</w:t>
      </w:r>
    </w:p>
    <w:p>
      <w:pPr>
        <w:spacing w:after="120"/>
      </w:pPr>
      <w:r>
        <w:rPr>
          <w:color w:val="666666"/>
        </w:rPr>
        <w:t xml:space="preserve">BookdIn is priced well below ConvertLabs at every tier despite offering more built-in functionality (AI Business Agent, payroll, CRM, room-based pricing) that ConvertLabs doesn't have at any tier.</w:t>
      </w:r>
    </w:p>
    <w:p>
      <w:pPr>
        <w:pStyle w:val="Heading1"/>
        <w:spacing w:after="150" w:before="300"/>
      </w:pPr>
      <w:r>
        <w:t xml:space="preserve">BookdIn Pricing Structure</w:t>
      </w:r>
    </w:p>
    <w:p>
      <w:pPr>
        <w:spacing w:after="120"/>
      </w:pPr>
      <w:r>
        <w:t xml:space="preserve">Three tiers. Monthly and yearly billing. Yearly saves 17% (2 months free). The AI Business Agent is the hero differentiator on Growth and Enterprise — no competitor has this.</w:t>
      </w:r>
    </w:p>
    <w:p>
      <w:pPr>
        <w:pStyle w:val="Heading2"/>
        <w:spacing w:after="120" w:before="300"/>
      </w:pPr>
      <w:r>
        <w:t xml:space="preserve">Tier 1: Starter — $79/month ($66/month billed yearly)</w:t>
      </w:r>
    </w:p>
    <w:p>
      <w:pPr>
        <w:spacing w:after="120"/>
      </w:pPr>
      <w:r>
        <w:t xml:space="preserve">Target: Solo operators and small teams just getting started.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shd w:fill="F0F2FF" w:val="clear"/>
          </w:tcPr>
          <w:p>
            <w:r>
              <w:rPr>
                <w:b/>
                <w:bCs/>
              </w:rPr>
              <w:t xml:space="preserve">Starter plan features</w:t>
            </w:r>
          </w:p>
        </w:tc>
      </w:tr>
      <w:tr>
        <w:tc>
          <w:tcPr>
            <w:tcW w:type="dxa" w:w="8500"/>
          </w:tcPr>
          <w:p>
            <w:r>
              <w:t xml:space="preserve">Online booking form (public URL + iframe embed)</w:t>
            </w:r>
          </w:p>
        </w:tc>
      </w:tr>
      <w:tr>
        <w:tc>
          <w:tcPr>
            <w:tcW w:type="dxa" w:w="8500"/>
          </w:tcPr>
          <w:p>
            <w:r>
              <w:t xml:space="preserve">Up to 3 service providers</w:t>
            </w:r>
          </w:p>
        </w:tc>
      </w:tr>
      <w:tr>
        <w:tc>
          <w:tcPr>
            <w:tcW w:type="dxa" w:w="8500"/>
          </w:tcPr>
          <w:p>
            <w:r>
              <w:t xml:space="preserve">1 location</w:t>
            </w:r>
          </w:p>
        </w:tc>
      </w:tr>
      <w:tr>
        <w:tc>
          <w:tcPr>
            <w:tcW w:type="dxa" w:w="8500"/>
          </w:tcPr>
          <w:p>
            <w:r>
              <w:t xml:space="preserve">Unlimited bookings</w:t>
            </w:r>
          </w:p>
        </w:tc>
      </w:tr>
      <w:tr>
        <w:tc>
          <w:tcPr>
            <w:tcW w:type="dxa" w:w="8500"/>
          </w:tcPr>
          <w:p>
            <w:r>
              <w:t xml:space="preserve">Customer management (CRM pipeline)</w:t>
            </w:r>
          </w:p>
        </w:tc>
      </w:tr>
      <w:tr>
        <w:tc>
          <w:tcPr>
            <w:tcW w:type="dxa" w:w="8500"/>
          </w:tcPr>
          <w:p>
            <w:r>
              <w:t xml:space="preserve">Calendar view</w:t>
            </w:r>
          </w:p>
        </w:tc>
      </w:tr>
      <w:tr>
        <w:tc>
          <w:tcPr>
            <w:tcW w:type="dxa" w:w="8500"/>
          </w:tcPr>
          <w:p>
            <w:r>
              <w:t xml:space="preserve">Automated booking confirmation emails</w:t>
            </w:r>
          </w:p>
        </w:tc>
      </w:tr>
      <w:tr>
        <w:tc>
          <w:tcPr>
            <w:tcW w:type="dxa" w:w="8500"/>
          </w:tcPr>
          <w:p>
            <w:r>
              <w:t xml:space="preserve">GST invoices with PDF download</w:t>
            </w:r>
          </w:p>
        </w:tc>
      </w:tr>
      <w:tr>
        <w:tc>
          <w:tcPr>
            <w:tcW w:type="dxa" w:w="8500"/>
          </w:tcPr>
          <w:p>
            <w:r>
              <w:t xml:space="preserve">Stripe payments (card on file, pre-authorisation)</w:t>
            </w:r>
          </w:p>
        </w:tc>
      </w:tr>
      <w:tr>
        <w:tc>
          <w:tcPr>
            <w:tcW w:type="dxa" w:w="8500"/>
          </w:tcPr>
          <w:p>
            <w:r>
              <w:t xml:space="preserve">1 admin account</w:t>
            </w:r>
          </w:p>
        </w:tc>
      </w:tr>
      <w:tr>
        <w:tc>
          <w:tcPr>
            <w:tcW w:type="dxa" w:w="8500"/>
          </w:tcPr>
          <w:p>
            <w:r>
              <w:t xml:space="preserve">14-day free trial, no credit card required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t xml:space="preserve">Tier 2: Growth — $149/month ($124/month billed yearly) — MOST POPULAR</w:t>
      </w:r>
    </w:p>
    <w:p>
      <w:pPr>
        <w:spacing w:after="120"/>
      </w:pPr>
      <w:r>
        <w:t xml:space="preserve">Target: Growing teams that want the AI Agent doing the busywork.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shd w:fill="F0F2FF" w:val="clear"/>
          </w:tcPr>
          <w:p>
            <w:r>
              <w:rPr>
                <w:b/>
                <w:bCs/>
              </w:rPr>
              <w:t xml:space="preserve">Everything in Starter, plus:</w:t>
            </w:r>
          </w:p>
        </w:tc>
      </w:tr>
      <w:tr>
        <w:tc>
          <w:tcPr>
            <w:tcW w:type="dxa" w:w="8500"/>
          </w:tcPr>
          <w:p>
            <w:r>
              <w:t xml:space="preserve">AI Business Agent — daily brief, task panel &amp; end-of-day summary (highlighted, hero feature)</w:t>
            </w:r>
          </w:p>
        </w:tc>
      </w:tr>
      <w:tr>
        <w:tc>
          <w:tcPr>
            <w:tcW w:type="dxa" w:w="8500"/>
          </w:tcPr>
          <w:p>
            <w:r>
              <w:t xml:space="preserve">Unlimited service providers</w:t>
            </w:r>
          </w:p>
        </w:tc>
      </w:tr>
      <w:tr>
        <w:tc>
          <w:tcPr>
            <w:tcW w:type="dxa" w:w="8500"/>
          </w:tcPr>
          <w:p>
            <w:r>
              <w:t xml:space="preserve">Mobile app for cleaners (iOS &amp; Android)</w:t>
            </w:r>
          </w:p>
        </w:tc>
      </w:tr>
      <w:tr>
        <w:tc>
          <w:tcPr>
            <w:tcW w:type="dxa" w:w="8500"/>
          </w:tcPr>
          <w:p>
            <w:r>
              <w:t xml:space="preserve">SMS notifications (confirmations, payment reminders)</w:t>
            </w:r>
          </w:p>
        </w:tc>
      </w:tr>
      <w:tr>
        <w:tc>
          <w:tcPr>
            <w:tcW w:type="dxa" w:w="8500"/>
          </w:tcPr>
          <w:p>
            <w:r>
              <w:t xml:space="preserve">Google Ads integration (auto-populate ad spend)</w:t>
            </w:r>
          </w:p>
        </w:tc>
      </w:tr>
      <w:tr>
        <w:tc>
          <w:tcPr>
            <w:tcW w:type="dxa" w:w="8500"/>
          </w:tcPr>
          <w:p>
            <w:r>
              <w:t xml:space="preserve">Weekly profit report by location</w:t>
            </w:r>
          </w:p>
        </w:tc>
      </w:tr>
      <w:tr>
        <w:tc>
          <w:tcPr>
            <w:tcW w:type="dxa" w:w="8500"/>
          </w:tcPr>
          <w:p>
            <w:r>
              <w:t xml:space="preserve">Payroll calculations (provider payout tracking)</w:t>
            </w:r>
          </w:p>
        </w:tc>
      </w:tr>
      <w:tr>
        <w:tc>
          <w:tcPr>
            <w:tcW w:type="dxa" w:w="8500"/>
          </w:tcPr>
          <w:p>
            <w:r>
              <w:t xml:space="preserve">CRM lead source tracking &amp; conversion reports</w:t>
            </w:r>
          </w:p>
        </w:tc>
      </w:tr>
      <w:tr>
        <w:tc>
          <w:tcPr>
            <w:tcW w:type="dxa" w:w="8500"/>
          </w:tcPr>
          <w:p>
            <w:r>
              <w:t xml:space="preserve">Recurring bookings &amp; frequency discounts</w:t>
            </w:r>
          </w:p>
        </w:tc>
      </w:tr>
      <w:tr>
        <w:tc>
          <w:tcPr>
            <w:tcW w:type="dxa" w:w="8500"/>
          </w:tcPr>
          <w:p>
            <w:r>
              <w:t xml:space="preserve">Up to 3 locations</w:t>
            </w:r>
          </w:p>
        </w:tc>
      </w:tr>
      <w:tr>
        <w:tc>
          <w:tcPr>
            <w:tcW w:type="dxa" w:w="8500"/>
          </w:tcPr>
          <w:p>
            <w:r>
              <w:t xml:space="preserve">3 admin accounts</w:t>
            </w:r>
          </w:p>
        </w:tc>
      </w:tr>
      <w:tr>
        <w:tc>
          <w:tcPr>
            <w:tcW w:type="dxa" w:w="8500"/>
          </w:tcPr>
          <w:p>
            <w:r>
              <w:t xml:space="preserve">Voice agent Aria — after-hours (coming Q4 2026) (highlighted)</w:t>
            </w:r>
          </w:p>
        </w:tc>
      </w:tr>
      <w:tr>
        <w:tc>
          <w:tcPr>
            <w:tcW w:type="dxa" w:w="8500"/>
          </w:tcPr>
          <w:p>
            <w:r>
              <w:t xml:space="preserve">Priority email support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t xml:space="preserve">Tier 3: Enterprise — $299/month ($249/month billed yearly)</w:t>
      </w:r>
    </w:p>
    <w:p>
      <w:pPr>
        <w:spacing w:after="120"/>
      </w:pPr>
      <w:r>
        <w:t xml:space="preserve">Target: Multi-location operators and franchises with custom needs.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shd w:fill="F0F2FF" w:val="clear"/>
          </w:tcPr>
          <w:p>
            <w:r>
              <w:rPr>
                <w:b/>
                <w:bCs/>
              </w:rPr>
              <w:t xml:space="preserve">Everything in Growth, plus:</w:t>
            </w:r>
          </w:p>
        </w:tc>
      </w:tr>
      <w:tr>
        <w:tc>
          <w:tcPr>
            <w:tcW w:type="dxa" w:w="8500"/>
          </w:tcPr>
          <w:p>
            <w:r>
              <w:t xml:space="preserve">AI Business Agent — always on, across every location (highlighted)</w:t>
            </w:r>
          </w:p>
        </w:tc>
      </w:tr>
      <w:tr>
        <w:tc>
          <w:tcPr>
            <w:tcW w:type="dxa" w:w="8500"/>
          </w:tcPr>
          <w:p>
            <w:r>
              <w:t xml:space="preserve">Unlimited locations</w:t>
            </w:r>
          </w:p>
        </w:tc>
      </w:tr>
      <w:tr>
        <w:tc>
          <w:tcPr>
            <w:tcW w:type="dxa" w:w="8500"/>
          </w:tcPr>
          <w:p>
            <w:r>
              <w:t xml:space="preserve">Unlimited admin accounts</w:t>
            </w:r>
          </w:p>
        </w:tc>
      </w:tr>
      <w:tr>
        <w:tc>
          <w:tcPr>
            <w:tcW w:type="dxa" w:w="8500"/>
          </w:tcPr>
          <w:p>
            <w:r>
              <w:t xml:space="preserve">White-label booking forms (your own branding)</w:t>
            </w:r>
          </w:p>
        </w:tc>
      </w:tr>
      <w:tr>
        <w:tc>
          <w:tcPr>
            <w:tcW w:type="dxa" w:w="8500"/>
          </w:tcPr>
          <w:p>
            <w:r>
              <w:t xml:space="preserve">Voice agent Aria — always on, not just after hours (highlighted)</w:t>
            </w:r>
          </w:p>
        </w:tc>
      </w:tr>
      <w:tr>
        <w:tc>
          <w:tcPr>
            <w:tcW w:type="dxa" w:w="8500"/>
          </w:tcPr>
          <w:p>
            <w:r>
              <w:t xml:space="preserve">API access and webhooks</w:t>
            </w:r>
          </w:p>
        </w:tc>
      </w:tr>
      <w:tr>
        <w:tc>
          <w:tcPr>
            <w:tcW w:type="dxa" w:w="8500"/>
          </w:tcPr>
          <w:p>
            <w:r>
              <w:t xml:space="preserve">Custom integrations on request</w:t>
            </w:r>
          </w:p>
        </w:tc>
      </w:tr>
      <w:tr>
        <w:tc>
          <w:tcPr>
            <w:tcW w:type="dxa" w:w="8500"/>
          </w:tcPr>
          <w:p>
            <w:r>
              <w:t xml:space="preserve">Dedicated account manager</w:t>
            </w:r>
          </w:p>
        </w:tc>
      </w:tr>
      <w:tr>
        <w:tc>
          <w:tcPr>
            <w:tcW w:type="dxa" w:w="8500"/>
          </w:tcPr>
          <w:p>
            <w:r>
              <w:t xml:space="preserve">Live chat support</w:t>
            </w:r>
          </w:p>
        </w:tc>
      </w:tr>
      <w:tr>
        <w:tc>
          <w:tcPr>
            <w:tcW w:type="dxa" w:w="8500"/>
          </w:tcPr>
          <w:p>
            <w:r>
              <w:t xml:space="preserve">Custom onboarding &amp; SLA uptime guarantee</w:t>
            </w:r>
          </w:p>
        </w:tc>
      </w:tr>
    </w:tbl>
    <w:p>
      <w:pPr>
        <w:spacing w:after="150" w:before="400"/>
      </w:pPr>
      <w:r>
        <w:rPr>
          <w:b/>
          <w:bCs/>
          <w:sz w:val="26"/>
          <w:szCs w:val="26"/>
        </w:rPr>
        <w:t xml:space="preserve">Feature Comparison Table</w:t>
      </w:r>
    </w:p>
    <w:tbl>
      <w:tblPr>
        <w:tblW w:type="dxa" w:w="10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3350"/>
        <w:gridCol w:w="3350"/>
      </w:tblGrid>
      <w:tr>
        <w:tc>
          <w:tcPr>
            <w:tcW w:type="dxa" w:w="3350"/>
            <w:shd w:fill="0A0F1E" w:val="clear"/>
          </w:tcPr>
          <w:p>
            <w:r>
              <w:rPr>
                <w:b/>
                <w:bCs/>
                <w:color w:val="FFFFFF"/>
              </w:rPr>
              <w:t xml:space="preserve">Starter $79/mo</w:t>
            </w:r>
          </w:p>
        </w:tc>
        <w:tc>
          <w:tcPr>
            <w:tcW w:type="dxa" w:w="3350"/>
            <w:shd w:fill="0A0F1E" w:val="clear"/>
          </w:tcPr>
          <w:p>
            <w:r>
              <w:rPr>
                <w:b/>
                <w:bCs/>
                <w:color w:val="FFFFFF"/>
              </w:rPr>
              <w:t xml:space="preserve">Growth $149/mo</w:t>
            </w:r>
          </w:p>
        </w:tc>
        <w:tc>
          <w:tcPr>
            <w:tcW w:type="dxa" w:w="3350"/>
            <w:shd w:fill="0A0F1E" w:val="clear"/>
          </w:tcPr>
          <w:p>
            <w:r>
              <w:rPr>
                <w:b/>
                <w:bCs/>
                <w:color w:val="FFFFFF"/>
              </w:rPr>
              <w:t xml:space="preserve">Enterprise $299/mo</w:t>
            </w:r>
          </w:p>
        </w:tc>
      </w:tr>
      <w:tr>
        <w:tc>
          <w:tcPr>
            <w:tcW w:type="dxa" w:w="3350"/>
          </w:tcPr>
          <w:p>
            <w:r>
              <w:t xml:space="preserve">Online booking form</w:t>
            </w:r>
          </w:p>
        </w:tc>
        <w:tc>
          <w:tcPr>
            <w:tcW w:type="dxa" w:w="3350"/>
          </w:tcPr>
          <w:p>
            <w:r>
              <w:t xml:space="preserve">Online booking form</w:t>
            </w:r>
          </w:p>
        </w:tc>
        <w:tc>
          <w:tcPr>
            <w:tcW w:type="dxa" w:w="3350"/>
          </w:tcPr>
          <w:p>
            <w:r>
              <w:t xml:space="preserve">Online booking form</w:t>
            </w:r>
          </w:p>
        </w:tc>
      </w:tr>
      <w:tr>
        <w:tc>
          <w:tcPr>
            <w:tcW w:type="dxa" w:w="3350"/>
          </w:tcPr>
          <w:p>
            <w:r>
              <w:t xml:space="preserve">Up to 3 providers</w:t>
            </w:r>
          </w:p>
        </w:tc>
        <w:tc>
          <w:tcPr>
            <w:tcW w:type="dxa" w:w="3350"/>
          </w:tcPr>
          <w:p>
            <w:r>
              <w:t xml:space="preserve">Unlimited providers</w:t>
            </w:r>
          </w:p>
        </w:tc>
        <w:tc>
          <w:tcPr>
            <w:tcW w:type="dxa" w:w="3350"/>
          </w:tcPr>
          <w:p>
            <w:r>
              <w:t xml:space="preserve">Unlimited providers</w:t>
            </w:r>
          </w:p>
        </w:tc>
      </w:tr>
      <w:tr>
        <w:tc>
          <w:tcPr>
            <w:tcW w:type="dxa" w:w="3350"/>
          </w:tcPr>
          <w:p>
            <w:r>
              <w:t xml:space="preserve">CRM pipeline</w:t>
            </w:r>
          </w:p>
        </w:tc>
        <w:tc>
          <w:tcPr>
            <w:tcW w:type="dxa" w:w="3350"/>
          </w:tcPr>
          <w:p>
            <w:r>
              <w:t xml:space="preserve">CRM pipeline</w:t>
            </w:r>
          </w:p>
        </w:tc>
        <w:tc>
          <w:tcPr>
            <w:tcW w:type="dxa" w:w="3350"/>
          </w:tcPr>
          <w:p>
            <w:r>
              <w:t xml:space="preserve">CRM pipeline</w:t>
            </w:r>
          </w:p>
        </w:tc>
      </w:tr>
      <w:tr>
        <w:tc>
          <w:tcPr>
            <w:tcW w:type="dxa" w:w="3350"/>
          </w:tcPr>
          <w:p>
            <w:r>
              <w:t xml:space="preserve">Invoices and payments</w:t>
            </w:r>
          </w:p>
        </w:tc>
        <w:tc>
          <w:tcPr>
            <w:tcW w:type="dxa" w:w="3350"/>
          </w:tcPr>
          <w:p>
            <w:r>
              <w:t xml:space="preserve">Invoices and payments</w:t>
            </w:r>
          </w:p>
        </w:tc>
        <w:tc>
          <w:tcPr>
            <w:tcW w:type="dxa" w:w="3350"/>
          </w:tcPr>
          <w:p>
            <w:r>
              <w:t xml:space="preserve">Invoices and payments</w:t>
            </w:r>
          </w:p>
        </w:tc>
      </w:tr>
      <w:tr>
        <w:tc>
          <w:tcPr>
            <w:tcW w:type="dxa" w:w="3350"/>
          </w:tcPr>
          <w:p>
            <w:r>
              <w:t xml:space="preserve">Email confirmations</w:t>
            </w:r>
          </w:p>
        </w:tc>
        <w:tc>
          <w:tcPr>
            <w:tcW w:type="dxa" w:w="3350"/>
          </w:tcPr>
          <w:p>
            <w:r>
              <w:t xml:space="preserve">Email + SMS</w:t>
            </w:r>
          </w:p>
        </w:tc>
        <w:tc>
          <w:tcPr>
            <w:tcW w:type="dxa" w:w="3350"/>
          </w:tcPr>
          <w:p>
            <w:r>
              <w:t xml:space="preserve">Email + SMS</w:t>
            </w:r>
          </w:p>
        </w:tc>
      </w:tr>
      <w:tr>
        <w:tc>
          <w:tcPr>
            <w:tcW w:type="dxa" w:w="3350"/>
          </w:tcPr>
          <w:p>
            <w:r>
              <w:t xml:space="preserve">No AI Agent</w:t>
            </w:r>
          </w:p>
        </w:tc>
        <w:tc>
          <w:tcPr>
            <w:tcW w:type="dxa" w:w="3350"/>
          </w:tcPr>
          <w:p>
            <w:r>
              <w:t xml:space="preserve">AI Business Agent (daily brief)</w:t>
            </w:r>
          </w:p>
        </w:tc>
        <w:tc>
          <w:tcPr>
            <w:tcW w:type="dxa" w:w="3350"/>
          </w:tcPr>
          <w:p>
            <w:r>
              <w:t xml:space="preserve">AI Business Agent (always on)</w:t>
            </w:r>
          </w:p>
        </w:tc>
      </w:tr>
      <w:tr>
        <w:tc>
          <w:tcPr>
            <w:tcW w:type="dxa" w:w="3350"/>
          </w:tcPr>
          <w:p>
            <w:r>
              <w:t xml:space="preserve">No mobile app</w:t>
            </w:r>
          </w:p>
        </w:tc>
        <w:tc>
          <w:tcPr>
            <w:tcW w:type="dxa" w:w="3350"/>
          </w:tcPr>
          <w:p>
            <w:r>
              <w:t xml:space="preserve">Mobile app (iOS + Android)</w:t>
            </w:r>
          </w:p>
        </w:tc>
        <w:tc>
          <w:tcPr>
            <w:tcW w:type="dxa" w:w="3350"/>
          </w:tcPr>
          <w:p>
            <w:r>
              <w:t xml:space="preserve">Mobile app (iOS + Android)</w:t>
            </w:r>
          </w:p>
        </w:tc>
      </w:tr>
      <w:tr>
        <w:tc>
          <w:tcPr>
            <w:tcW w:type="dxa" w:w="3350"/>
          </w:tcPr>
          <w:p>
            <w:r>
              <w:t xml:space="preserve">No profit reports</w:t>
            </w:r>
          </w:p>
        </w:tc>
        <w:tc>
          <w:tcPr>
            <w:tcW w:type="dxa" w:w="3350"/>
          </w:tcPr>
          <w:p>
            <w:r>
              <w:t xml:space="preserve">Weekly profit by location</w:t>
            </w:r>
          </w:p>
        </w:tc>
        <w:tc>
          <w:tcPr>
            <w:tcW w:type="dxa" w:w="3350"/>
          </w:tcPr>
          <w:p>
            <w:r>
              <w:t xml:space="preserve">Weekly profit by location</w:t>
            </w:r>
          </w:p>
        </w:tc>
      </w:tr>
      <w:tr>
        <w:tc>
          <w:tcPr>
            <w:tcW w:type="dxa" w:w="3350"/>
          </w:tcPr>
          <w:p>
            <w:r>
              <w:t xml:space="preserve">No Google Ads integration</w:t>
            </w:r>
          </w:p>
        </w:tc>
        <w:tc>
          <w:tcPr>
            <w:tcW w:type="dxa" w:w="3350"/>
          </w:tcPr>
          <w:p>
            <w:r>
              <w:t xml:space="preserve">Google Ads integration</w:t>
            </w:r>
          </w:p>
        </w:tc>
        <w:tc>
          <w:tcPr>
            <w:tcW w:type="dxa" w:w="3350"/>
          </w:tcPr>
          <w:p>
            <w:r>
              <w:t xml:space="preserve">Google Ads integration</w:t>
            </w:r>
          </w:p>
        </w:tc>
      </w:tr>
      <w:tr>
        <w:tc>
          <w:tcPr>
            <w:tcW w:type="dxa" w:w="3350"/>
          </w:tcPr>
          <w:p>
            <w:r>
              <w:t xml:space="preserve">No payroll</w:t>
            </w:r>
          </w:p>
        </w:tc>
        <w:tc>
          <w:tcPr>
            <w:tcW w:type="dxa" w:w="3350"/>
          </w:tcPr>
          <w:p>
            <w:r>
              <w:t xml:space="preserve">Payroll calculations</w:t>
            </w:r>
          </w:p>
        </w:tc>
        <w:tc>
          <w:tcPr>
            <w:tcW w:type="dxa" w:w="3350"/>
          </w:tcPr>
          <w:p>
            <w:r>
              <w:t xml:space="preserve">Payroll calculations</w:t>
            </w:r>
          </w:p>
        </w:tc>
      </w:tr>
      <w:tr>
        <w:tc>
          <w:tcPr>
            <w:tcW w:type="dxa" w:w="3350"/>
          </w:tcPr>
          <w:p>
            <w:r>
              <w:t xml:space="preserve">1 location</w:t>
            </w:r>
          </w:p>
        </w:tc>
        <w:tc>
          <w:tcPr>
            <w:tcW w:type="dxa" w:w="3350"/>
          </w:tcPr>
          <w:p>
            <w:r>
              <w:t xml:space="preserve">Up to 3 locations</w:t>
            </w:r>
          </w:p>
        </w:tc>
        <w:tc>
          <w:tcPr>
            <w:tcW w:type="dxa" w:w="3350"/>
          </w:tcPr>
          <w:p>
            <w:r>
              <w:t xml:space="preserve">Unlimited locations</w:t>
            </w:r>
          </w:p>
        </w:tc>
      </w:tr>
      <w:tr>
        <w:tc>
          <w:tcPr>
            <w:tcW w:type="dxa" w:w="3350"/>
          </w:tcPr>
          <w:p>
            <w:r>
              <w:t xml:space="preserve">1 admin account</w:t>
            </w:r>
          </w:p>
        </w:tc>
        <w:tc>
          <w:tcPr>
            <w:tcW w:type="dxa" w:w="3350"/>
          </w:tcPr>
          <w:p>
            <w:r>
              <w:t xml:space="preserve">3 admin accounts</w:t>
            </w:r>
          </w:p>
        </w:tc>
        <w:tc>
          <w:tcPr>
            <w:tcW w:type="dxa" w:w="3350"/>
          </w:tcPr>
          <w:p>
            <w:r>
              <w:t xml:space="preserve">Unlimited admin accounts</w:t>
            </w:r>
          </w:p>
        </w:tc>
      </w:tr>
      <w:tr>
        <w:tc>
          <w:tcPr>
            <w:tcW w:type="dxa" w:w="3350"/>
          </w:tcPr>
          <w:p>
            <w:r>
              <w:t xml:space="preserve">No voice agent</w:t>
            </w:r>
          </w:p>
        </w:tc>
        <w:tc>
          <w:tcPr>
            <w:tcW w:type="dxa" w:w="3350"/>
          </w:tcPr>
          <w:p>
            <w:r>
              <w:t xml:space="preserve">Aria after hours (coming Q4 2026)</w:t>
            </w:r>
          </w:p>
        </w:tc>
        <w:tc>
          <w:tcPr>
            <w:tcW w:type="dxa" w:w="3350"/>
          </w:tcPr>
          <w:p>
            <w:r>
              <w:t xml:space="preserve">Aria always on</w:t>
            </w:r>
          </w:p>
        </w:tc>
      </w:tr>
      <w:tr>
        <w:tc>
          <w:tcPr>
            <w:tcW w:type="dxa" w:w="3350"/>
          </w:tcPr>
          <w:p>
            <w:r>
              <w:t xml:space="preserve">No white-label forms</w:t>
            </w:r>
          </w:p>
        </w:tc>
        <w:tc>
          <w:tcPr>
            <w:tcW w:type="dxa" w:w="3350"/>
          </w:tcPr>
          <w:p>
            <w:r>
              <w:t xml:space="preserve">No white-label forms</w:t>
            </w:r>
          </w:p>
        </w:tc>
        <w:tc>
          <w:tcPr>
            <w:tcW w:type="dxa" w:w="3350"/>
          </w:tcPr>
          <w:p>
            <w:r>
              <w:t xml:space="preserve">White-label booking forms</w:t>
            </w:r>
          </w:p>
        </w:tc>
      </w:tr>
      <w:tr>
        <w:tc>
          <w:tcPr>
            <w:tcW w:type="dxa" w:w="3350"/>
          </w:tcPr>
          <w:p>
            <w:r>
              <w:t xml:space="preserve">No API access</w:t>
            </w:r>
          </w:p>
        </w:tc>
        <w:tc>
          <w:tcPr>
            <w:tcW w:type="dxa" w:w="3350"/>
          </w:tcPr>
          <w:p>
            <w:r>
              <w:t xml:space="preserve">No API access</w:t>
            </w:r>
          </w:p>
        </w:tc>
        <w:tc>
          <w:tcPr>
            <w:tcW w:type="dxa" w:w="3350"/>
          </w:tcPr>
          <w:p>
            <w:r>
              <w:t xml:space="preserve">API access and webhooks</w:t>
            </w:r>
          </w:p>
        </w:tc>
      </w:tr>
      <w:tr>
        <w:tc>
          <w:tcPr>
            <w:tcW w:type="dxa" w:w="3350"/>
          </w:tcPr>
          <w:p>
            <w:r>
              <w:t xml:space="preserve">Email support</w:t>
            </w:r>
          </w:p>
        </w:tc>
        <w:tc>
          <w:tcPr>
            <w:tcW w:type="dxa" w:w="3350"/>
          </w:tcPr>
          <w:p>
            <w:r>
              <w:t xml:space="preserve">Priority email support</w:t>
            </w:r>
          </w:p>
        </w:tc>
        <w:tc>
          <w:tcPr>
            <w:tcW w:type="dxa" w:w="3350"/>
          </w:tcPr>
          <w:p>
            <w:r>
              <w:t xml:space="preserve">Dedicated account manager</w:t>
            </w:r>
          </w:p>
        </w:tc>
      </w:tr>
    </w:tbl>
    <w:p>
      <w:pPr>
        <w:pStyle w:val="Heading1"/>
        <w:spacing w:after="150" w:before="300"/>
      </w:pPr>
      <w:r>
        <w:t xml:space="preserve">Website Implementation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Monthly/yearly billing toggle at the top of the pricing section — yearly shows a 'Save 17%' pill.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pricing cards side by side — Starter, Growth (highlighted, dark navy, 'Most popular' badge), Enterprise.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card: tier name, price, tagline, feature list with checkmarks, overflow features hidden behind a '+X more' click reveal.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CTA buttons: 'Start free trial' on Starter and Growth (→ /auth/signup), 'Contact us' on Enterprise (→ mailto:hello@bookdin.co).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Business Agent and Aria features are visually highlighted with a sparkle icon on Growth and Enterprise cards.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Component: src/components/marketing/HomePageContent.tsx — PRICING_TIERS array + PricingSection().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2026-08-12T07:42:26.372Z</dcterms:created>
  <dcterms:modified xsi:type="dcterms:W3CDTF">2026-08-12T07:42:26.372Z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