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Clean Freaks</w:t>
      </w:r>
    </w:p>
    <w:p>
      <w:pPr>
        <w:spacing w:after="400"/>
      </w:pPr>
      <w:r>
        <w:rPr>
          <w:b/>
          <w:bCs/>
          <w:color w:val="2E74B5"/>
          <w:sz w:val="28"/>
          <w:szCs w:val="28"/>
        </w:rPr>
        <w:t xml:space="preserve">Website, Offer &amp; Sales Audit — Reducing Lost Leads</w:t>
      </w:r>
    </w:p>
    <w:p>
      <w:pPr>
        <w:spacing w:after="160"/>
      </w:pPr>
      <w:r>
        <w:rPr>
          <w:i/>
          <w:iCs/>
          <w:color w:val="666666"/>
        </w:rPr>
        <w:t xml:space="preserve">Prepared September 16, 2026. Scope: assess the live website and booking funnel, identify offer and pricing-presentation gaps, and build an in-depth questionnaire for the sales/VA team — aimed directly at the objections the VA team flagged (price too expensive, budget mismatch, “just wanted a quote”). Real estate agent outreach, email marketing and SMS marketing are intentionally left for a follow-up phase, per your direction to focus on offers, website and sales first.</w:t>
      </w:r>
    </w:p>
    <w:p>
      <w:pPr>
        <w:pStyle w:val="Heading1"/>
        <w:spacing w:after="200" w:before="400"/>
      </w:pPr>
      <w:r>
        <w:t xml:space="preserve">Executive Summary</w:t>
      </w:r>
    </w:p>
    <w:p>
      <w:pPr>
        <w:spacing w:after="160"/>
      </w:pPr>
      <w:r>
        <w:t xml:space="preserve">The website and booking flow were tested end-to-end exactly as a lead would experience them — following the live Google Ads landing page through the full 6-step booking widget. One finding stands above everything else:</w:t>
      </w:r>
    </w:p>
    <w:p>
      <w:pPr>
        <w:pBdr>
          <w:left w:val="single" w:color="C00000" w:sz="24" w:space="8"/>
        </w:pBdr>
        <w:spacing w:after="200" w:before="100"/>
        <w:ind w:left="200"/>
      </w:pPr>
      <w:r>
        <w:rPr>
          <w:b/>
          <w:bCs/>
          <w:color w:val="C00000"/>
        </w:rPr>
        <w:t xml:space="preserve">Headline finding:  </w:t>
      </w:r>
      <w:r>
        <w:t xml:space="preserve">the booking widget never shows a real price. A visitor answers property size, frequency, add-ons, study/pets/parking, date and address, then submits their name, email and phone — all six steps — without ever seeing a dollar figure calculated for their own home. The only prices shown anywhere are the generic “from $179/$249/$319” teasers on the marketing page before the form starts.</w:t>
      </w:r>
    </w:p>
    <w:p>
      <w:pPr>
        <w:spacing w:after="160"/>
      </w:pPr>
      <w:r>
        <w:t xml:space="preserve">This lines up almost exactly with what the VA team described: leads who “only wanted a quote,” leads who book and then cancel once they hear the real price, and leads who say the price is “higher than expected.”</w:t>
      </w:r>
    </w:p>
    <w:p>
      <w:pPr>
        <w:pBdr>
          <w:left w:val="single" w:color="C00000" w:sz="24" w:space="8"/>
        </w:pBdr>
        <w:spacing w:after="200" w:before="100"/>
        <w:ind w:left="200"/>
      </w:pPr>
      <w:r>
        <w:rPr>
          <w:b/>
          <w:bCs/>
          <w:color w:val="C00000"/>
        </w:rPr>
        <w:t xml:space="preserve">Important context (confirmed by Jonathan):  </w:t>
      </w:r>
      <w:r>
        <w:t xml:space="preserve">a live running price total through the booking form has been tried before at Clean Freaks, and it reduced actual bookings, not just lead volume. That's real evidence, not a hypothesis, and it rules out the obvious fix (add a live calculator). The likely mechanism: at this price point, a cold number shown before any human contact reads as expensive, while the same number explained by Shayne — with the guarantee, scope and reassurance attached — reads as justified. Trust-before-price appears to beat price-before-trust here. Section 1.2 below reflects this and proposes alternatives that don't repeat the earlier test.</w:t>
      </w:r>
    </w:p>
    <w:p>
      <w:pPr>
        <w:spacing w:after="160"/>
      </w:pPr>
      <w:r>
        <w:t xml:space="preserve">Beyond that, this document covers: consistency and trust gaps on the website, offer ideas that could reduce price sensitivity without cutting subcontractor pay, and a full questionnaire to run with Shayne and the VA team to find out exactly how leads are being handled today — so the objection-handling process can be rebuilt on real data instead of impressions.</w:t>
      </w:r>
    </w:p>
    <w:p>
      <w:pPr>
        <w:pStyle w:val="Heading1"/>
        <w:spacing w:after="200" w:before="400"/>
      </w:pPr>
      <w:r>
        <w:t xml:space="preserve">1. Website &amp; Booking Funnel Audit</w:t>
      </w:r>
    </w:p>
    <w:p>
      <w:pPr>
        <w:pStyle w:val="Heading2"/>
        <w:spacing w:after="150" w:before="300"/>
      </w:pPr>
      <w:r>
        <w:t xml:space="preserve">1.1 What's already working</w:t>
      </w:r>
    </w:p>
    <w:p>
      <w:pPr>
        <w:pStyle w:val="ListParagraph"/>
        <w:numPr>
          <w:ilvl w:val="0"/>
          <w:numId w:val="2"/>
        </w:numPr>
        <w:spacing w:after="100"/>
      </w:pPr>
      <w:r>
        <w:t xml:space="preserve">Strong, specific guarantee up top: “Your clean. On time. Done right. Or we fix it for free.” — this is a good, concrete risk-reversal statement and should stay front and centre.</w:t>
      </w:r>
    </w:p>
    <w:p>
      <w:pPr>
        <w:pStyle w:val="ListParagraph"/>
        <w:numPr>
          <w:ilvl w:val="0"/>
          <w:numId w:val="2"/>
        </w:numPr>
        <w:spacing w:after="100"/>
      </w:pPr>
      <w:r>
        <w:t xml:space="preserve">Urgency and low-friction cues are present: “Book now to guarantee this week's availability, spots filling fast” and “no payment required to book.”</w:t>
      </w:r>
    </w:p>
    <w:p>
      <w:pPr>
        <w:pStyle w:val="ListParagraph"/>
        <w:numPr>
          <w:ilvl w:val="0"/>
          <w:numId w:val="2"/>
        </w:numPr>
        <w:spacing w:after="100"/>
      </w:pPr>
      <w:r>
        <w:t xml:space="preserve">Trust badges (100% satisfaction guarantee, police-checked, fully insured, top-rated) are shown prominently and repeated across pages.</w:t>
      </w:r>
    </w:p>
    <w:p>
      <w:pPr>
        <w:pStyle w:val="ListParagraph"/>
        <w:numPr>
          <w:ilvl w:val="0"/>
          <w:numId w:val="2"/>
        </w:numPr>
        <w:spacing w:after="100"/>
      </w:pPr>
      <w:r>
        <w:t xml:space="preserve">Packages are framed by outcome, not just service name (“Get my bond back,” “Start fresh,” “Get a deep reset”) — good, benefit-led copy.</w:t>
      </w:r>
    </w:p>
    <w:p>
      <w:pPr>
        <w:pStyle w:val="ListParagraph"/>
        <w:numPr>
          <w:ilvl w:val="0"/>
          <w:numId w:val="2"/>
        </w:numPr>
        <w:spacing w:after="100"/>
      </w:pPr>
      <w:r>
        <w:t xml:space="preserve">The booking form is embedded in a modal on-site rather than sending the lead to a separate app or a phone call — that part of the flow is genuinely low-friction.</w:t>
      </w:r>
    </w:p>
    <w:p>
      <w:pPr>
        <w:pStyle w:val="Heading2"/>
        <w:spacing w:after="150" w:before="300"/>
      </w:pPr>
      <w:r>
        <w:t xml:space="preserve">1.2 Critical issue: no price is ever shown in the booking flow</w:t>
      </w:r>
    </w:p>
    <w:p>
      <w:pPr>
        <w:spacing w:after="160"/>
      </w:pPr>
      <w:r>
        <w:t xml:space="preserve">Walking through the actual 6-step widget (Service → Property size &amp; frequency → Add-ons → Study/pets/parking → Date &amp; address → Contact details) with a realistic 3-bed, 2-bath home:</w:t>
      </w:r>
    </w:p>
    <w:p>
      <w:pPr>
        <w:pStyle w:val="ListParagraph"/>
        <w:numPr>
          <w:ilvl w:val="0"/>
          <w:numId w:val="2"/>
        </w:numPr>
        <w:spacing w:after="100"/>
      </w:pPr>
      <w:r>
        <w:t xml:space="preserve">Step 1 – Select a service: no price shown.</w:t>
      </w:r>
    </w:p>
    <w:p>
      <w:pPr>
        <w:pStyle w:val="ListParagraph"/>
        <w:numPr>
          <w:ilvl w:val="0"/>
          <w:numId w:val="2"/>
        </w:numPr>
        <w:spacing w:after="100"/>
      </w:pPr>
      <w:r>
        <w:t xml:space="preserve">Step 2 – Property size, bathrooms, storeys, frequency (with visible 5–10% discounts for recurring): no running total shown.</w:t>
      </w:r>
    </w:p>
    <w:p>
      <w:pPr>
        <w:pStyle w:val="ListParagraph"/>
        <w:numPr>
          <w:ilvl w:val="0"/>
          <w:numId w:val="2"/>
        </w:numPr>
        <w:spacing w:after="100"/>
      </w:pPr>
      <w:r>
        <w:t xml:space="preserve">Step 3 – Add-ons (carpet steam clean, oven clean, inside windows, etc.): each add-on has no price attached and there is still no subtotal.</w:t>
      </w:r>
    </w:p>
    <w:p>
      <w:pPr>
        <w:pStyle w:val="ListParagraph"/>
        <w:numPr>
          <w:ilvl w:val="0"/>
          <w:numId w:val="2"/>
        </w:numPr>
        <w:spacing w:after="100"/>
      </w:pPr>
      <w:r>
        <w:t xml:space="preserve">Step 4 – Study / pets / parking: no price shown.</w:t>
      </w:r>
    </w:p>
    <w:p>
      <w:pPr>
        <w:pStyle w:val="ListParagraph"/>
        <w:numPr>
          <w:ilvl w:val="0"/>
          <w:numId w:val="2"/>
        </w:numPr>
        <w:spacing w:after="100"/>
      </w:pPr>
      <w:r>
        <w:t xml:space="preserve">Step 5 – Date, time, address: no price shown.</w:t>
      </w:r>
    </w:p>
    <w:p>
      <w:pPr>
        <w:pStyle w:val="ListParagraph"/>
        <w:numPr>
          <w:ilvl w:val="0"/>
          <w:numId w:val="2"/>
        </w:numPr>
        <w:spacing w:after="100"/>
      </w:pPr>
      <w:r>
        <w:t xml:space="preserve">Step 6 – Name, email, phone, submit: still no price shown — the customer submits their full contact details completely blind.</w:t>
      </w:r>
    </w:p>
    <w:p>
      <w:pPr>
        <w:spacing w:after="160"/>
      </w:pPr>
      <w:r>
        <w:t xml:space="preserve">For a 3-bed/2-bath home the real price is almost certainly well above the $179 “from” figure advertised on the marketing page — but the customer has no way to know that until Shayne or the team calls them. That's the exact moment the VA team describes losing people: “they initially place the booking through the website… but they subsequently ask to cancel once they receive the pricing.”</w:t>
      </w:r>
    </w:p>
    <w:p>
      <w:pPr>
        <w:spacing w:after="160"/>
      </w:pPr>
      <w:r>
        <w:t xml:space="preserve">The obvious fix — a live running total through the form — has already been tried and reduced actual bookings, so it's off the table. The goal instead is to close the same gap without putting a cold number in front of the customer before a human is involved:</w:t>
      </w:r>
    </w:p>
    <w:p>
      <w:pPr>
        <w:pStyle w:val="ListParagraph"/>
        <w:numPr>
          <w:ilvl w:val="0"/>
          <w:numId w:val="2"/>
        </w:numPr>
        <w:spacing w:after="100"/>
      </w:pPr>
      <w:r>
        <w:t xml:space="preserve">Speed to first contact is probably the single highest-leverage lever here. If the gap between form submission and Shayne's call is more than a few minutes, the customer has time to mentally price-shop and arrive at the call already anchored on a lower number. The sooner the call happens after submission, the more the price is delivered inside a conversation (with guarantee and scope explained) rather than landing cold.</w:t>
      </w:r>
    </w:p>
    <w:p>
      <w:pPr>
        <w:pStyle w:val="ListParagraph"/>
        <w:numPr>
          <w:ilvl w:val="0"/>
          <w:numId w:val="2"/>
        </w:numPr>
        <w:spacing w:after="100"/>
      </w:pPr>
      <w:r>
        <w:t xml:space="preserve">Test a price range rather than an exact number — e.g. “Most 2–3 bedroom homes in your suburb run $220–$280” shown after property size/frequency is selected, before add-ons. A range sets rough expectations without giving a precise, screenshot-able number to compare against other quotes, and it's a meaningfully different mechanism from the live calculator that was already tested.</w:t>
      </w:r>
    </w:p>
    <w:p>
      <w:pPr>
        <w:pStyle w:val="ListParagraph"/>
        <w:numPr>
          <w:ilvl w:val="0"/>
          <w:numId w:val="2"/>
        </w:numPr>
        <w:spacing w:after="100"/>
      </w:pPr>
      <w:r>
        <w:t xml:space="preserve">Lean on the budget-qualifying questions already built into the sales questionnaire (Section 3B) so Shayne asks about budget and scope before stating a price, and can lead with the package that actually fits — rather than quoting the standard price cold and hoping it lands.</w:t>
      </w:r>
    </w:p>
    <w:p>
      <w:pPr>
        <w:pBdr>
          <w:left w:val="single" w:color="C00000" w:sz="24" w:space="8"/>
        </w:pBdr>
        <w:spacing w:after="200" w:before="100"/>
        <w:ind w:left="200"/>
      </w:pPr>
      <w:r>
        <w:rPr>
          <w:b/>
          <w:bCs/>
          <w:color w:val="C00000"/>
        </w:rPr>
        <w:t xml:space="preserve">Recommendation:  </w:t>
      </w:r>
      <w:r>
        <w:t xml:space="preserve">don't reintroduce a live calculator. Prioritise speed-to-first-contact and test a price range (not an exact figure) as a lower-risk middle ground, and make sure the sales script change in Section 3 is the primary fix for this issue — it's a conversation problem more than a website problem, on the evidence you already have.</w:t>
      </w:r>
    </w:p>
    <w:p>
      <w:pPr>
        <w:pStyle w:val="Heading2"/>
        <w:spacing w:after="150" w:before="300"/>
      </w:pPr>
      <w:r>
        <w:t xml:space="preserve">1.3 Pricing inconsistency between pages</w:t>
      </w:r>
    </w:p>
    <w:p>
      <w:pPr>
        <w:spacing w:after="160"/>
      </w:pPr>
      <w:r>
        <w:t xml:space="preserve">The site quotes two different “starting from” prices in the same visit, seconds apart: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1F3864" w:val="clear"/>
            <w:tcMar>
              <w:top w:type="dxa" w:w="80"/>
              <w:left w:type="dxa" w:w="100"/>
              <w:bottom w:type="dxa" w:w="80"/>
              <w:right w:type="dxa" w:w="100"/>
            </w:tcMar>
          </w:tcPr>
          <w:p>
            <w:r>
              <w:rPr>
                <w:b/>
                <w:bCs/>
                <w:color w:val="FFFFFF"/>
              </w:rPr>
              <w:t xml:space="preserve">Where</w:t>
            </w:r>
          </w:p>
        </w:tc>
        <w:tc>
          <w:tcPr>
            <w:tcW w:type="dxa" w:w="3000"/>
            <w:shd w:fill="1F3864" w:val="clear"/>
            <w:tcMar>
              <w:top w:type="dxa" w:w="80"/>
              <w:left w:type="dxa" w:w="100"/>
              <w:bottom w:type="dxa" w:w="80"/>
              <w:right w:type="dxa" w:w="100"/>
            </w:tcMar>
          </w:tcPr>
          <w:p>
            <w:r>
              <w:rPr>
                <w:b/>
                <w:bCs/>
                <w:color w:val="FFFFFF"/>
              </w:rPr>
              <w:t xml:space="preserve">What it says</w:t>
            </w:r>
          </w:p>
        </w:tc>
      </w:tr>
      <w:tr>
        <w:tc>
          <w:tcPr>
            <w:tcW w:type="dxa" w:w="3000"/>
            <w:tcMar>
              <w:top w:type="dxa" w:w="80"/>
              <w:left w:type="dxa" w:w="100"/>
              <w:bottom w:type="dxa" w:w="80"/>
              <w:right w:type="dxa" w:w="100"/>
            </w:tcMar>
          </w:tcPr>
          <w:p>
            <w:r>
              <w:rPr>
                <w:b w:val="false"/>
                <w:bCs w:val="false"/>
                <w:color w:val="000000"/>
              </w:rPr>
              <w:t xml:space="preserve">Hero banner (top of landing page)</w:t>
            </w:r>
          </w:p>
        </w:tc>
        <w:tc>
          <w:tcPr>
            <w:tcW w:type="dxa" w:w="3000"/>
            <w:tcMar>
              <w:top w:type="dxa" w:w="80"/>
              <w:left w:type="dxa" w:w="100"/>
              <w:bottom w:type="dxa" w:w="80"/>
              <w:right w:type="dxa" w:w="100"/>
            </w:tcMar>
          </w:tcPr>
          <w:p>
            <w:r>
              <w:rPr>
                <w:b w:val="false"/>
                <w:bCs w:val="false"/>
                <w:color w:val="000000"/>
              </w:rPr>
              <w:t xml:space="preserve">“Packages starting from $199”</w:t>
            </w:r>
          </w:p>
        </w:tc>
      </w:tr>
      <w:tr>
        <w:tc>
          <w:tcPr>
            <w:tcW w:type="dxa" w:w="3000"/>
            <w:tcMar>
              <w:top w:type="dxa" w:w="80"/>
              <w:left w:type="dxa" w:w="100"/>
              <w:bottom w:type="dxa" w:w="80"/>
              <w:right w:type="dxa" w:w="100"/>
            </w:tcMar>
          </w:tcPr>
          <w:p>
            <w:r>
              <w:rPr>
                <w:b w:val="false"/>
                <w:bCs w:val="false"/>
                <w:color w:val="000000"/>
              </w:rPr>
              <w:t xml:space="preserve">Package cards (same page, one scroll down)</w:t>
            </w:r>
          </w:p>
        </w:tc>
        <w:tc>
          <w:tcPr>
            <w:tcW w:type="dxa" w:w="3000"/>
            <w:tcMar>
              <w:top w:type="dxa" w:w="80"/>
              <w:left w:type="dxa" w:w="100"/>
              <w:bottom w:type="dxa" w:w="80"/>
              <w:right w:type="dxa" w:w="100"/>
            </w:tcMar>
          </w:tcPr>
          <w:p>
            <w:r>
              <w:rPr>
                <w:b w:val="false"/>
                <w:bCs w:val="false"/>
                <w:color w:val="000000"/>
              </w:rPr>
              <w:t xml:space="preserve">General Clean “from $179”</w:t>
            </w:r>
          </w:p>
        </w:tc>
      </w:tr>
      <w:tr>
        <w:tc>
          <w:tcPr>
            <w:tcW w:type="dxa" w:w="3000"/>
            <w:tcMar>
              <w:top w:type="dxa" w:w="80"/>
              <w:left w:type="dxa" w:w="100"/>
              <w:bottom w:type="dxa" w:w="80"/>
              <w:right w:type="dxa" w:w="100"/>
            </w:tcMar>
          </w:tcPr>
          <w:p>
            <w:r>
              <w:rPr>
                <w:b w:val="false"/>
                <w:bCs w:val="false"/>
                <w:color w:val="000000"/>
              </w:rPr>
              <w:t xml:space="preserve">6-step booking widget (all steps)</w:t>
            </w:r>
          </w:p>
        </w:tc>
        <w:tc>
          <w:tcPr>
            <w:tcW w:type="dxa" w:w="3000"/>
            <w:tcMar>
              <w:top w:type="dxa" w:w="80"/>
              <w:left w:type="dxa" w:w="100"/>
              <w:bottom w:type="dxa" w:w="80"/>
              <w:right w:type="dxa" w:w="100"/>
            </w:tcMar>
          </w:tcPr>
          <w:p>
            <w:r>
              <w:rPr>
                <w:b w:val="false"/>
                <w:bCs w:val="false"/>
                <w:color w:val="000000"/>
              </w:rPr>
              <w:t xml:space="preserve">No price shown at any point</w:t>
            </w:r>
          </w:p>
        </w:tc>
      </w:tr>
    </w:tbl>
    <w:p>
      <w:pPr>
        <w:spacing w:after="200"/>
      </w:pPr>
    </w:p>
    <w:p>
      <w:pPr>
        <w:spacing w:after="160"/>
      </w:pPr>
      <w:r>
        <w:t xml:space="preserve">Neither number is wrong on its own, but showing $199 in the hero and $179 one scroll down is a small, avoidable trust ding — sharp-eyed customers notice inconsistent numbers, and it undercuts the very message (“clear pricing”) the guarantee is trying to build. Recommend picking one number and using it everywhere, including in ad copy.</w:t>
      </w:r>
    </w:p>
    <w:p>
      <w:pPr>
        <w:pStyle w:val="Heading2"/>
        <w:spacing w:after="150" w:before="300"/>
      </w:pPr>
      <w:r>
        <w:t xml:space="preserve">1.4 Thin, repeated social proof</w:t>
      </w:r>
    </w:p>
    <w:p>
      <w:pPr>
        <w:pStyle w:val="ListParagraph"/>
        <w:numPr>
          <w:ilvl w:val="0"/>
          <w:numId w:val="2"/>
        </w:numPr>
        <w:spacing w:after="100"/>
      </w:pPr>
      <w:r>
        <w:t xml:space="preserve">Only three distinct testimonials appear on the residential landing page, and two of them (Sarah S. and Jason R.) are duplicated — shown twice each in the same carousel.</w:t>
      </w:r>
    </w:p>
    <w:p>
      <w:pPr>
        <w:pStyle w:val="ListParagraph"/>
        <w:numPr>
          <w:ilvl w:val="0"/>
          <w:numId w:val="2"/>
        </w:numPr>
        <w:spacing w:after="100"/>
      </w:pPr>
      <w:r>
        <w:t xml:space="preserve">Headline claims — “97% 5-Star Reviews” and “Rated 4.8 from over 1,000 happy customers” — are not linked to a verifiable source (no Google/Facebook review badge or click-through).</w:t>
      </w:r>
    </w:p>
    <w:p>
      <w:pPr>
        <w:pBdr>
          <w:left w:val="single" w:color="C00000" w:sz="24" w:space="8"/>
        </w:pBdr>
        <w:spacing w:after="200" w:before="100"/>
        <w:ind w:left="200"/>
      </w:pPr>
      <w:r>
        <w:rPr>
          <w:b/>
          <w:bCs/>
          <w:color w:val="C00000"/>
        </w:rPr>
        <w:t xml:space="preserve">Recommendation:  </w:t>
      </w:r>
      <w:r>
        <w:t xml:space="preserve">embed a live Google Reviews widget showing the real review count and rating, and rotate in more (and more varied) testimonials — ideally including at least one End of Lease bond-return story per city, since that's a higher-value, higher-anxiety service where trust signals matter most.</w:t>
      </w:r>
    </w:p>
    <w:p>
      <w:pPr>
        <w:pStyle w:val="Heading2"/>
        <w:spacing w:after="150" w:before="300"/>
      </w:pPr>
      <w:r>
        <w:t xml:space="preserve">1.5 Broken ad URL and duplicate landing pages</w:t>
      </w:r>
    </w:p>
    <w:p>
      <w:pPr>
        <w:spacing w:after="160"/>
      </w:pPr>
      <w:r>
        <w:t xml:space="preserve">The Melbourne ad's displayed URL (cleanfreaks.au/cleaning/melbourne) currently 404s — the ad's actual click-through (Final URL) is different and does work, so this isn't costing conversions directly, but it's a live broken link that could surface anywhere it gets copied or cached. There are also three near-identical landing pages in play (the homepage, /residential-cleaning-services/, and /residential-cleaning-services/residential-cleaning/), each with its own hero, pricing mentions and CTAs. Recommend fixing the dead URL and consolidating onto one canonical funnel page so pricing and messaging can't drift out of sync between them the way the $199/$179 numbers already have.</w:t>
      </w:r>
    </w:p>
    <w:p>
      <w:pPr>
        <w:pStyle w:val="Heading2"/>
        <w:spacing w:after="150" w:before="300"/>
      </w:pPr>
      <w:r>
        <w:t xml:space="preserve">1.6 Not yet verified: mobile experience</w:t>
      </w:r>
    </w:p>
    <w:p>
      <w:pPr>
        <w:spacing w:after="160"/>
      </w:pPr>
      <w:r>
        <w:t xml:space="preserve">This pass was done on desktop. Since the large majority of Google Ads clicks for a local service business are mobile, a dedicated mobile pass on the booking widget specifically (tap target size, keyboard behaviour on the date/address fields, modal scroll behaviour) is worth doing next — friction that's invisible on desktop can be the actual point where a mobile lead gives up.</w:t>
      </w:r>
    </w:p>
    <w:p>
      <w:pPr>
        <w:pStyle w:val="Heading1"/>
        <w:spacing w:after="200" w:before="400"/>
      </w:pPr>
      <w:r>
        <w:t xml:space="preserve">2. Offer Improvement Opportunities</w:t>
      </w:r>
    </w:p>
    <w:p>
      <w:pPr>
        <w:spacing w:after="160"/>
      </w:pPr>
      <w:r>
        <w:t xml:space="preserve">These are aimed squarely at the three loss reasons the VA team named: price too expensive, budget below quoted price, and low-intent quote-shoppers.</w:t>
      </w:r>
    </w:p>
    <w:p>
      <w:pPr>
        <w:pStyle w:val="ListParagraph"/>
        <w:numPr>
          <w:ilvl w:val="0"/>
          <w:numId w:val="2"/>
        </w:numPr>
        <w:spacing w:after="100"/>
      </w:pPr>
      <w:r>
        <w:t xml:space="preserve">Fix the price-visibility gap in section 1.2 first — it's the single highest-leverage change here, and it's really a sales-process fix wearing a website costume.</w:t>
      </w:r>
    </w:p>
    <w:p>
      <w:pPr>
        <w:pStyle w:val="ListParagraph"/>
        <w:numPr>
          <w:ilvl w:val="0"/>
          <w:numId w:val="2"/>
        </w:numPr>
        <w:spacing w:after="100"/>
      </w:pPr>
      <w:r>
        <w:t xml:space="preserve">Add an FAQ entry that pre-empts the objection: “Why is my quote different from the price I saw online?” — explaining plainly that the advertised price is the base rate and the final quote reflects home size, condition and any add-ons chosen. Naming this before it becomes a surprise softens the objection considerably.</w:t>
      </w:r>
    </w:p>
    <w:p>
      <w:pPr>
        <w:pStyle w:val="ListParagraph"/>
        <w:numPr>
          <w:ilvl w:val="0"/>
          <w:numId w:val="2"/>
        </w:numPr>
        <w:spacing w:after="100"/>
      </w:pPr>
      <w:r>
        <w:t xml:space="preserve">Test a first-clean-only discount or price-match offer for budget-constrained leads, instead of a blanket discount. Because it only applies to the first job, it doesn't ask subcontractors to accept an ongoing lower rate — which is the exact constraint Shayne flagged (subcontractors won't take a permanent cut). A one-off “$30 off your first clean” or “price-match your quote from another provider on your first clean” gives Shayne something concrete to offer instead of just re-explaining scope.</w:t>
      </w:r>
    </w:p>
    <w:p>
      <w:pPr>
        <w:pStyle w:val="ListParagraph"/>
        <w:numPr>
          <w:ilvl w:val="0"/>
          <w:numId w:val="2"/>
        </w:numPr>
        <w:spacing w:after="100"/>
      </w:pPr>
      <w:r>
        <w:t xml:space="preserve">Build out (or remove) the “Member rates apply” line on the General Clean package — right now it promises a membership/loyalty benefit that isn't described or priced anywhere on the site. If a real recurring-customer rate exists, show it; if not, drop the line so it isn't setting an expectation that never gets met.</w:t>
      </w:r>
    </w:p>
    <w:p>
      <w:pPr>
        <w:pStyle w:val="ListParagraph"/>
        <w:numPr>
          <w:ilvl w:val="0"/>
          <w:numId w:val="2"/>
        </w:numPr>
        <w:spacing w:after="100"/>
      </w:pPr>
      <w:r>
        <w:t xml:space="preserve">Launch a referral program (e.g. “Give $30, Get $30”) for existing happy customers. Referred leads typically convert at a much higher rate and lower cost than paid search traffic, and it directly reduces dependence on Google Ads — relevant given the account is currently budget-capped across every campaign.</w:t>
      </w:r>
    </w:p>
    <w:p>
      <w:pPr>
        <w:pStyle w:val="ListParagraph"/>
        <w:numPr>
          <w:ilvl w:val="0"/>
          <w:numId w:val="2"/>
        </w:numPr>
        <w:spacing w:after="100"/>
      </w:pPr>
      <w:r>
        <w:t xml:space="preserve">Make the “Clean Freaks vs Other” comparison table more specific and harder to dismiss — replace generic checkmarks with concrete, comparable claims (e.g. guaranteed response time, exact re-clean turnaround under the guarantee, chemical/product specifics) so it reads as evidence rather than marketing filler.</w:t>
      </w:r>
    </w:p>
    <w:p>
      <w:pPr>
        <w:pStyle w:val="Heading1"/>
        <w:spacing w:after="200" w:before="400"/>
      </w:pPr>
      <w:r>
        <w:t xml:space="preserve">3. Sales &amp; VA Team Questionnaire</w:t>
      </w:r>
    </w:p>
    <w:p>
      <w:pPr>
        <w:spacing w:after="160"/>
      </w:pPr>
      <w:r>
        <w:t xml:space="preserve">The goal of this questionnaire is to find out, in concrete detail, how leads are actually being handled today — not to audit anyone's effort, but to find the specific moments where a fixable process gap (rather than a genuinely unaffordable lead) is costing a booking. Please have Shayne and anyone else handling leads answer as specifically as possible — exact wording, exact timing, and real examples are far more useful than general descriptions.</w:t>
      </w:r>
    </w:p>
    <w:p>
      <w:pPr>
        <w:pStyle w:val="Heading3"/>
        <w:spacing w:after="100" w:before="200"/>
      </w:pPr>
      <w:r>
        <w:t xml:space="preserve">A. Response time &amp; first contact</w:t>
      </w:r>
    </w:p>
    <w:p>
      <w:pPr>
        <w:pStyle w:val="ListParagraph"/>
        <w:numPr>
          <w:ilvl w:val="0"/>
          <w:numId w:val="3"/>
        </w:numPr>
        <w:spacing w:after="100"/>
      </w:pPr>
      <w:r>
        <w:t xml:space="preserve">When a lead comes in (web form, phone call, missed call), how quickly is first contact typically made? Does this differ by source (Google Ads form vs. phone call vs. Aria/voice agent handoff)?</w:t>
      </w:r>
    </w:p>
    <w:p>
      <w:pPr>
        <w:pStyle w:val="ListParagraph"/>
        <w:numPr>
          <w:ilvl w:val="0"/>
          <w:numId w:val="3"/>
        </w:numPr>
        <w:spacing w:after="100"/>
      </w:pPr>
      <w:r>
        <w:t xml:space="preserve">What is the first message or call script, word for word if possible? Is it the same for every lead, or does it vary by service type (General Clean vs. End of Lease vs. Deep Reset)?</w:t>
      </w:r>
    </w:p>
    <w:p>
      <w:pPr>
        <w:pStyle w:val="ListParagraph"/>
        <w:numPr>
          <w:ilvl w:val="0"/>
          <w:numId w:val="3"/>
        </w:numPr>
        <w:spacing w:after="100"/>
      </w:pPr>
      <w:r>
        <w:t xml:space="preserve">How many contact attempts are made before a lead is considered unresponsive, and over what time period?</w:t>
      </w:r>
    </w:p>
    <w:p>
      <w:pPr>
        <w:pStyle w:val="ListParagraph"/>
        <w:numPr>
          <w:ilvl w:val="0"/>
          <w:numId w:val="3"/>
        </w:numPr>
        <w:spacing w:after="100"/>
      </w:pPr>
      <w:r>
        <w:t xml:space="preserve">Is there a difference in how “booked through the website” leads are contacted versus leads who only submitted a quote request or called in?</w:t>
      </w:r>
    </w:p>
    <w:p>
      <w:pPr>
        <w:pStyle w:val="Heading3"/>
        <w:spacing w:after="100" w:before="200"/>
      </w:pPr>
      <w:r>
        <w:t xml:space="preserve">B. Discovery &amp; qualifying questions</w:t>
      </w:r>
    </w:p>
    <w:p>
      <w:pPr>
        <w:pStyle w:val="ListParagraph"/>
        <w:numPr>
          <w:ilvl w:val="0"/>
          <w:numId w:val="3"/>
        </w:numPr>
        <w:spacing w:after="100"/>
      </w:pPr>
      <w:r>
        <w:t xml:space="preserve">What questions are asked to understand the customer's budget or expectations before quoting a price?</w:t>
      </w:r>
    </w:p>
    <w:p>
      <w:pPr>
        <w:pStyle w:val="ListParagraph"/>
        <w:numPr>
          <w:ilvl w:val="0"/>
          <w:numId w:val="3"/>
        </w:numPr>
        <w:spacing w:after="100"/>
      </w:pPr>
      <w:r>
        <w:t xml:space="preserve">Is the customer asked what price they had in mind, or what (if anything) they've been quoted elsewhere, before Clean Freaks' price is given?</w:t>
      </w:r>
    </w:p>
    <w:p>
      <w:pPr>
        <w:pStyle w:val="ListParagraph"/>
        <w:numPr>
          <w:ilvl w:val="0"/>
          <w:numId w:val="3"/>
        </w:numPr>
        <w:spacing w:after="100"/>
      </w:pPr>
      <w:r>
        <w:t xml:space="preserve">How is the scope of the clean confirmed (rooms, condition, add-ons) before the final price is presented — and is this ever done after the price has already been given, rather than before?</w:t>
      </w:r>
    </w:p>
    <w:p>
      <w:pPr>
        <w:pStyle w:val="ListParagraph"/>
        <w:numPr>
          <w:ilvl w:val="0"/>
          <w:numId w:val="3"/>
        </w:numPr>
        <w:spacing w:after="100"/>
      </w:pPr>
      <w:r>
        <w:t xml:space="preserve">For End of Lease specifically, is the property's exact condition or the agent's checklist discussed before quoting, given the 100% bond-return guarantee attached to that service?</w:t>
      </w:r>
    </w:p>
    <w:p>
      <w:pPr>
        <w:pStyle w:val="Heading3"/>
        <w:spacing w:after="100" w:before="200"/>
      </w:pPr>
      <w:r>
        <w:t xml:space="preserve">C. Price presentation &amp; objection handling</w:t>
      </w:r>
    </w:p>
    <w:p>
      <w:pPr>
        <w:pStyle w:val="ListParagraph"/>
        <w:numPr>
          <w:ilvl w:val="0"/>
          <w:numId w:val="3"/>
        </w:numPr>
        <w:spacing w:after="100"/>
      </w:pPr>
      <w:r>
        <w:t xml:space="preserve">At what point in the conversation is the final price first said out loud or sent in writing — immediately, or after the value/scope has been explained?</w:t>
      </w:r>
    </w:p>
    <w:p>
      <w:pPr>
        <w:pStyle w:val="ListParagraph"/>
        <w:numPr>
          <w:ilvl w:val="0"/>
          <w:numId w:val="3"/>
        </w:numPr>
        <w:spacing w:after="100"/>
      </w:pPr>
      <w:r>
        <w:t xml:space="preserve">When a customer says the price is “too expensive,” what does the team say next, word for word? Is there a standard response, or does it vary person to person?</w:t>
      </w:r>
    </w:p>
    <w:p>
      <w:pPr>
        <w:pStyle w:val="ListParagraph"/>
        <w:numPr>
          <w:ilvl w:val="0"/>
          <w:numId w:val="3"/>
        </w:numPr>
        <w:spacing w:after="100"/>
      </w:pPr>
      <w:r>
        <w:t xml:space="preserve">When a customer states a specific budget below the quoted price, what options (if any) are currently offered — smaller scope, different frequency, a different package — versus simply explaining the price is fixed?</w:t>
      </w:r>
    </w:p>
    <w:p>
      <w:pPr>
        <w:pStyle w:val="ListParagraph"/>
        <w:numPr>
          <w:ilvl w:val="0"/>
          <w:numId w:val="3"/>
        </w:numPr>
        <w:spacing w:after="100"/>
      </w:pPr>
      <w:r>
        <w:t xml:space="preserve">Is there any pricing flexibility available today (first-clean discount, price match, smaller package) that the team can offer without approval, or does every price change need to be escalated?</w:t>
      </w:r>
    </w:p>
    <w:p>
      <w:pPr>
        <w:pStyle w:val="ListParagraph"/>
        <w:numPr>
          <w:ilvl w:val="0"/>
          <w:numId w:val="3"/>
        </w:numPr>
        <w:spacing w:after="100"/>
      </w:pPr>
      <w:r>
        <w:t xml:space="preserve">How often, in a typical week, does a lead say the price is higher than expected — and is that being logged anywhere consistently, or is it an impression?</w:t>
      </w:r>
    </w:p>
    <w:p>
      <w:pPr>
        <w:pStyle w:val="ListParagraph"/>
        <w:numPr>
          <w:ilvl w:val="0"/>
          <w:numId w:val="3"/>
        </w:numPr>
        <w:spacing w:after="100"/>
      </w:pPr>
      <w:r>
        <w:t xml:space="preserve">For leads who say they were “just after a quote,” is there a specific moment in the website flow or phone call where this becomes clear — e.g., do they ask for a price and then go quiet, or do they say outright they're comparing providers?</w:t>
      </w:r>
    </w:p>
    <w:p>
      <w:pPr>
        <w:pStyle w:val="Heading3"/>
        <w:spacing w:after="100" w:before="200"/>
      </w:pPr>
      <w:r>
        <w:t xml:space="preserve">D. Follow-up cadence &amp; cancellations</w:t>
      </w:r>
    </w:p>
    <w:p>
      <w:pPr>
        <w:pStyle w:val="ListParagraph"/>
        <w:numPr>
          <w:ilvl w:val="0"/>
          <w:numId w:val="3"/>
        </w:numPr>
        <w:spacing w:after="100"/>
      </w:pPr>
      <w:r>
        <w:t xml:space="preserve">After the first quote is given, how many follow-up attempts are made, on what schedule, and through what channel (call, SMS, email)?</w:t>
      </w:r>
    </w:p>
    <w:p>
      <w:pPr>
        <w:pStyle w:val="ListParagraph"/>
        <w:numPr>
          <w:ilvl w:val="0"/>
          <w:numId w:val="3"/>
        </w:numPr>
        <w:spacing w:after="100"/>
      </w:pPr>
      <w:r>
        <w:t xml:space="preserve">What does a typical follow-up message say? Does it repeat the price, or focus on something else (availability, guarantee, testimonials)?</w:t>
      </w:r>
    </w:p>
    <w:p>
      <w:pPr>
        <w:pStyle w:val="ListParagraph"/>
        <w:numPr>
          <w:ilvl w:val="0"/>
          <w:numId w:val="3"/>
        </w:numPr>
        <w:spacing w:after="100"/>
      </w:pPr>
      <w:r>
        <w:t xml:space="preserve">When a customer who already “booked” through the website asks to cancel after hearing the price, what happens next — is a lower-cost alternative offered, or is the cancellation simply processed?</w:t>
      </w:r>
    </w:p>
    <w:p>
      <w:pPr>
        <w:pStyle w:val="ListParagraph"/>
        <w:numPr>
          <w:ilvl w:val="0"/>
          <w:numId w:val="3"/>
        </w:numPr>
        <w:spacing w:after="100"/>
      </w:pPr>
      <w:r>
        <w:t xml:space="preserve">Is there a fixed point where a lead is marked “Lost” versus staying in “Follow up due” indefinitely, and who decides that?</w:t>
      </w:r>
    </w:p>
    <w:p>
      <w:pPr>
        <w:pStyle w:val="Heading3"/>
        <w:spacing w:after="100" w:before="200"/>
      </w:pPr>
      <w:r>
        <w:t xml:space="preserve">E. CRM discipline &amp; data capture</w:t>
      </w:r>
    </w:p>
    <w:p>
      <w:pPr>
        <w:pStyle w:val="ListParagraph"/>
        <w:numPr>
          <w:ilvl w:val="0"/>
          <w:numId w:val="3"/>
        </w:numPr>
        <w:spacing w:after="100"/>
      </w:pPr>
      <w:r>
        <w:t xml:space="preserve">When a lead is marked Lost, is a reason always recorded, and if so, where — is it a required field, a free-text note, or informal/undocumented?</w:t>
      </w:r>
    </w:p>
    <w:p>
      <w:pPr>
        <w:pStyle w:val="ListParagraph"/>
        <w:numPr>
          <w:ilvl w:val="0"/>
          <w:numId w:val="3"/>
        </w:numPr>
        <w:spacing w:after="100"/>
      </w:pPr>
      <w:r>
        <w:t xml:space="preserve">Are the three loss reasons in your team's write-up (too expensive, budget below price, just wanted a quote) tracked as distinct, selectable categories in the CRM today, or is that assessment based on general impression from recent calls?</w:t>
      </w:r>
    </w:p>
    <w:p>
      <w:pPr>
        <w:pStyle w:val="ListParagraph"/>
        <w:numPr>
          <w:ilvl w:val="0"/>
          <w:numId w:val="3"/>
        </w:numPr>
        <w:spacing w:after="100"/>
      </w:pPr>
      <w:r>
        <w:t xml:space="preserve">Roughly what share of this month's Lost leads fall into each of those three categories, if you had to estimate right now?</w:t>
      </w:r>
    </w:p>
    <w:p>
      <w:pPr>
        <w:pStyle w:val="ListParagraph"/>
        <w:numPr>
          <w:ilvl w:val="0"/>
          <w:numId w:val="3"/>
        </w:numPr>
        <w:spacing w:after="100"/>
      </w:pPr>
      <w:r>
        <w:t xml:space="preserve">Is the lead's source (Google Ads, organic, referral, repeat customer) reliably recorded for every lead, including calls that come in directly rather than through the website form?</w:t>
      </w:r>
    </w:p>
    <w:p>
      <w:pPr>
        <w:pStyle w:val="Heading3"/>
        <w:spacing w:after="100" w:before="200"/>
      </w:pPr>
      <w:r>
        <w:t xml:space="preserve">F. Discount &amp; negotiation authority</w:t>
      </w:r>
    </w:p>
    <w:p>
      <w:pPr>
        <w:pStyle w:val="ListParagraph"/>
        <w:numPr>
          <w:ilvl w:val="0"/>
          <w:numId w:val="3"/>
        </w:numPr>
        <w:spacing w:after="100"/>
      </w:pPr>
      <w:r>
        <w:t xml:space="preserve">Does the team currently have any authority to offer a discount, and if so, how much and under what conditions?</w:t>
      </w:r>
    </w:p>
    <w:p>
      <w:pPr>
        <w:pStyle w:val="ListParagraph"/>
        <w:numPr>
          <w:ilvl w:val="0"/>
          <w:numId w:val="3"/>
        </w:numPr>
        <w:spacing w:after="100"/>
      </w:pPr>
      <w:r>
        <w:t xml:space="preserve">Has a subcontractor ever actually declined a job specifically because of a discounted rate — can you describe a recent example?</w:t>
      </w:r>
    </w:p>
    <w:p>
      <w:pPr>
        <w:pStyle w:val="ListParagraph"/>
        <w:numPr>
          <w:ilvl w:val="0"/>
          <w:numId w:val="3"/>
        </w:numPr>
        <w:spacing w:after="100"/>
      </w:pPr>
      <w:r>
        <w:t xml:space="preserve">Is there a cheaper package or reduced scope (e.g. fewer rooms, longer interval) that's ever offered as a middle ground when a customer's budget doesn't match the standard quote, or is it presented as an all-or-nothing price?</w:t>
      </w:r>
    </w:p>
    <w:p>
      <w:pPr>
        <w:pStyle w:val="Heading3"/>
        <w:spacing w:after="100" w:before="200"/>
      </w:pPr>
      <w:r>
        <w:t xml:space="preserve">G. Upsell &amp; cross-sell</w:t>
      </w:r>
    </w:p>
    <w:p>
      <w:pPr>
        <w:pStyle w:val="ListParagraph"/>
        <w:numPr>
          <w:ilvl w:val="0"/>
          <w:numId w:val="3"/>
        </w:numPr>
        <w:spacing w:after="100"/>
      </w:pPr>
      <w:r>
        <w:t xml:space="preserve">Are add-ons (oven clean, carpet steam clean, inside windows) actively suggested during the sales conversation, or only booked if the customer asks?</w:t>
      </w:r>
    </w:p>
    <w:p>
      <w:pPr>
        <w:pStyle w:val="ListParagraph"/>
        <w:numPr>
          <w:ilvl w:val="0"/>
          <w:numId w:val="3"/>
        </w:numPr>
        <w:spacing w:after="100"/>
      </w:pPr>
      <w:r>
        <w:t xml:space="preserve">Is a recurring plan (weekly/fortnightly/monthly, with the discount shown on the website) proactively offered to every one-time enquiry, or only to some?</w:t>
      </w:r>
    </w:p>
    <w:p>
      <w:pPr>
        <w:pStyle w:val="ListParagraph"/>
        <w:numPr>
          <w:ilvl w:val="0"/>
          <w:numId w:val="3"/>
        </w:numPr>
        <w:spacing w:after="100"/>
      </w:pPr>
      <w:r>
        <w:t xml:space="preserve">For End of Lease customers, is the booking-confirmed guarantee and bond-return promise actively used as a selling point during the call, or only mentioned if the customer asks?</w:t>
      </w:r>
    </w:p>
    <w:p>
      <w:pPr>
        <w:pStyle w:val="Heading3"/>
        <w:spacing w:after="100" w:before="200"/>
      </w:pPr>
      <w:r>
        <w:t xml:space="preserve">H. General — in your own words</w:t>
      </w:r>
    </w:p>
    <w:p>
      <w:pPr>
        <w:pStyle w:val="ListParagraph"/>
        <w:numPr>
          <w:ilvl w:val="0"/>
          <w:numId w:val="3"/>
        </w:numPr>
        <w:spacing w:after="100"/>
      </w:pPr>
      <w:r>
        <w:t xml:space="preserve">In your own words, what is the single most common thing a lead says right before they decide not to book?</w:t>
      </w:r>
    </w:p>
    <w:p>
      <w:pPr>
        <w:pStyle w:val="ListParagraph"/>
        <w:numPr>
          <w:ilvl w:val="0"/>
          <w:numId w:val="3"/>
        </w:numPr>
        <w:spacing w:after="100"/>
      </w:pPr>
      <w:r>
        <w:t xml:space="preserve">If you could change one thing about the price or the offer today to book more of the leads you're currently losing, what would it be?</w:t>
      </w:r>
    </w:p>
    <w:p>
      <w:pPr>
        <w:pStyle w:val="ListParagraph"/>
        <w:numPr>
          <w:ilvl w:val="0"/>
          <w:numId w:val="3"/>
        </w:numPr>
        <w:spacing w:after="100"/>
      </w:pPr>
      <w:r>
        <w:t xml:space="preserve">Is there anything about the website or the online booking flow that you think is actively making your job harder — for example, customers arriving confused about price, scope, or what happens next?</w:t>
      </w:r>
    </w:p>
    <w:p>
      <w:pPr>
        <w:pStyle w:val="Heading1"/>
        <w:spacing w:after="200" w:before="400"/>
      </w:pPr>
      <w:r>
        <w:t xml:space="preserve">4. Prioritised Recommendations</w:t>
      </w:r>
    </w:p>
    <w:p>
      <w:pPr>
        <w:spacing w:after="160"/>
      </w:pPr>
      <w:r>
        <w:t xml:space="preserve">Ordered roughly by expected impact relative to effort — the first two are the ones most directly tied to the objections the VA team is already naming every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1800"/>
      </w:tblGrid>
      <w:tr>
        <w:trPr>
          <w:tblHeader/>
        </w:trPr>
        <w:tc>
          <w:tcPr>
            <w:tcW w:type="dxa" w:w="4200"/>
            <w:shd w:fill="1F3864" w:val="clear"/>
            <w:tcMar>
              <w:top w:type="dxa" w:w="80"/>
              <w:left w:type="dxa" w:w="100"/>
              <w:bottom w:type="dxa" w:w="80"/>
              <w:right w:type="dxa" w:w="100"/>
            </w:tcMar>
          </w:tcPr>
          <w:p>
            <w:r>
              <w:rPr>
                <w:b/>
                <w:bCs/>
                <w:color w:val="FFFFFF"/>
              </w:rPr>
              <w:t xml:space="preserve">Fix</w:t>
            </w:r>
          </w:p>
        </w:tc>
        <w:tc>
          <w:tcPr>
            <w:tcW w:type="dxa" w:w="1500"/>
            <w:shd w:fill="1F3864" w:val="clear"/>
            <w:tcMar>
              <w:top w:type="dxa" w:w="80"/>
              <w:left w:type="dxa" w:w="100"/>
              <w:bottom w:type="dxa" w:w="80"/>
              <w:right w:type="dxa" w:w="100"/>
            </w:tcMar>
          </w:tcPr>
          <w:p>
            <w:r>
              <w:rPr>
                <w:b/>
                <w:bCs/>
                <w:color w:val="FFFFFF"/>
              </w:rPr>
              <w:t xml:space="preserve">Impact</w:t>
            </w:r>
          </w:p>
        </w:tc>
        <w:tc>
          <w:tcPr>
            <w:tcW w:type="dxa" w:w="1500"/>
            <w:shd w:fill="1F3864" w:val="clear"/>
            <w:tcMar>
              <w:top w:type="dxa" w:w="80"/>
              <w:left w:type="dxa" w:w="100"/>
              <w:bottom w:type="dxa" w:w="80"/>
              <w:right w:type="dxa" w:w="100"/>
            </w:tcMar>
          </w:tcPr>
          <w:p>
            <w:r>
              <w:rPr>
                <w:b/>
                <w:bCs/>
                <w:color w:val="FFFFFF"/>
              </w:rPr>
              <w:t xml:space="preserve">Effort</w:t>
            </w:r>
          </w:p>
        </w:tc>
        <w:tc>
          <w:tcPr>
            <w:tcW w:type="dxa" w:w="1800"/>
            <w:shd w:fill="1F3864" w:val="clear"/>
            <w:tcMar>
              <w:top w:type="dxa" w:w="80"/>
              <w:left w:type="dxa" w:w="100"/>
              <w:bottom w:type="dxa" w:w="80"/>
              <w:right w:type="dxa" w:w="100"/>
            </w:tcMar>
          </w:tcPr>
          <w:p>
            <w:r>
              <w:rPr>
                <w:b/>
                <w:bCs/>
                <w:color w:val="FFFFFF"/>
              </w:rPr>
              <w:t xml:space="preserve">Type</w:t>
            </w:r>
          </w:p>
        </w:tc>
      </w:tr>
      <w:tr>
        <w:tc>
          <w:tcPr>
            <w:tcW w:type="dxa" w:w="4200"/>
            <w:tcMar>
              <w:top w:type="dxa" w:w="80"/>
              <w:left w:type="dxa" w:w="100"/>
              <w:bottom w:type="dxa" w:w="80"/>
              <w:right w:type="dxa" w:w="100"/>
            </w:tcMar>
          </w:tcPr>
          <w:p>
            <w:r>
              <w:rPr>
                <w:b w:val="false"/>
                <w:bCs w:val="false"/>
                <w:color w:val="000000"/>
              </w:rPr>
              <w:t xml:space="preserve">Cut time-to-first-contact on new leads as close to instant as possible</w:t>
            </w:r>
          </w:p>
        </w:tc>
        <w:tc>
          <w:tcPr>
            <w:tcW w:type="dxa" w:w="1500"/>
            <w:tcMar>
              <w:top w:type="dxa" w:w="80"/>
              <w:left w:type="dxa" w:w="100"/>
              <w:bottom w:type="dxa" w:w="80"/>
              <w:right w:type="dxa" w:w="100"/>
            </w:tcMar>
          </w:tcPr>
          <w:p>
            <w:r>
              <w:rPr>
                <w:b w:val="false"/>
                <w:bCs w:val="false"/>
                <w:color w:val="000000"/>
              </w:rPr>
              <w:t xml:space="preserve">High</w:t>
            </w:r>
          </w:p>
        </w:tc>
        <w:tc>
          <w:tcPr>
            <w:tcW w:type="dxa" w:w="1500"/>
            <w:tcMar>
              <w:top w:type="dxa" w:w="80"/>
              <w:left w:type="dxa" w:w="100"/>
              <w:bottom w:type="dxa" w:w="80"/>
              <w:right w:type="dxa" w:w="100"/>
            </w:tcMar>
          </w:tcPr>
          <w:p>
            <w:r>
              <w:rPr>
                <w:b w:val="false"/>
                <w:bCs w:val="false"/>
                <w:color w:val="000000"/>
              </w:rPr>
              <w:t xml:space="preserve">Low–Medium</w:t>
            </w:r>
          </w:p>
        </w:tc>
        <w:tc>
          <w:tcPr>
            <w:tcW w:type="dxa" w:w="1800"/>
            <w:tcMar>
              <w:top w:type="dxa" w:w="80"/>
              <w:left w:type="dxa" w:w="100"/>
              <w:bottom w:type="dxa" w:w="80"/>
              <w:right w:type="dxa" w:w="100"/>
            </w:tcMar>
          </w:tcPr>
          <w:p>
            <w:r>
              <w:rPr>
                <w:b w:val="false"/>
                <w:bCs w:val="false"/>
                <w:color w:val="000000"/>
              </w:rPr>
              <w:t xml:space="preserve">Sales</w:t>
            </w:r>
          </w:p>
        </w:tc>
      </w:tr>
      <w:tr>
        <w:tc>
          <w:tcPr>
            <w:tcW w:type="dxa" w:w="4200"/>
            <w:tcMar>
              <w:top w:type="dxa" w:w="80"/>
              <w:left w:type="dxa" w:w="100"/>
              <w:bottom w:type="dxa" w:w="80"/>
              <w:right w:type="dxa" w:w="100"/>
            </w:tcMar>
          </w:tcPr>
          <w:p>
            <w:r>
              <w:rPr>
                <w:b w:val="false"/>
                <w:bCs w:val="false"/>
                <w:color w:val="000000"/>
              </w:rPr>
              <w:t xml:space="preserve">Run the VA questionnaire and rebuild the price-objection script from real answers</w:t>
            </w:r>
          </w:p>
        </w:tc>
        <w:tc>
          <w:tcPr>
            <w:tcW w:type="dxa" w:w="1500"/>
            <w:tcMar>
              <w:top w:type="dxa" w:w="80"/>
              <w:left w:type="dxa" w:w="100"/>
              <w:bottom w:type="dxa" w:w="80"/>
              <w:right w:type="dxa" w:w="100"/>
            </w:tcMar>
          </w:tcPr>
          <w:p>
            <w:r>
              <w:rPr>
                <w:b w:val="false"/>
                <w:bCs w:val="false"/>
                <w:color w:val="000000"/>
              </w:rPr>
              <w:t xml:space="preserve">High</w:t>
            </w:r>
          </w:p>
        </w:tc>
        <w:tc>
          <w:tcPr>
            <w:tcW w:type="dxa" w:w="1500"/>
            <w:tcMar>
              <w:top w:type="dxa" w:w="80"/>
              <w:left w:type="dxa" w:w="100"/>
              <w:bottom w:type="dxa" w:w="80"/>
              <w:right w:type="dxa" w:w="100"/>
            </w:tcMar>
          </w:tcPr>
          <w:p>
            <w:r>
              <w:rPr>
                <w:b w:val="false"/>
                <w:bCs w:val="false"/>
                <w:color w:val="000000"/>
              </w:rPr>
              <w:t xml:space="preserve">Low</w:t>
            </w:r>
          </w:p>
        </w:tc>
        <w:tc>
          <w:tcPr>
            <w:tcW w:type="dxa" w:w="1800"/>
            <w:tcMar>
              <w:top w:type="dxa" w:w="80"/>
              <w:left w:type="dxa" w:w="100"/>
              <w:bottom w:type="dxa" w:w="80"/>
              <w:right w:type="dxa" w:w="100"/>
            </w:tcMar>
          </w:tcPr>
          <w:p>
            <w:r>
              <w:rPr>
                <w:b w:val="false"/>
                <w:bCs w:val="false"/>
                <w:color w:val="000000"/>
              </w:rPr>
              <w:t xml:space="preserve">Sales</w:t>
            </w:r>
          </w:p>
        </w:tc>
      </w:tr>
      <w:tr>
        <w:tc>
          <w:tcPr>
            <w:tcW w:type="dxa" w:w="4200"/>
            <w:tcMar>
              <w:top w:type="dxa" w:w="80"/>
              <w:left w:type="dxa" w:w="100"/>
              <w:bottom w:type="dxa" w:w="80"/>
              <w:right w:type="dxa" w:w="100"/>
            </w:tcMar>
          </w:tcPr>
          <w:p>
            <w:r>
              <w:rPr>
                <w:b w:val="false"/>
                <w:bCs w:val="false"/>
                <w:color w:val="000000"/>
              </w:rPr>
              <w:t xml:space="preserve">Align hero price (“from $199”) with actual cheapest package (“from $179”)</w:t>
            </w:r>
          </w:p>
        </w:tc>
        <w:tc>
          <w:tcPr>
            <w:tcW w:type="dxa" w:w="1500"/>
            <w:tcMar>
              <w:top w:type="dxa" w:w="80"/>
              <w:left w:type="dxa" w:w="100"/>
              <w:bottom w:type="dxa" w:w="80"/>
              <w:right w:type="dxa" w:w="100"/>
            </w:tcMar>
          </w:tcPr>
          <w:p>
            <w:r>
              <w:rPr>
                <w:b w:val="false"/>
                <w:bCs w:val="false"/>
                <w:color w:val="000000"/>
              </w:rPr>
              <w:t xml:space="preserve">High</w:t>
            </w:r>
          </w:p>
        </w:tc>
        <w:tc>
          <w:tcPr>
            <w:tcW w:type="dxa" w:w="1500"/>
            <w:tcMar>
              <w:top w:type="dxa" w:w="80"/>
              <w:left w:type="dxa" w:w="100"/>
              <w:bottom w:type="dxa" w:w="80"/>
              <w:right w:type="dxa" w:w="100"/>
            </w:tcMar>
          </w:tcPr>
          <w:p>
            <w:r>
              <w:rPr>
                <w:b w:val="false"/>
                <w:bCs w:val="false"/>
                <w:color w:val="000000"/>
              </w:rPr>
              <w:t xml:space="preserve">Trivial</w:t>
            </w:r>
          </w:p>
        </w:tc>
        <w:tc>
          <w:tcPr>
            <w:tcW w:type="dxa" w:w="1800"/>
            <w:tcMar>
              <w:top w:type="dxa" w:w="80"/>
              <w:left w:type="dxa" w:w="100"/>
              <w:bottom w:type="dxa" w:w="80"/>
              <w:right w:type="dxa" w:w="100"/>
            </w:tcMar>
          </w:tcPr>
          <w:p>
            <w:r>
              <w:rPr>
                <w:b w:val="false"/>
                <w:bCs w:val="false"/>
                <w:color w:val="000000"/>
              </w:rPr>
              <w:t xml:space="preserve">Website</w:t>
            </w:r>
          </w:p>
        </w:tc>
      </w:tr>
      <w:tr>
        <w:tc>
          <w:tcPr>
            <w:tcW w:type="dxa" w:w="4200"/>
            <w:tcMar>
              <w:top w:type="dxa" w:w="80"/>
              <w:left w:type="dxa" w:w="100"/>
              <w:bottom w:type="dxa" w:w="80"/>
              <w:right w:type="dxa" w:w="100"/>
            </w:tcMar>
          </w:tcPr>
          <w:p>
            <w:r>
              <w:rPr>
                <w:b w:val="false"/>
                <w:bCs w:val="false"/>
                <w:color w:val="000000"/>
              </w:rPr>
              <w:t xml:space="preserve">Test a first-clean-only discount or price-match offer for budget-constrained leads</w:t>
            </w:r>
          </w:p>
        </w:tc>
        <w:tc>
          <w:tcPr>
            <w:tcW w:type="dxa" w:w="1500"/>
            <w:tcMar>
              <w:top w:type="dxa" w:w="80"/>
              <w:left w:type="dxa" w:w="100"/>
              <w:bottom w:type="dxa" w:w="80"/>
              <w:right w:type="dxa" w:w="100"/>
            </w:tcMar>
          </w:tcPr>
          <w:p>
            <w:r>
              <w:rPr>
                <w:b w:val="false"/>
                <w:bCs w:val="false"/>
                <w:color w:val="000000"/>
              </w:rPr>
              <w:t xml:space="preserve">High</w:t>
            </w:r>
          </w:p>
        </w:tc>
        <w:tc>
          <w:tcPr>
            <w:tcW w:type="dxa" w:w="1500"/>
            <w:tcMar>
              <w:top w:type="dxa" w:w="80"/>
              <w:left w:type="dxa" w:w="100"/>
              <w:bottom w:type="dxa" w:w="80"/>
              <w:right w:type="dxa" w:w="100"/>
            </w:tcMar>
          </w:tcPr>
          <w:p>
            <w:r>
              <w:rPr>
                <w:b w:val="false"/>
                <w:bCs w:val="false"/>
                <w:color w:val="000000"/>
              </w:rPr>
              <w:t xml:space="preserve">Low</w:t>
            </w:r>
          </w:p>
        </w:tc>
        <w:tc>
          <w:tcPr>
            <w:tcW w:type="dxa" w:w="1800"/>
            <w:tcMar>
              <w:top w:type="dxa" w:w="80"/>
              <w:left w:type="dxa" w:w="100"/>
              <w:bottom w:type="dxa" w:w="80"/>
              <w:right w:type="dxa" w:w="100"/>
            </w:tcMar>
          </w:tcPr>
          <w:p>
            <w:r>
              <w:rPr>
                <w:b w:val="false"/>
                <w:bCs w:val="false"/>
                <w:color w:val="000000"/>
              </w:rPr>
              <w:t xml:space="preserve">Offer</w:t>
            </w:r>
          </w:p>
        </w:tc>
      </w:tr>
      <w:tr>
        <w:tc>
          <w:tcPr>
            <w:tcW w:type="dxa" w:w="4200"/>
            <w:tcMar>
              <w:top w:type="dxa" w:w="80"/>
              <w:left w:type="dxa" w:w="100"/>
              <w:bottom w:type="dxa" w:w="80"/>
              <w:right w:type="dxa" w:w="100"/>
            </w:tcMar>
          </w:tcPr>
          <w:p>
            <w:r>
              <w:rPr>
                <w:b w:val="false"/>
                <w:bCs w:val="false"/>
                <w:color w:val="000000"/>
              </w:rPr>
              <w:t xml:space="preserve">Test showing a price range (not exact figure) after size/frequency, not a live total</w:t>
            </w:r>
          </w:p>
        </w:tc>
        <w:tc>
          <w:tcPr>
            <w:tcW w:type="dxa" w:w="1500"/>
            <w:tcMar>
              <w:top w:type="dxa" w:w="80"/>
              <w:left w:type="dxa" w:w="100"/>
              <w:bottom w:type="dxa" w:w="80"/>
              <w:right w:type="dxa" w:w="100"/>
            </w:tcMar>
          </w:tcPr>
          <w:p>
            <w:r>
              <w:rPr>
                <w:b w:val="false"/>
                <w:bCs w:val="false"/>
                <w:color w:val="000000"/>
              </w:rPr>
              <w:t xml:space="preserve">Medium</w:t>
            </w:r>
          </w:p>
        </w:tc>
        <w:tc>
          <w:tcPr>
            <w:tcW w:type="dxa" w:w="1500"/>
            <w:tcMar>
              <w:top w:type="dxa" w:w="80"/>
              <w:left w:type="dxa" w:w="100"/>
              <w:bottom w:type="dxa" w:w="80"/>
              <w:right w:type="dxa" w:w="100"/>
            </w:tcMar>
          </w:tcPr>
          <w:p>
            <w:r>
              <w:rPr>
                <w:b w:val="false"/>
                <w:bCs w:val="false"/>
                <w:color w:val="000000"/>
              </w:rPr>
              <w:t xml:space="preserve">Medium</w:t>
            </w:r>
          </w:p>
        </w:tc>
        <w:tc>
          <w:tcPr>
            <w:tcW w:type="dxa" w:w="1800"/>
            <w:tcMar>
              <w:top w:type="dxa" w:w="80"/>
              <w:left w:type="dxa" w:w="100"/>
              <w:bottom w:type="dxa" w:w="80"/>
              <w:right w:type="dxa" w:w="100"/>
            </w:tcMar>
          </w:tcPr>
          <w:p>
            <w:r>
              <w:rPr>
                <w:b w:val="false"/>
                <w:bCs w:val="false"/>
                <w:color w:val="000000"/>
              </w:rPr>
              <w:t xml:space="preserve">Website</w:t>
            </w:r>
          </w:p>
        </w:tc>
      </w:tr>
      <w:tr>
        <w:tc>
          <w:tcPr>
            <w:tcW w:type="dxa" w:w="4200"/>
            <w:tcMar>
              <w:top w:type="dxa" w:w="80"/>
              <w:left w:type="dxa" w:w="100"/>
              <w:bottom w:type="dxa" w:w="80"/>
              <w:right w:type="dxa" w:w="100"/>
            </w:tcMar>
          </w:tcPr>
          <w:p>
            <w:r>
              <w:rPr>
                <w:b w:val="false"/>
                <w:bCs w:val="false"/>
                <w:color w:val="000000"/>
              </w:rPr>
              <w:t xml:space="preserve">Add FAQ entry explaining what changes the quoted price (size, add-ons, access)</w:t>
            </w:r>
          </w:p>
        </w:tc>
        <w:tc>
          <w:tcPr>
            <w:tcW w:type="dxa" w:w="1500"/>
            <w:tcMar>
              <w:top w:type="dxa" w:w="80"/>
              <w:left w:type="dxa" w:w="100"/>
              <w:bottom w:type="dxa" w:w="80"/>
              <w:right w:type="dxa" w:w="100"/>
            </w:tcMar>
          </w:tcPr>
          <w:p>
            <w:r>
              <w:rPr>
                <w:b w:val="false"/>
                <w:bCs w:val="false"/>
                <w:color w:val="000000"/>
              </w:rPr>
              <w:t xml:space="preserve">Medium</w:t>
            </w:r>
          </w:p>
        </w:tc>
        <w:tc>
          <w:tcPr>
            <w:tcW w:type="dxa" w:w="1500"/>
            <w:tcMar>
              <w:top w:type="dxa" w:w="80"/>
              <w:left w:type="dxa" w:w="100"/>
              <w:bottom w:type="dxa" w:w="80"/>
              <w:right w:type="dxa" w:w="100"/>
            </w:tcMar>
          </w:tcPr>
          <w:p>
            <w:r>
              <w:rPr>
                <w:b w:val="false"/>
                <w:bCs w:val="false"/>
                <w:color w:val="000000"/>
              </w:rPr>
              <w:t xml:space="preserve">Trivial</w:t>
            </w:r>
          </w:p>
        </w:tc>
        <w:tc>
          <w:tcPr>
            <w:tcW w:type="dxa" w:w="1800"/>
            <w:tcMar>
              <w:top w:type="dxa" w:w="80"/>
              <w:left w:type="dxa" w:w="100"/>
              <w:bottom w:type="dxa" w:w="80"/>
              <w:right w:type="dxa" w:w="100"/>
            </w:tcMar>
          </w:tcPr>
          <w:p>
            <w:r>
              <w:rPr>
                <w:b w:val="false"/>
                <w:bCs w:val="false"/>
                <w:color w:val="000000"/>
              </w:rPr>
              <w:t xml:space="preserve">Website</w:t>
            </w:r>
          </w:p>
        </w:tc>
      </w:tr>
      <w:tr>
        <w:tc>
          <w:tcPr>
            <w:tcW w:type="dxa" w:w="4200"/>
            <w:tcMar>
              <w:top w:type="dxa" w:w="80"/>
              <w:left w:type="dxa" w:w="100"/>
              <w:bottom w:type="dxa" w:w="80"/>
              <w:right w:type="dxa" w:w="100"/>
            </w:tcMar>
          </w:tcPr>
          <w:p>
            <w:r>
              <w:rPr>
                <w:b w:val="false"/>
                <w:bCs w:val="false"/>
                <w:color w:val="000000"/>
              </w:rPr>
              <w:t xml:space="preserve">Add a live Google Reviews widget and more (real, varied) testimonials</w:t>
            </w:r>
          </w:p>
        </w:tc>
        <w:tc>
          <w:tcPr>
            <w:tcW w:type="dxa" w:w="1500"/>
            <w:tcMar>
              <w:top w:type="dxa" w:w="80"/>
              <w:left w:type="dxa" w:w="100"/>
              <w:bottom w:type="dxa" w:w="80"/>
              <w:right w:type="dxa" w:w="100"/>
            </w:tcMar>
          </w:tcPr>
          <w:p>
            <w:r>
              <w:rPr>
                <w:b w:val="false"/>
                <w:bCs w:val="false"/>
                <w:color w:val="000000"/>
              </w:rPr>
              <w:t xml:space="preserve">Medium</w:t>
            </w:r>
          </w:p>
        </w:tc>
        <w:tc>
          <w:tcPr>
            <w:tcW w:type="dxa" w:w="1500"/>
            <w:tcMar>
              <w:top w:type="dxa" w:w="80"/>
              <w:left w:type="dxa" w:w="100"/>
              <w:bottom w:type="dxa" w:w="80"/>
              <w:right w:type="dxa" w:w="100"/>
            </w:tcMar>
          </w:tcPr>
          <w:p>
            <w:r>
              <w:rPr>
                <w:b w:val="false"/>
                <w:bCs w:val="false"/>
                <w:color w:val="000000"/>
              </w:rPr>
              <w:t xml:space="preserve">Medium</w:t>
            </w:r>
          </w:p>
        </w:tc>
        <w:tc>
          <w:tcPr>
            <w:tcW w:type="dxa" w:w="1800"/>
            <w:tcMar>
              <w:top w:type="dxa" w:w="80"/>
              <w:left w:type="dxa" w:w="100"/>
              <w:bottom w:type="dxa" w:w="80"/>
              <w:right w:type="dxa" w:w="100"/>
            </w:tcMar>
          </w:tcPr>
          <w:p>
            <w:r>
              <w:rPr>
                <w:b w:val="false"/>
                <w:bCs w:val="false"/>
                <w:color w:val="000000"/>
              </w:rPr>
              <w:t xml:space="preserve">Website</w:t>
            </w:r>
          </w:p>
        </w:tc>
      </w:tr>
      <w:tr>
        <w:tc>
          <w:tcPr>
            <w:tcW w:type="dxa" w:w="4200"/>
            <w:tcMar>
              <w:top w:type="dxa" w:w="80"/>
              <w:left w:type="dxa" w:w="100"/>
              <w:bottom w:type="dxa" w:w="80"/>
              <w:right w:type="dxa" w:w="100"/>
            </w:tcMar>
          </w:tcPr>
          <w:p>
            <w:r>
              <w:rPr>
                <w:b w:val="false"/>
                <w:bCs w:val="false"/>
                <w:color w:val="000000"/>
              </w:rPr>
              <w:t xml:space="preserve">Launch a referral program (e.g. give $30 / get $30)</w:t>
            </w:r>
          </w:p>
        </w:tc>
        <w:tc>
          <w:tcPr>
            <w:tcW w:type="dxa" w:w="1500"/>
            <w:tcMar>
              <w:top w:type="dxa" w:w="80"/>
              <w:left w:type="dxa" w:w="100"/>
              <w:bottom w:type="dxa" w:w="80"/>
              <w:right w:type="dxa" w:w="100"/>
            </w:tcMar>
          </w:tcPr>
          <w:p>
            <w:r>
              <w:rPr>
                <w:b w:val="false"/>
                <w:bCs w:val="false"/>
                <w:color w:val="000000"/>
              </w:rPr>
              <w:t xml:space="preserve">Medium</w:t>
            </w:r>
          </w:p>
        </w:tc>
        <w:tc>
          <w:tcPr>
            <w:tcW w:type="dxa" w:w="1500"/>
            <w:tcMar>
              <w:top w:type="dxa" w:w="80"/>
              <w:left w:type="dxa" w:w="100"/>
              <w:bottom w:type="dxa" w:w="80"/>
              <w:right w:type="dxa" w:w="100"/>
            </w:tcMar>
          </w:tcPr>
          <w:p>
            <w:r>
              <w:rPr>
                <w:b w:val="false"/>
                <w:bCs w:val="false"/>
                <w:color w:val="000000"/>
              </w:rPr>
              <w:t xml:space="preserve">Medium</w:t>
            </w:r>
          </w:p>
        </w:tc>
        <w:tc>
          <w:tcPr>
            <w:tcW w:type="dxa" w:w="1800"/>
            <w:tcMar>
              <w:top w:type="dxa" w:w="80"/>
              <w:left w:type="dxa" w:w="100"/>
              <w:bottom w:type="dxa" w:w="80"/>
              <w:right w:type="dxa" w:w="100"/>
            </w:tcMar>
          </w:tcPr>
          <w:p>
            <w:r>
              <w:rPr>
                <w:b w:val="false"/>
                <w:bCs w:val="false"/>
                <w:color w:val="000000"/>
              </w:rPr>
              <w:t xml:space="preserve">Offer</w:t>
            </w:r>
          </w:p>
        </w:tc>
      </w:tr>
      <w:tr>
        <w:tc>
          <w:tcPr>
            <w:tcW w:type="dxa" w:w="4200"/>
            <w:tcMar>
              <w:top w:type="dxa" w:w="80"/>
              <w:left w:type="dxa" w:w="100"/>
              <w:bottom w:type="dxa" w:w="80"/>
              <w:right w:type="dxa" w:w="100"/>
            </w:tcMar>
          </w:tcPr>
          <w:p>
            <w:r>
              <w:rPr>
                <w:b w:val="false"/>
                <w:bCs w:val="false"/>
                <w:color w:val="000000"/>
              </w:rPr>
              <w:t xml:space="preserve">Fix the ad's broken display URL (cleanfreaks.au/cleaning/melbourne)</w:t>
            </w:r>
          </w:p>
        </w:tc>
        <w:tc>
          <w:tcPr>
            <w:tcW w:type="dxa" w:w="1500"/>
            <w:tcMar>
              <w:top w:type="dxa" w:w="80"/>
              <w:left w:type="dxa" w:w="100"/>
              <w:bottom w:type="dxa" w:w="80"/>
              <w:right w:type="dxa" w:w="100"/>
            </w:tcMar>
          </w:tcPr>
          <w:p>
            <w:r>
              <w:rPr>
                <w:b w:val="false"/>
                <w:bCs w:val="false"/>
                <w:color w:val="000000"/>
              </w:rPr>
              <w:t xml:space="preserve">Low</w:t>
            </w:r>
          </w:p>
        </w:tc>
        <w:tc>
          <w:tcPr>
            <w:tcW w:type="dxa" w:w="1500"/>
            <w:tcMar>
              <w:top w:type="dxa" w:w="80"/>
              <w:left w:type="dxa" w:w="100"/>
              <w:bottom w:type="dxa" w:w="80"/>
              <w:right w:type="dxa" w:w="100"/>
            </w:tcMar>
          </w:tcPr>
          <w:p>
            <w:r>
              <w:rPr>
                <w:b w:val="false"/>
                <w:bCs w:val="false"/>
                <w:color w:val="000000"/>
              </w:rPr>
              <w:t xml:space="preserve">Trivial</w:t>
            </w:r>
          </w:p>
        </w:tc>
        <w:tc>
          <w:tcPr>
            <w:tcW w:type="dxa" w:w="1800"/>
            <w:tcMar>
              <w:top w:type="dxa" w:w="80"/>
              <w:left w:type="dxa" w:w="100"/>
              <w:bottom w:type="dxa" w:w="80"/>
              <w:right w:type="dxa" w:w="100"/>
            </w:tcMar>
          </w:tcPr>
          <w:p>
            <w:r>
              <w:rPr>
                <w:b w:val="false"/>
                <w:bCs w:val="false"/>
                <w:color w:val="000000"/>
              </w:rPr>
              <w:t xml:space="preserve">Website</w:t>
            </w:r>
          </w:p>
        </w:tc>
      </w:tr>
      <w:tr>
        <w:tc>
          <w:tcPr>
            <w:tcW w:type="dxa" w:w="4200"/>
            <w:tcMar>
              <w:top w:type="dxa" w:w="80"/>
              <w:left w:type="dxa" w:w="100"/>
              <w:bottom w:type="dxa" w:w="80"/>
              <w:right w:type="dxa" w:w="100"/>
            </w:tcMar>
          </w:tcPr>
          <w:p>
            <w:r>
              <w:rPr>
                <w:b w:val="false"/>
                <w:bCs w:val="false"/>
                <w:color w:val="000000"/>
              </w:rPr>
              <w:t xml:space="preserve">Consolidate the 3 overlapping landing pages into one consistent funnel</w:t>
            </w:r>
          </w:p>
        </w:tc>
        <w:tc>
          <w:tcPr>
            <w:tcW w:type="dxa" w:w="1500"/>
            <w:tcMar>
              <w:top w:type="dxa" w:w="80"/>
              <w:left w:type="dxa" w:w="100"/>
              <w:bottom w:type="dxa" w:w="80"/>
              <w:right w:type="dxa" w:w="100"/>
            </w:tcMar>
          </w:tcPr>
          <w:p>
            <w:r>
              <w:rPr>
                <w:b w:val="false"/>
                <w:bCs w:val="false"/>
                <w:color w:val="000000"/>
              </w:rPr>
              <w:t xml:space="preserve">Medium</w:t>
            </w:r>
          </w:p>
        </w:tc>
        <w:tc>
          <w:tcPr>
            <w:tcW w:type="dxa" w:w="1500"/>
            <w:tcMar>
              <w:top w:type="dxa" w:w="80"/>
              <w:left w:type="dxa" w:w="100"/>
              <w:bottom w:type="dxa" w:w="80"/>
              <w:right w:type="dxa" w:w="100"/>
            </w:tcMar>
          </w:tcPr>
          <w:p>
            <w:r>
              <w:rPr>
                <w:b w:val="false"/>
                <w:bCs w:val="false"/>
                <w:color w:val="000000"/>
              </w:rPr>
              <w:t xml:space="preserve">Medium</w:t>
            </w:r>
          </w:p>
        </w:tc>
        <w:tc>
          <w:tcPr>
            <w:tcW w:type="dxa" w:w="1800"/>
            <w:tcMar>
              <w:top w:type="dxa" w:w="80"/>
              <w:left w:type="dxa" w:w="100"/>
              <w:bottom w:type="dxa" w:w="80"/>
              <w:right w:type="dxa" w:w="100"/>
            </w:tcMar>
          </w:tcPr>
          <w:p>
            <w:r>
              <w:rPr>
                <w:b w:val="false"/>
                <w:bCs w:val="false"/>
                <w:color w:val="000000"/>
              </w:rPr>
              <w:t xml:space="preserve">Website</w:t>
            </w:r>
          </w:p>
        </w:tc>
      </w:tr>
      <w:tr>
        <w:tc>
          <w:tcPr>
            <w:tcW w:type="dxa" w:w="4200"/>
            <w:tcMar>
              <w:top w:type="dxa" w:w="80"/>
              <w:left w:type="dxa" w:w="100"/>
              <w:bottom w:type="dxa" w:w="80"/>
              <w:right w:type="dxa" w:w="100"/>
            </w:tcMar>
          </w:tcPr>
          <w:p>
            <w:r>
              <w:rPr>
                <w:b w:val="false"/>
                <w:bCs w:val="false"/>
                <w:color w:val="000000"/>
              </w:rPr>
              <w:t xml:space="preserve">Dedicated mobile QA pass on the booking widget</w:t>
            </w:r>
          </w:p>
        </w:tc>
        <w:tc>
          <w:tcPr>
            <w:tcW w:type="dxa" w:w="1500"/>
            <w:tcMar>
              <w:top w:type="dxa" w:w="80"/>
              <w:left w:type="dxa" w:w="100"/>
              <w:bottom w:type="dxa" w:w="80"/>
              <w:right w:type="dxa" w:w="100"/>
            </w:tcMar>
          </w:tcPr>
          <w:p>
            <w:r>
              <w:rPr>
                <w:b w:val="false"/>
                <w:bCs w:val="false"/>
                <w:color w:val="000000"/>
              </w:rPr>
              <w:t xml:space="preserve">Unknown – untested</w:t>
            </w:r>
          </w:p>
        </w:tc>
        <w:tc>
          <w:tcPr>
            <w:tcW w:type="dxa" w:w="1500"/>
            <w:tcMar>
              <w:top w:type="dxa" w:w="80"/>
              <w:left w:type="dxa" w:w="100"/>
              <w:bottom w:type="dxa" w:w="80"/>
              <w:right w:type="dxa" w:w="100"/>
            </w:tcMar>
          </w:tcPr>
          <w:p>
            <w:r>
              <w:rPr>
                <w:b w:val="false"/>
                <w:bCs w:val="false"/>
                <w:color w:val="000000"/>
              </w:rPr>
              <w:t xml:space="preserve">Low</w:t>
            </w:r>
          </w:p>
        </w:tc>
        <w:tc>
          <w:tcPr>
            <w:tcW w:type="dxa" w:w="1800"/>
            <w:tcMar>
              <w:top w:type="dxa" w:w="80"/>
              <w:left w:type="dxa" w:w="100"/>
              <w:bottom w:type="dxa" w:w="80"/>
              <w:right w:type="dxa" w:w="100"/>
            </w:tcMar>
          </w:tcPr>
          <w:p>
            <w:r>
              <w:rPr>
                <w:b w:val="false"/>
                <w:bCs w:val="false"/>
                <w:color w:val="000000"/>
              </w:rPr>
              <w:t xml:space="preserve">Website</w:t>
            </w:r>
          </w:p>
        </w:tc>
      </w:tr>
    </w:tbl>
    <w:p>
      <w:pPr>
        <w:spacing w:after="200"/>
      </w:pPr>
    </w:p>
    <w:p>
      <w:pPr>
        <w:pStyle w:val="Heading1"/>
        <w:spacing w:after="200" w:before="400"/>
      </w:pPr>
      <w:r>
        <w:t xml:space="preserve">5. Parked for Phase 2 — Marketing Avenues</w:t>
      </w:r>
    </w:p>
    <w:p>
      <w:pPr>
        <w:spacing w:after="160"/>
      </w:pPr>
      <w:r>
        <w:t xml:space="preserve">Per your direction, these are intentionally not built out in this document — offers, website and sales come first. Flagging here only so they aren't lost:</w:t>
      </w:r>
    </w:p>
    <w:p>
      <w:pPr>
        <w:pStyle w:val="ListParagraph"/>
        <w:numPr>
          <w:ilvl w:val="0"/>
          <w:numId w:val="2"/>
        </w:numPr>
        <w:spacing w:after="100"/>
      </w:pPr>
      <w:r>
        <w:t xml:space="preserve">Real estate agent outreach and referral partnerships — a natural fit given End of Lease cleaning is already an established service line with a bond-return guarantee agents can put in front of tenants directly.</w:t>
      </w:r>
    </w:p>
    <w:p>
      <w:pPr>
        <w:pStyle w:val="ListParagraph"/>
        <w:numPr>
          <w:ilvl w:val="0"/>
          <w:numId w:val="2"/>
        </w:numPr>
        <w:spacing w:after="100"/>
      </w:pPr>
      <w:r>
        <w:t xml:space="preserve">Email marketing — particularly a nurture sequence for “quote only, never booked” leads, and a win-back sequence for past customers who haven't rebooked.</w:t>
      </w:r>
    </w:p>
    <w:p>
      <w:pPr>
        <w:pStyle w:val="ListParagraph"/>
        <w:numPr>
          <w:ilvl w:val="0"/>
          <w:numId w:val="2"/>
        </w:numPr>
        <w:spacing w:after="100"/>
      </w:pPr>
      <w:r>
        <w:t xml:space="preserve">SMS marketing — faster-turnaround follow-up on fresh leads, appointment reminders, and post-clean review requests.</w:t>
      </w:r>
    </w:p>
    <w:p>
      <w:pPr>
        <w:spacing w:after="160"/>
      </w:pPr>
      <w:r>
        <w:rPr>
          <w:i/>
          <w:iCs/>
          <w:color w:val="666666"/>
        </w:rPr>
        <w:t xml:space="preserve">Ready to scope any of these out in detail once the offers, website and sales items above are underway.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2026-09-16T12:55:47.611Z</dcterms:created>
  <dcterms:modified xsi:type="dcterms:W3CDTF">2026-09-16T12:55:47.611Z</dcterms:modified>
</cp:coreProperties>
</file>

<file path=docProps/custom.xml><?xml version="1.0" encoding="utf-8"?>
<Properties xmlns="http://schemas.openxmlformats.org/officeDocument/2006/custom-properties" xmlns:vt="http://schemas.openxmlformats.org/officeDocument/2006/docPropsVTypes"/>
</file>