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880"/>
        <w:jc w:val="center"/>
      </w:pPr>
      <w:r>
        <w:rPr>
          <w:sz w:val="120"/>
          <w:szCs w:val="120"/>
        </w:rPr>
        <w:t xml:space="preserve">🖨️</w:t>
      </w:r>
    </w:p>
    <w:p>
      <w:pPr>
        <w:spacing w:after="240" w:before="0"/>
        <w:jc w:val="center"/>
      </w:pPr>
      <w:r>
        <w:rPr>
          <w:rFonts w:ascii="Arial" w:cs="Arial" w:eastAsia="Arial" w:hAnsi="Arial"/>
          <w:b/>
          <w:bCs/>
          <w:color w:val="4F46E5"/>
          <w:sz w:val="80"/>
          <w:szCs w:val="80"/>
        </w:rPr>
        <w:t xml:space="preserve">Gestão 3D</w:t>
      </w:r>
    </w:p>
    <w:p>
      <w:pPr>
        <w:spacing w:after="80"/>
        <w:jc w:val="center"/>
      </w:pPr>
      <w:r>
        <w:rPr>
          <w:rFonts w:ascii="Arial" w:cs="Arial" w:eastAsia="Arial" w:hAnsi="Arial"/>
          <w:color w:val="7C3AED"/>
          <w:sz w:val="36"/>
          <w:szCs w:val="36"/>
        </w:rPr>
        <w:t xml:space="preserve">Documentação Técnica Completa</w:t>
      </w:r>
    </w:p>
    <w:p>
      <w:pPr>
        <w:spacing w:after="720"/>
        <w:jc w:val="center"/>
      </w:pPr>
      <w:r>
        <w:rPr>
          <w:rFonts w:ascii="Arial" w:cs="Arial" w:eastAsia="Arial" w:hAnsi="Arial"/>
          <w:color w:val="6B7280"/>
          <w:sz w:val="24"/>
          <w:szCs w:val="24"/>
        </w:rPr>
        <w:t xml:space="preserve">Calculadora de Custos · Gestão de Materiais · Exportação PDF · Leitor G-Code</w:t>
      </w:r>
    </w:p>
    <w:p>
      <w:pPr>
        <w:pBdr>
          <w:bottom w:val="single" w:color="E5E7EB" w:sz="4"/>
        </w:pBdr>
        <w:spacing w:after="20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Versão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1.0.0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Data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Abril 2026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Stack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React 18 · TypeScript · Vite 5 · Tailwind CSS 3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Slicers suportados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BambuStudio, PrusaSlicer, OrcaSlicer, Cura, IdeaMaker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Deploy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Vercel (SPA com rewrite)</w:t>
            </w:r>
          </w:p>
        </w:tc>
      </w:tr>
    </w:tbl>
    <w:p>
      <w:pPr>
        <w:spacing w:before="600"/>
      </w:pPr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4F46E5"/>
          <w:sz w:val="36"/>
          <w:szCs w:val="36"/>
        </w:rPr>
        <w:t xml:space="preserve">1. Visão Geral do Projeto</w:t>
      </w:r>
    </w:p>
    <w:p>
      <w:pPr>
        <w:spacing w:after="1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O Gestão 3D é uma aplicação web completa para fabricantes de impressão 3D calcularem custos de produção, definirem preços de venda com markup, gerenciarem o estoque de filamentos e exportarem relatórios. A aplicação roda inteiramente no navegador, sem necessidade de servidor.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Objetivos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Calcular automaticamente custo por unidade, preço para consumidor final e preço para lojista.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Suportar múltiplos filamentos por peça (projetos multicoloridos ou multi-material).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Importar dados diretamente do arquivo G-Code gerado pelo slicer, eliminando entrada manual.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Gerenciar estoque de rolos de filamento com indicador de consumo.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Exportar relatório completo em PDF com uma planilha de todas as peças.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Persistir todos os dados localmente via localStorage, sem dependência de backend.</w:t>
      </w:r>
    </w:p>
    <w:p>
      <w:pPr>
        <w:pBdr>
          <w:bottom w:val="single" w:color="E5E7EB" w:sz="4"/>
        </w:pBdr>
        <w:spacing w:after="200" w:before="20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4F46E5"/>
          <w:sz w:val="36"/>
          <w:szCs w:val="36"/>
        </w:rPr>
        <w:t xml:space="preserve">2. Stack Técnica e Configuração do Ambiente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4F46E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Tecnologia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3730A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Versão / Detalhe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React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18.3.1 — interface declarativa com hooks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TypeScript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6.0 — tipagem estrita em todo o projeto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Vite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5.4 — bundler e servidor de desenvolvimento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Tailwind CSS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3.4 — estilização por classes utilitárias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Recharts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2.12 — gráficos de barras e pizza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jsPDF + autotable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2.5 / 3.8 — exportação de relatórios PDF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Node.js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20 (ESM mode, "type": "module")</w:t>
            </w:r>
          </w:p>
        </w:tc>
      </w:tr>
    </w:tbl>
    <w:p>
      <w:pPr>
        <w:spacing w:before="24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Problema de Ambiente Resolvido — PostCSS / ESM</w:t>
      </w:r>
    </w:p>
    <w:p>
      <w:pPr>
        <w:spacing w:after="1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Durante o desenvolvimento foi identificado um conflito persistente entre o modo ESM do Node.js e o carregador interno do pacote postcss-load-config. A solução definitiva foi: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"type": "module" mantido no package.json (exigido pelo pacote dlv, dependência do Tailwind).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Arquivos postcss.config.js e postcss.config.cjs removidos completamente.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Configuração do PostCSS (tailwindcss + autoprefixer) embutida diretamente no vite.config.ts via import TypeScript — bypassa o postcss-load-config por completo.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Limpeza total de cache: rmdir /s /q node_modules &amp;&amp; del package-lock.json &amp;&amp; npm install.</w:t>
      </w:r>
    </w:p>
    <w:p>
      <w:pPr>
        <w:shd w:fill="F1F5F9" w:val="clear"/>
        <w:spacing w:after="40"/>
        <w:ind w:lef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// vite.config.ts — PostCSS inline (não usar arquivo externo)</w:t>
      </w:r>
    </w:p>
    <w:p>
      <w:pPr>
        <w:shd w:fill="F1F5F9" w:val="clear"/>
        <w:spacing w:after="40"/>
        <w:ind w:lef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import tailwindcss from 'tailwindcss';</w:t>
      </w:r>
    </w:p>
    <w:p>
      <w:pPr>
        <w:shd w:fill="F1F5F9" w:val="clear"/>
        <w:spacing w:after="40"/>
        <w:ind w:lef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import autoprefixer from 'autoprefixer';</w:t>
      </w:r>
    </w:p>
    <w:p>
      <w:pPr>
        <w:shd w:fill="F1F5F9" w:val="clear"/>
        <w:spacing w:after="40"/>
        <w:ind w:lef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css: { postcss: { plugins: [tailwindcss(), autoprefixer()] } }</w:t>
      </w:r>
    </w:p>
    <w:p>
      <w:pPr>
        <w:pBdr>
          <w:bottom w:val="single" w:color="E5E7EB" w:sz="4"/>
        </w:pBdr>
        <w:spacing w:after="200" w:before="20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4F46E5"/>
          <w:sz w:val="36"/>
          <w:szCs w:val="36"/>
        </w:rPr>
        <w:t xml:space="preserve">3. Arquitetura e Estrutura de Arquivos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Estrutura de Diretórios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c>
          <w:tcPr>
            <w:tcW w:type="dxa" w:w="34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Arquivo</w:t>
            </w:r>
          </w:p>
        </w:tc>
        <w:tc>
          <w:tcPr>
            <w:tcW w:type="dxa" w:w="596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Responsabilidade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2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3730A3"/>
                <w:sz w:val="18"/>
                <w:szCs w:val="18"/>
              </w:rPr>
              <w:t xml:space="preserve">src/types/index.ts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Todas as interfaces TypeScript do domínio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3730A3"/>
                <w:sz w:val="18"/>
                <w:szCs w:val="18"/>
              </w:rPr>
              <w:t xml:space="preserve">src/contexts/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AuthContext, SettingsContext, ProductContext, MaterialContext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2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3730A3"/>
                <w:sz w:val="18"/>
                <w:szCs w:val="18"/>
              </w:rPr>
              <w:t xml:space="preserve">src/utils/calc.ts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Funções puras de cálculo de custos e preços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3730A3"/>
                <w:sz w:val="18"/>
                <w:szCs w:val="18"/>
              </w:rPr>
              <w:t xml:space="preserve">src/utils/gcodeParser.ts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Parser G-Code multi-slicer (v2)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2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3730A3"/>
                <w:sz w:val="18"/>
                <w:szCs w:val="18"/>
              </w:rPr>
              <w:t xml:space="preserve">src/utils/exportPdf.ts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Exportação de relatório em PDF (jsPDF)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3730A3"/>
                <w:sz w:val="18"/>
                <w:szCs w:val="18"/>
              </w:rPr>
              <w:t xml:space="preserve">src/utils/formatters.ts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Formatadores R$, %, cores, truncate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2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3730A3"/>
                <w:sz w:val="18"/>
                <w:szCs w:val="18"/>
              </w:rPr>
              <w:t xml:space="preserve">src/data/initialProducts.ts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Produtos de exemplo carregados na 1ª execução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3730A3"/>
                <w:sz w:val="18"/>
                <w:szCs w:val="18"/>
              </w:rPr>
              <w:t xml:space="preserve">src/services/api.ts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Camada de serviços assíncrona (simula API)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2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3730A3"/>
                <w:sz w:val="18"/>
                <w:szCs w:val="18"/>
              </w:rPr>
              <w:t xml:space="preserve">src/components/dashboard/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Dashboard com KPIs, gráfico e cards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3730A3"/>
                <w:sz w:val="18"/>
                <w:szCs w:val="18"/>
              </w:rPr>
              <w:t xml:space="preserve">src/components/products/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ProductsTab, NovaModal, EditProductModal, ProductModal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2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3730A3"/>
                <w:sz w:val="18"/>
                <w:szCs w:val="18"/>
              </w:rPr>
              <w:t xml:space="preserve">src/components/materiais/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MateriaisTab, NovoMaterialModal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3730A3"/>
                <w:sz w:val="18"/>
                <w:szCs w:val="18"/>
              </w:rPr>
              <w:t xml:space="preserve">src/components/estoque/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EstoqueTab com controle de quantidade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2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3730A3"/>
                <w:sz w:val="18"/>
                <w:szCs w:val="18"/>
              </w:rPr>
              <w:t xml:space="preserve">src/components/layout/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Header com 4 abas navegáveis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3730A3"/>
                <w:sz w:val="18"/>
                <w:szCs w:val="18"/>
              </w:rPr>
              <w:t xml:space="preserve">src/components/auth/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LoginPage com autenticação local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2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3730A3"/>
                <w:sz w:val="18"/>
                <w:szCs w:val="18"/>
              </w:rPr>
              <w:t xml:space="preserve">vercel.json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SPA rewrite — todas as rotas servem index.html</w:t>
            </w:r>
          </w:p>
        </w:tc>
      </w:tr>
    </w:tbl>
    <w:p>
      <w:pPr>
        <w:spacing w:before="24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Fluxo de Dados (Context API)</w:t>
      </w:r>
    </w:p>
    <w:p>
      <w:pPr>
        <w:spacing w:after="1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 aplicação usa Context API com useState lazy para persistência automática no localStorage. O fluxo é:</w:t>
      </w:r>
    </w:p>
    <w:p>
      <w:pPr>
        <w:shd w:fill="F1F5F9" w:val="clear"/>
        <w:spacing w:after="40"/>
        <w:ind w:lef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AuthProvider &gt; SettingsProvider &gt; ProductProvider &gt; MaterialProvider &gt; App</w:t>
      </w:r>
    </w:p>
    <w:p>
      <w:pPr>
        <w:spacing w:after="1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Cada context salva no localStorage ao receber qualquer mutação (addProduct, updateProduct, removeProduct). Na inicialização, tenta carregar do localStorage; se vazio, usa os dados de exemplo de initialProducts.ts.</w:t>
      </w:r>
    </w:p>
    <w:p>
      <w:pPr>
        <w:pBdr>
          <w:bottom w:val="single" w:color="E5E7EB" w:sz="4"/>
        </w:pBdr>
        <w:spacing w:after="200" w:before="20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4F46E5"/>
          <w:sz w:val="36"/>
          <w:szCs w:val="36"/>
        </w:rPr>
        <w:t xml:space="preserve">4. Modelos de Dados Principais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Interface Product</w:t>
      </w:r>
    </w:p>
    <w:p>
      <w:pPr>
        <w:spacing w:after="1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Representa uma peça 3D com todos os seus parâmetros de custo e preço calculados: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4F46E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3730A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 / Descrição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filamentos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FilamentoUsado[] — lista de filamentos (multi-material)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acessorios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Accessory[] — embalagens, imãs, LEDs, etc.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tempo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number — horas de impressão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markup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number — multiplicador sobre o custo por unidade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falhas / imposto / txCartao / custoAnuncio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number — percentuais descontados no lucro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precoConsumidor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number — custoUn × markup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precoLojista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number — precoConsumidor / 2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lucroLiquidoConsumidor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number — lucro após impostos e taxas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estoque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number — unidades em estoque</w:t>
            </w:r>
          </w:p>
        </w:tc>
      </w:tr>
    </w:tbl>
    <w:p>
      <w:pPr>
        <w:spacing w:before="24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Interface Material (Rolo de Filamento)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4F46E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3730A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tipo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PLA | PETG | ABS | TPU | ASA | Outro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precoPago / pesoTotal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Calcula custo/g = precoPago / pesoTotal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pesoAtual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Quantidade restante no rolo (editável inline)</w:t>
            </w:r>
          </w:p>
        </w:tc>
      </w:tr>
    </w:tbl>
    <w:p>
      <w:pPr>
        <w:pBdr>
          <w:bottom w:val="single" w:color="E5E7EB" w:sz="4"/>
        </w:pBdr>
        <w:spacing w:after="200" w:before="20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4F46E5"/>
          <w:sz w:val="36"/>
          <w:szCs w:val="36"/>
        </w:rPr>
        <w:t xml:space="preserve">5. Lógica de Cálculo de Preços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Função Principal — calcProductFromForm</w:t>
      </w:r>
    </w:p>
    <w:p>
      <w:pPr>
        <w:spacing w:after="1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Função pura em src/utils/calc.ts que recebe o formulário, as configurações globais, a lista de filamentos e a lista de acessórios:</w:t>
      </w:r>
    </w:p>
    <w:p>
      <w:pPr>
        <w:shd w:fill="F1F5F9" w:val="clear"/>
        <w:spacing w:after="40"/>
        <w:ind w:lef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calcProductFromForm(f: ProductForm, settings: AppSettings,</w:t>
      </w:r>
    </w:p>
    <w:p>
      <w:pPr>
        <w:shd w:fill="F1F5F9" w:val="clear"/>
        <w:spacing w:after="40"/>
        <w:ind w:lef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filamentos: Pick&lt;FilamentoUsado, "peso"|"custoKg"&gt;[],</w:t>
      </w:r>
    </w:p>
    <w:p>
      <w:pPr>
        <w:shd w:fill="F1F5F9" w:val="clear"/>
        <w:spacing w:after="40"/>
        <w:ind w:lef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acessorios: Pick&lt;Accessory, "qtd"|"custoUn"&gt;[]): CalcResult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Composição do Custo Base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4F46E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3730A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Fórmula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Filamentos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Σ (pesog / 1000) × custoKg para cada filamento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Energia elétrica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(potênciaW × horas / 1000) × custoKwh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Amortização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(horas / vidaUtilHoras) × valorMáquina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Custo fixo rateado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custoFixoMes / unidadesMes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Acessórios/unidade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Σ (qtd × custoUn) / unidades do lote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Custo com falhas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custoBase × (1 + falhas%)</w:t>
            </w:r>
          </w:p>
        </w:tc>
      </w:tr>
    </w:tbl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Preços e Lucro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4F46E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Resultado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3730A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Fórmula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Preço consumidor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custoUn × markup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Preço lojista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precoConsumidor / 2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Lucro líq. consumidor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(precoC - custoUn) - precoC × (imposto + txCartao + custoAnuncio)%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Lucro líq. lojista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(precoL - custoUn) - precoL × (imposto + txCartao)%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Break-even markup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1 / (1 - totalDescontos%) — markup mínimo sem prejuízo</w:t>
            </w:r>
          </w:p>
        </w:tc>
      </w:tr>
    </w:tbl>
    <w:p>
      <w:pPr>
        <w:pBdr>
          <w:bottom w:val="single" w:color="E5E7EB" w:sz="4"/>
        </w:pBdr>
        <w:spacing w:after="200" w:before="20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4F46E5"/>
          <w:sz w:val="36"/>
          <w:szCs w:val="36"/>
        </w:rPr>
        <w:t xml:space="preserve">6. Leitor de G-Code (gcodeParser.ts v2)</w:t>
      </w:r>
    </w:p>
    <w:p>
      <w:pPr>
        <w:spacing w:after="1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O parser lê apenas os primeiros 80 KB do arquivo (cabeçalho do slicer), sem dependências externas. Detecta automaticamente o slicer e extrai os metadados de impressão.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Slicers Suportados e Campos Extraídos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4F46E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Slicer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3730A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Campos detectados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BambuStudio 02.x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Tempo total, peso [g], tipo filamento, layer, bico, nome do slicer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PrusaSlicer / SuperSlicer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filament used [g], filament used [mm], estimated printing time (normal mode)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OrcaSlicer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estimated printing time (variante simplificada), filament_type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Cura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TIME (segundos), Filament used (metros → converte para g via densidade PLA)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IdeaMaker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Printing Time, Material#1 Used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Bugs Corrigidos na v2</w:t>
      </w:r>
    </w:p>
    <w:p>
      <w:pPr>
        <w:pBdr>
          <w:left w:val="single" w:color="EF4444" w:sz="12"/>
        </w:pBdr>
        <w:shd w:fill="FEF2F2" w:val="clear"/>
        <w:spacing w:after="0" w:before="80"/>
        <w:ind w:left="200"/>
      </w:pPr>
      <w:r>
        <w:rPr>
          <w:rFonts w:ascii="Arial" w:cs="Arial" w:eastAsia="Arial" w:hAnsi="Arial"/>
          <w:b/>
          <w:bCs/>
          <w:color w:val="B91C1C"/>
          <w:sz w:val="22"/>
          <w:szCs w:val="22"/>
        </w:rPr>
        <w:t xml:space="preserve">⚠ Bug 1 — Nome do slicer BambuStudio</w:t>
      </w:r>
    </w:p>
    <w:p>
      <w:pPr>
        <w:pBdr>
          <w:left w:val="single" w:color="EF4444" w:sz="12"/>
        </w:pBdr>
        <w:shd w:fill="FEF2F2" w:val="clear"/>
        <w:spacing w:after="120"/>
        <w:ind w:left="200"/>
      </w:pPr>
      <w:r>
        <w:rPr>
          <w:rFonts w:ascii="Arial" w:cs="Arial" w:eastAsia="Arial" w:hAnsi="Arial"/>
          <w:color w:val="991B1B"/>
          <w:sz w:val="20"/>
          <w:szCs w:val="20"/>
        </w:rPr>
        <w:t xml:space="preserve">A linha "BambuStudio 02.05.03.61" não batia em nenhum padrão pois não tem prefixo "generated by".</w:t>
      </w:r>
    </w:p>
    <w:p>
      <w:pPr>
        <w:pBdr>
          <w:left w:val="single" w:color="22C55E" w:sz="12"/>
        </w:pBdr>
        <w:shd w:fill="F0FDF4" w:val="clear"/>
        <w:spacing w:after="0" w:before="80"/>
        <w:ind w:left="200"/>
      </w:pPr>
      <w:r>
        <w:rPr>
          <w:rFonts w:ascii="Arial" w:cs="Arial" w:eastAsia="Arial" w:hAnsi="Arial"/>
          <w:b/>
          <w:bCs/>
          <w:color w:val="15803D"/>
          <w:sz w:val="22"/>
          <w:szCs w:val="22"/>
        </w:rPr>
        <w:t xml:space="preserve">✓ Correção</w:t>
      </w:r>
    </w:p>
    <w:p>
      <w:pPr>
        <w:pBdr>
          <w:left w:val="single" w:color="22C55E" w:sz="12"/>
        </w:pBdr>
        <w:shd w:fill="F0FDF4" w:val="clear"/>
        <w:spacing w:after="120"/>
        <w:ind w:left="200"/>
      </w:pPr>
      <w:r>
        <w:rPr>
          <w:rFonts w:ascii="Arial" w:cs="Arial" w:eastAsia="Arial" w:hAnsi="Arial"/>
          <w:color w:val="166534"/>
          <w:sz w:val="20"/>
          <w:szCs w:val="20"/>
        </w:rPr>
        <w:t xml:space="preserve">Regex específico: /^(BambuStudio|OrcaSlicer)\s+([\d.]+)/i detecta o nome diretamente.</w:t>
      </w:r>
    </w:p>
    <w:p>
      <w:pPr>
        <w:pBdr>
          <w:left w:val="single" w:color="EF4444" w:sz="12"/>
        </w:pBdr>
        <w:shd w:fill="FEF2F2" w:val="clear"/>
        <w:spacing w:after="0" w:before="80"/>
        <w:ind w:left="200"/>
      </w:pPr>
      <w:r>
        <w:rPr>
          <w:rFonts w:ascii="Arial" w:cs="Arial" w:eastAsia="Arial" w:hAnsi="Arial"/>
          <w:b/>
          <w:bCs/>
          <w:color w:val="B91C1C"/>
          <w:sz w:val="22"/>
          <w:szCs w:val="22"/>
        </w:rPr>
        <w:t xml:space="preserve">⚠ Bug 2 — Tempo em linha dupla</w:t>
      </w:r>
    </w:p>
    <w:p>
      <w:pPr>
        <w:pBdr>
          <w:left w:val="single" w:color="EF4444" w:sz="12"/>
        </w:pBdr>
        <w:shd w:fill="FEF2F2" w:val="clear"/>
        <w:spacing w:after="120"/>
        <w:ind w:left="200"/>
      </w:pPr>
      <w:r>
        <w:rPr>
          <w:rFonts w:ascii="Arial" w:cs="Arial" w:eastAsia="Arial" w:hAnsi="Arial"/>
          <w:color w:val="991B1B"/>
          <w:sz w:val="20"/>
          <w:szCs w:val="20"/>
        </w:rPr>
        <w:t xml:space="preserve">A linha "model printing time: 2h 12m 45s; total estimated time: 2h 19m 2s" contém dois campos. O regex com âncora ^ falhou porque o conteúdo não começa com "total estimated time:".</w:t>
      </w:r>
    </w:p>
    <w:p>
      <w:pPr>
        <w:pBdr>
          <w:left w:val="single" w:color="22C55E" w:sz="12"/>
        </w:pBdr>
        <w:shd w:fill="F0FDF4" w:val="clear"/>
        <w:spacing w:after="0" w:before="80"/>
        <w:ind w:left="200"/>
      </w:pPr>
      <w:r>
        <w:rPr>
          <w:rFonts w:ascii="Arial" w:cs="Arial" w:eastAsia="Arial" w:hAnsi="Arial"/>
          <w:b/>
          <w:bCs/>
          <w:color w:val="15803D"/>
          <w:sz w:val="22"/>
          <w:szCs w:val="22"/>
        </w:rPr>
        <w:t xml:space="preserve">✓ Correção</w:t>
      </w:r>
    </w:p>
    <w:p>
      <w:pPr>
        <w:pBdr>
          <w:left w:val="single" w:color="22C55E" w:sz="12"/>
        </w:pBdr>
        <w:shd w:fill="F0FDF4" w:val="clear"/>
        <w:spacing w:after="120"/>
        <w:ind w:left="200"/>
      </w:pPr>
      <w:r>
        <w:rPr>
          <w:rFonts w:ascii="Arial" w:cs="Arial" w:eastAsia="Arial" w:hAnsi="Arial"/>
          <w:color w:val="166534"/>
          <w:sz w:val="20"/>
          <w:szCs w:val="20"/>
        </w:rPr>
        <w:t xml:space="preserve">Regex sem âncora ^: /total estimated time:\s*([^;]+)/i busca o padrão em qualquer posição da linha, capturando até o próximo ";" ou fim.</w:t>
      </w:r>
    </w:p>
    <w:p>
      <w:pPr>
        <w:pBdr>
          <w:left w:val="single" w:color="EF4444" w:sz="12"/>
        </w:pBdr>
        <w:shd w:fill="FEF2F2" w:val="clear"/>
        <w:spacing w:after="0" w:before="80"/>
        <w:ind w:left="200"/>
      </w:pPr>
      <w:r>
        <w:rPr>
          <w:rFonts w:ascii="Arial" w:cs="Arial" w:eastAsia="Arial" w:hAnsi="Arial"/>
          <w:b/>
          <w:bCs/>
          <w:color w:val="B91C1C"/>
          <w:sz w:val="22"/>
          <w:szCs w:val="22"/>
        </w:rPr>
        <w:t xml:space="preserve">⚠ Bug 3 — Peso com formato diferente</w:t>
      </w:r>
    </w:p>
    <w:p>
      <w:pPr>
        <w:pBdr>
          <w:left w:val="single" w:color="EF4444" w:sz="12"/>
        </w:pBdr>
        <w:shd w:fill="FEF2F2" w:val="clear"/>
        <w:spacing w:after="120"/>
        <w:ind w:left="200"/>
      </w:pPr>
      <w:r>
        <w:rPr>
          <w:rFonts w:ascii="Arial" w:cs="Arial" w:eastAsia="Arial" w:hAnsi="Arial"/>
          <w:color w:val="991B1B"/>
          <w:sz w:val="20"/>
          <w:szCs w:val="20"/>
        </w:rPr>
        <w:t xml:space="preserve">"total filament weight [g] : 66.70" usa chave diferente e ": " (com espaço) em vez de "=".</w:t>
      </w:r>
    </w:p>
    <w:p>
      <w:pPr>
        <w:pBdr>
          <w:left w:val="single" w:color="22C55E" w:sz="12"/>
        </w:pBdr>
        <w:shd w:fill="F0FDF4" w:val="clear"/>
        <w:spacing w:after="0" w:before="80"/>
        <w:ind w:left="200"/>
      </w:pPr>
      <w:r>
        <w:rPr>
          <w:rFonts w:ascii="Arial" w:cs="Arial" w:eastAsia="Arial" w:hAnsi="Arial"/>
          <w:b/>
          <w:bCs/>
          <w:color w:val="15803D"/>
          <w:sz w:val="22"/>
          <w:szCs w:val="22"/>
        </w:rPr>
        <w:t xml:space="preserve">✓ Correção</w:t>
      </w:r>
    </w:p>
    <w:p>
      <w:pPr>
        <w:pBdr>
          <w:left w:val="single" w:color="22C55E" w:sz="12"/>
        </w:pBdr>
        <w:shd w:fill="F0FDF4" w:val="clear"/>
        <w:spacing w:after="120"/>
        <w:ind w:left="200"/>
      </w:pPr>
      <w:r>
        <w:rPr>
          <w:rFonts w:ascii="Arial" w:cs="Arial" w:eastAsia="Arial" w:hAnsi="Arial"/>
          <w:color w:val="166534"/>
          <w:sz w:val="20"/>
          <w:szCs w:val="20"/>
        </w:rPr>
        <w:t xml:space="preserve">Regex: /^total filament weight\s*\[g\]\s*[=:]\s*([\d.]+)/i aceita tanto "=" quanto ":"  com qualquer espaçamento.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Fluxo de Importação Multi-Cama</w:t>
      </w:r>
    </w:p>
    <w:p>
      <w:pPr>
        <w:spacing w:after="1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Cada arquivo G-Code importado corresponde a uma "cama de impressão" (mesa). O sistema é aditivo: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1ª importação — preenche a linha de filamento vazia existente com peso e label automático ("Mesa 1 · PLA").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2ª+ importação — adiciona nova linha de filamento e acumula o tempo (Mesa 1 + Mesa 2 + …).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Remoção de cama — remove a linha de filamento associada e desconta o tempo correspondente.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Banner de totais — mostra "⏱ Xh Ymin total · ⚖️ Xg total" em tempo real.</w:t>
      </w:r>
    </w:p>
    <w:p>
      <w:pPr>
        <w:pBdr>
          <w:bottom w:val="single" w:color="E5E7EB" w:sz="4"/>
        </w:pBdr>
        <w:spacing w:after="200" w:before="20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4F46E5"/>
          <w:sz w:val="36"/>
          <w:szCs w:val="36"/>
        </w:rPr>
        <w:t xml:space="preserve">7. Funcionalidades por Módulo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7.1 Dashboard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4 cards KPI: total de peças, lucro total consumidor, lucro total lojista, markup médio.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Gráfico de barras: Custo × Preço × Lucro por peça (Recharts).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Cards individuais por peça com margem e lucro líquido.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Botão "Exportar PDF" com spinner de loading — gera relatório A4 paisagem.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Botão de edição completa (✏️ indigo) em cada card.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7.2 Aba Produtos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Tabela com busca por nome e colunas: tempo, peso, custo un., markup, preço, lucro.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Clique no nome abre o modal de detalhes (ProductModal) com gráfico de pizza dos custos.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Botão ✏️ abre o editor completo (EditProductModal) com todos os campos.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Botão × remove a peça com confirmação.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Botão PDF exporta o relatório.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7.3 Aba Materiais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Grid de cards por rolo de filamento com: nome, tipo, cor, custo/g, custo/kg.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Barra de progresso colorida (verde/âmbar/vermelho) indicando quanto do rolo foi consumido.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Edição inline do peso atual restante.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Modal "Novo Material" com campos: nome, tipo, cor, preço pago, peso total, peso atual.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Materiais cadastrados aparecem como opção no select de filamentos de cada peça.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7.4 Aba Estoque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Lista de peças com controle de quantidade em estoque (input numérico direto).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Persistência automática via ProductContext.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7.5 Nova Peça (NovaModal)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Botão "Importar G-code" ou "+ Mesa N" no header — importação aditiva multi-cama.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Seção "Camas de Impressão" com cards removíveis de cada arquivo importado.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Lista dinâmica de filamentos: label livre, select de material cadastrado, peso, R$/kg, subtotal.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Lista dinâmica de acessórios com chips de sugestão rápida (Embalagem, Imã, LED, etc.).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Preview em tempo real de custos e preços durante o preenchimento.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Campo "Break-even markup mínimo" calculado automaticamente.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7.6 Editar Peça (EditProductModal)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Idêntico ao NovaModal mas pré-preenchido com todos os dados da peça existente.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Retrocompatibilidade: peças antigas (sem filamentos[]) são carregadas a partir de peso + filamentoCustoKg.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Botão "Reimportar G-code" ou "+ Mesa N" para atualizar dados com novo arquivo.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Gradiente indigo/roxo no header (diferente do emerald/teal do modal de criação).</w:t>
      </w:r>
    </w:p>
    <w:p>
      <w:pPr>
        <w:pBdr>
          <w:bottom w:val="single" w:color="E5E7EB" w:sz="4"/>
        </w:pBdr>
        <w:spacing w:after="200" w:before="20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4F46E5"/>
          <w:sz w:val="36"/>
          <w:szCs w:val="36"/>
        </w:rPr>
        <w:t xml:space="preserve">8. Persistência de Dados (localStorage)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4F46E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Chave localStorage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3730A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Conteúdo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gestao3d_products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Array de Product[] — todas as peças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gestao3d_materials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Array de Material[] — rolos cadastrados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gestao3d_settings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Objeto AppSettings — configurações globais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 serialização ocorre via JSON.stringify em cada mutação. A inicialização usa useState lazy: () =&gt; JSON.parse(localStorage.getItem(key)) ?? defaultValue. Todos os dados persistem entre sessões sem necessidade de servidor.</w:t>
      </w:r>
    </w:p>
    <w:p>
      <w:pPr>
        <w:pBdr>
          <w:bottom w:val="single" w:color="E5E7EB" w:sz="4"/>
        </w:pBdr>
        <w:spacing w:after="200" w:before="20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4F46E5"/>
          <w:sz w:val="36"/>
          <w:szCs w:val="36"/>
        </w:rPr>
        <w:t xml:space="preserve">9. Exportação de Relatório PDF</w:t>
      </w:r>
    </w:p>
    <w:p>
      <w:pPr>
        <w:spacing w:after="1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Implementado em src/utils/exportPdf.ts usando jsPDF + jsPDF-AutoTable com importação dinâmica (dynamic import) para evitar impacto no bundle inicial.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Orientação A4 paisagem com cabeçalho em gradiente indigo.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Bloco de KPIs (total de peças, lucro total C e L, markup médio).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Tabela completa com todas as peças: custo, markup, preços, lucros, margens.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Resumo financeiro ao final da tabela.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Divisão de código (code splitting) no Vite: chunk separado "pdf" apenas carregado ao clicar.</w:t>
      </w:r>
    </w:p>
    <w:p>
      <w:pPr>
        <w:pBdr>
          <w:bottom w:val="single" w:color="E5E7EB" w:sz="4"/>
        </w:pBdr>
        <w:spacing w:after="200" w:before="20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4F46E5"/>
          <w:sz w:val="36"/>
          <w:szCs w:val="36"/>
        </w:rPr>
        <w:t xml:space="preserve">10. Camada de Serviços (api.ts)</w:t>
      </w:r>
    </w:p>
    <w:p>
      <w:pPr>
        <w:spacing w:after="1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src/services/api.ts implementa uma API assíncrona simulada com setTimeout (120ms de latência artificial), estruturada para migração futura a uma API real (FastAPI, Supabase, etc.) sem alterar os components.</w:t>
      </w:r>
    </w:p>
    <w:p>
      <w:pPr>
        <w:shd w:fill="F1F5F9" w:val="clear"/>
        <w:spacing w:after="40"/>
        <w:ind w:lef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api.products.list()   → Promise&lt;Product[]&gt;</w:t>
      </w:r>
    </w:p>
    <w:p>
      <w:pPr>
        <w:shd w:fill="F1F5F9" w:val="clear"/>
        <w:spacing w:after="40"/>
        <w:ind w:lef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api.products.create() → Promise&lt;Product&gt;</w:t>
      </w:r>
    </w:p>
    <w:p>
      <w:pPr>
        <w:shd w:fill="F1F5F9" w:val="clear"/>
        <w:spacing w:after="40"/>
        <w:ind w:lef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api.products.update() → Promise&lt;Product&gt;</w:t>
      </w:r>
    </w:p>
    <w:p>
      <w:pPr>
        <w:shd w:fill="F1F5F9" w:val="clear"/>
        <w:spacing w:after="40"/>
        <w:ind w:lef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api.products.remove() → Promise&lt;void&gt;</w:t>
      </w:r>
    </w:p>
    <w:p>
      <w:pPr>
        <w:shd w:fill="F1F5F9" w:val="clear"/>
        <w:spacing w:after="40"/>
        <w:ind w:lef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api.materials.*       → mesma estrutura</w:t>
      </w:r>
    </w:p>
    <w:p>
      <w:pPr>
        <w:shd w:fill="F1F5F9" w:val="clear"/>
        <w:spacing w:after="40"/>
        <w:ind w:lef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api.settings.*        → mesma estrutura</w:t>
      </w:r>
    </w:p>
    <w:p>
      <w:pPr>
        <w:pBdr>
          <w:bottom w:val="single" w:color="E5E7EB" w:sz="4"/>
        </w:pBdr>
        <w:spacing w:after="200" w:before="20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4F46E5"/>
          <w:sz w:val="36"/>
          <w:szCs w:val="36"/>
        </w:rPr>
        <w:t xml:space="preserve">11. Deploy (Vercel)</w:t>
      </w:r>
    </w:p>
    <w:p>
      <w:pPr>
        <w:spacing w:after="1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O arquivo vercel.json configura o projeto como SPA com rewrite de todas as rotas para index.html:</w:t>
      </w:r>
    </w:p>
    <w:p>
      <w:pPr>
        <w:shd w:fill="F1F5F9" w:val="clear"/>
        <w:spacing w:after="40"/>
        <w:ind w:lef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{ "rewrites": [{ "source": "/(.*)", "destination": "/index.html" }] }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Build: npm run build (executa tsc -b &amp;&amp; vite build).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Variáveis de ambiente: VITE_API_URL, VITE_DATA_MODE, VITE_APP_VERSION (documentadas em .env.example).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Chunks gerados: vendor (React/Recharts), charts (Recharts), pdf (jsPDF — lazy).</w:t>
      </w:r>
    </w:p>
    <w:p>
      <w:pPr>
        <w:pBdr>
          <w:bottom w:val="single" w:color="E5E7EB" w:sz="4"/>
        </w:pBdr>
        <w:spacing w:after="200" w:before="20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4F46E5"/>
          <w:sz w:val="36"/>
          <w:szCs w:val="36"/>
        </w:rPr>
        <w:t xml:space="preserve">12. Configurações Globais (AppSettings)</w:t>
      </w:r>
    </w:p>
    <w:p>
      <w:pPr>
        <w:spacing w:after="1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Acessadas via SettingsContext em qualquer componente. Usadas como padrão no formulário de nova peça: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4F46E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Parâmetro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3730A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 / Uso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custoKwh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R$ 0,84/kWh — custo da energia elétrica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potenciaW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350W — potência da impressora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imposto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8% — imposto sobre venda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txCartao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5% — taxa de cartão/marketplace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custoAnuncio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20% — custo de anúncio/comissão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falhas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15% — taxa de falhas de impressão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custoFixoMes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R$ 300 — custo fixo mensal rateado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unidadesMes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10 — unidades produzidas por mês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amortizacaoHoras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2000h — vida útil da impressora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amortizacaoValor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R$ 3000 — valor da impressora</w:t>
            </w:r>
          </w:p>
        </w:tc>
      </w:tr>
    </w:tbl>
    <w:p>
      <w:pPr>
        <w:pBdr>
          <w:bottom w:val="single" w:color="E5E7EB" w:sz="4"/>
        </w:pBdr>
        <w:spacing w:after="200" w:before="20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4F46E5"/>
          <w:sz w:val="36"/>
          <w:szCs w:val="36"/>
        </w:rPr>
        <w:t xml:space="preserve">13. Roadmap — Próximas Melhorias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Alta Prioridade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Taxa de plataforma separada por canal: Mercado Livre, Shopee, Instagram — selecionar canal ao calcular.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Modo "Calcular pelo lucro desejado": usuário define a margem-alvo (ex: 40%) e o sistema calcula o markup necessário.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Custo de mão de obra (R$/h × horas de pós-processamento) como componente do custo base.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Média Prioridade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Perfis de impressora: múltiplas máquinas com potência, amortização e custo/kWh individuais.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Custo de frete embutido como percentual ou valor fixo por peça.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Histórico de preços: registro de quando o markup de uma peça foi alterado.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Baixa Prioridade / Futuro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Migração da camada api.ts para backend real (FastAPI + PostgreSQL ou Supabase).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Autenticação multi-usuário com roles admin/operator.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Dashboard com gráficos de evolução temporal (vendas × custos).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Integração com plataformas de venda (Mercado Livre API) para atualizar preços automaticamente.</w:t>
      </w:r>
    </w:p>
    <w:p>
      <w:pPr>
        <w:pBdr>
          <w:bottom w:val="single" w:color="E5E7EB" w:sz="4"/>
        </w:pBdr>
        <w:spacing w:after="200" w:before="200"/>
      </w:pPr>
    </w:p>
    <w:p>
      <w:pPr>
        <w:spacing w:before="480"/>
        <w:jc w:val="center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Gestão 3D · Documentação gerada em Abril/2026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7EB" w:sz="4"/>
      </w:pBdr>
      <w:jc w:val="center"/>
    </w:pPr>
    <w:r>
      <w:rPr>
        <w:rFonts w:ascii="Arial" w:cs="Arial" w:eastAsia="Arial" w:hAnsi="Arial"/>
        <w:color w:val="6B7280"/>
        <w:sz w:val="18"/>
        <w:szCs w:val="18"/>
      </w:rPr>
      <w:t xml:space="preserve">Página </w:t>
    </w:r>
    <w:r>
      <w:rPr>
        <w:rFonts w:ascii="Arial" w:cs="Arial" w:eastAsia="Arial" w:hAnsi="Arial"/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5E7EB" w:sz="4"/>
      </w:pBdr>
      <w:tabs>
        <w:tab w:val="right" w:pos="9360"/>
      </w:tabs>
    </w:pPr>
    <w:r>
      <w:rPr>
        <w:rFonts w:ascii="Arial" w:cs="Arial" w:eastAsia="Arial" w:hAnsi="Arial"/>
        <w:color w:val="6B7280"/>
        <w:sz w:val="18"/>
        <w:szCs w:val="18"/>
      </w:rPr>
      <w:t xml:space="preserve">Gestão 3D — Documentação Técnica</w:t>
    </w:r>
    <w:r>
      <w:rPr>
        <w:sz w:val="18"/>
        <w:szCs w:val="18"/>
      </w:rPr>
      <w:t xml:space="preserve">	</w:t>
    </w:r>
    <w:r>
      <w:rPr>
        <w:rFonts w:ascii="Arial" w:cs="Arial" w:eastAsia="Arial" w:hAnsi="Arial"/>
        <w:color w:val="4F46E5"/>
        <w:sz w:val="18"/>
        <w:szCs w:val="18"/>
      </w:rPr>
      <w:t xml:space="preserve">v1.0.0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4F46E5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F2937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F2937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2026-04-16T02:25:35.169Z</dcterms:created>
  <dcterms:modified xsi:type="dcterms:W3CDTF">2026-04-16T02:25:35.170Z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