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4F46E5"/>
          <w:sz w:val="72"/>
          <w:szCs w:val="72"/>
        </w:rPr>
        <w:t xml:space="preserve">GESTÃO 3D</w:t>
      </w:r>
    </w:p>
    <w:p>
      <w:pPr>
        <w:spacing w:after="200" w:before="200"/>
        <w:jc w:val="center"/>
      </w:pPr>
      <w:r>
        <w:rPr>
          <w:rFonts w:ascii="Arial" w:cs="Arial" w:eastAsia="Arial" w:hAnsi="Arial"/>
          <w:color w:val="6B7280"/>
          <w:sz w:val="28"/>
          <w:szCs w:val="28"/>
        </w:rPr>
        <w:t xml:space="preserve">Sistema de Controle de Custos, Estoque e Pedidos</w:t>
      </w:r>
    </w:p>
    <w:p>
      <w:pPr>
        <w:jc w:val="center"/>
      </w:pPr>
      <w:r>
        <w:rPr>
          <w:rFonts w:ascii="Arial" w:cs="Arial" w:eastAsia="Arial" w:hAnsi="Arial"/>
          <w:i/>
          <w:iCs/>
          <w:color w:val="9CA3AF"/>
          <w:sz w:val="24"/>
          <w:szCs w:val="24"/>
        </w:rPr>
        <w:t xml:space="preserve">Documentação Técnica</w:t>
      </w:r>
    </w:p>
    <w:p>
      <w:pPr>
        <w:spacing w:after="0" w:before="400"/>
      </w:pPr>
      <w:r>
        <w:t xml:space="preserve"/>
      </w:r>
    </w:p>
    <w:tbl>
      <w:tblPr>
        <w:tblW w:type="dxa" w:w="4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Versão 3.13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E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Abril 2026</w:t>
            </w:r>
          </w:p>
        </w:tc>
      </w:tr>
    </w:tbl>
    <w:p>
      <w:pPr>
        <w:spacing w:after="0" w:before="600"/>
      </w:pPr>
      <w:r>
        <w:t xml:space="preserve"/>
      </w:r>
    </w:p>
    <w:p>
      <w:pPr>
        <w:pBdr>
          <w:bottom w:val="single" w:color="4F46E5" w:sz="4" w:space="4"/>
        </w:pBdr>
        <w:spacing w:after="160" w:before="1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Desenvolvido por Jonathan · Powered by Supabase + React + Vite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Visão Geral do Sistema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 Gestão 3D é uma aplicação web SaaS voltada para impressoras 3D independentes e pequenas empresas do setor. Permite calcular custos reais de impressão, controlar estoque de filamentos e acessórios, registrar pedidos de clientes e analisar a rentabilidade de cada produto.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1.1 Stack Tecnológica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Frontend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18 + TypeScript 5 + Tailwind CSS 3 + Vite 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Backend/DB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(PostgreSQL 15 + RLS + Auth + Storage)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Auth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Auth — e-mail/senha + Google OAuth 2.0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Multi-tenant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Tabelas tenants + tenant_memberships com RLS isolado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Deploy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/ Netlify (build Vite estático)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PWA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Manifest.json + Service Worker + notificações push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PDF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jsPDF (geração client-side)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Excel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SheetJS/xlsx (importação e exportação)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1.2 Módulos Disponíveis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Dashboard — KPIs, gráfico de faturamento, alertas de break-even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Produtos — cadastro de peças com cálculo completo de custo e markup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Materiais — filamentos com rastreio de estoque (g restantes)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Estoque — produção, venda, falha e ajuste de inventário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Pedidos — registro de pedidos por cliente com rastreio de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Multi-Tenant — isolamento por empresa com papéis admin/operador/desenvolvedor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Importação — template Excel para cadastro em lote de produtos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Arquitetura Multi-Tenant (SaaS)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versão 3.13 introduz suporte multi-empresa. Cada empresa (tenant) tem dados completamente isolados via Row Level Security no Supabase. Um único usuário desenvolvedor pode visualizar e alternar entre todos os tenants.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2.1 Modelo de Dados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Duas novas tabelas controlam o multi-tenancy: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Coluna-chave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(UUID PK)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cada empresa/tenant. Campos: nome, slug, plano, ativo.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tenant_memberships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tenant_id + user_id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Vínculo usuário-empresa com papel (developer / owner / admin / operador).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app_store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 + tenant_id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chave-valor dos dados do app por tenant. UNIQUE NULLS NOT DISTINCT.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2.2 Papéis de Usuário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developer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mestre — acessa e alterna entre todos os tenants. Badge âmbar visível no header.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owner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 da empresa — acesso total dentro do próprio tenant.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admin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da empresa — gerencia produtos, pedidos e configurações.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operador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de operação — registra produções e vendas, sem acesso a configurações avançadas.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2.3 Funções de Segurança (SECURITY DEFINER)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Para evitar recursão nas políticas RLS, três funções helper são definidas com SECURITY DEFINER: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is_tenant_member(tid) — verifica se o usuário autenticado é membro do tenant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is_tenant_admin(tid) — verifica se possui papel admin ou superior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is_developer() — verifica se o usuário tem papel developer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2.4 Fluxo de Onboarding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Usuário se cadastra (e-mail/senha ou Google OAuth)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verifica se existe vínculo em tenant_memberships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 não existir, exibe tela OnboardingTenant para criar a empresa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createTenant() cria o tenant, vínculo owner, migra dados legados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setActiveTenant() define o tenant ativo no módulo db.ts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Autenticação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autenticação é gerenciada pelo Supabase Auth. O contexto AuthContext.tsx expõe as funções de login, logout e recuperação de senha.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3.1 Métodos de 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E-mail + Senha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tradicional via supabase.auth.signInWithPassword()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Google OAuth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Redirecionamento via supabase.auth.signInWithOAuth({ provider: "google" })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Recuperar Senha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de reset via supabase.auth.resetPasswordForEmail()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3.2 Configurar Google OAuth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Para ativar o login com Google são necessários dois passos:</w:t>
      </w:r>
    </w:p>
    <w:p>
      <w:pPr>
        <w:spacing w:after="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Passo 1 — Google Cloud Console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Acesse console.cloud.google.com → APIs &amp; Services → Credentials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Crie um OAuth 2.0 Client ID (tipo: Web application)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Authorized redirect URIs: https://&lt;seu-projeto&gt;.supabase.co/auth/v1/callback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Copie o Client ID e o Client Secret gerados</w:t>
      </w:r>
    </w:p>
    <w:p>
      <w:pPr>
        <w:spacing w:after="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Passo 2 — Supabase Dashboard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Acesse Authentication → Providers → Google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Habilite o provider e cole o Client ID e Client Secret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Site URL: URL de produção do seu app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Redirect URLs: a mesma URL de produção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3.3 Fluxo de Sessão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Após login, a sessão é persistida no localStorage do browser pelo cliente Supabase. O hook useAuth() disponibiliza user, isAuthenticated, authLoading e as funções de autenticação para toda a aplicação via Context API.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Módulo de Pedidos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 módulo de Pedidos permite registrar encomendas de clientes, acompanhar o progresso de produção e controlar o valor a receber. Os dados são armazenados na chave "pedidos" do app_store (Supabase) com fallback em localStorage.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4.1 Ciclo de Status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Cada pedido segue uma sequência linear de status: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400"/>
        <w:gridCol w:w="1400"/>
        <w:gridCol w:w="1400"/>
        <w:gridCol w:w="1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🗒 Orçamento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✅ Confirmado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9FE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🔧 Produção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FAE5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📦 Pronto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🚚 Entregue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❌ Cancelado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4.2 Campos do Pedido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clienteNome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cliente (obrigatório)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clienteContato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Telefone ou e-mail (opcional)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canal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Canal de venda (vinculado a CanaisContext)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itens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de produtos com quantidade, preço unitário e subtotal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desconto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Desconto em R$ aplicado ao subtotal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valorTotal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subtotal - desconto (calculado automaticamente)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dataEntregaPrevista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esperada de entrega (alerta vermelho se atrasada)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notas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Observações livres sobre personalização, cor etc.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status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atual do pedido (ver ciclo acima)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numero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sequencial auto-incrementado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4.3 Componentes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PedidosTab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Aba principal — lista com filtros de status, busca e contadores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PedidoCard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 expandível com itens, ações de avançar/cancelar/remover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NovoPedidoModal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Modal de criação com seletor de produtos, quantidades e desconto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PedidosContext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 + Provider com addPedido, updateStatus, removePedido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4.4 Alertas de Atraso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Quando dataEntregaPrevista for anterior à data atual e o status não for "entregue" ou "cancelado", o card do pedido exibe borda vermelha e badge "Atrasado". O valor total em aberto (excluindo entregues/cancelados) é exibido no cabeçalho da aba.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Importação de Produtos via Planilha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 módulo de importação permite cadastrar múltiplos produtos de uma vez através de uma planilha Excel (.xlsx ou .csv). Um template padrão pode ser baixado diretamente do app.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5.1 Colunas do Template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44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Nome do produto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Tempo_h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Tempo de impressão em horas (ex: 2.5)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Peso_g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 de filamento em gramas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Custo_filamento_R$_por_kg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Custo do filamento (usa padrão das configurações se vazio)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Unidades_por_lote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Quantidade produzida por lote (padrão 1)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Markup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Multiplicador de markup (ex: 2.5 para 150%)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Nome do canal de venda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Falhas_%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Taxa de falha em porcentagem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Imposto_%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Taxa de imposto em porcentagem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Taxa_cartao_%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Taxa de cartão em porcentagem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Preco_consumidor_override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Preço fixo ao consumidor (substitui o calculado)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Observacoes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Não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Notas sobre o produto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5.2 Fluxo de Importação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Clique em "Importar" na aba Produtos (ícone de upload verde)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Arraste ou selecione o arquivo .xlsx / .csv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Pré-visualização automática com custos calculados por linha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Selecione as linhas desejadas (linhas com erro ficam desabilitadas)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Clique em "Importar X produtos" para confirmar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5.3 Lógica de Cálculo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Cada linha passa pela função importRowToProduct() que reutiliza calcProductFromForm() — o mesmo motor de cálculo do formulário manual. Isso garante que preços calculados via importação sejam idênticos aos inseridos manualmente.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Infraestrutura Supabase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6.1 Tabelas Principais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app_store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chave-valor de todos os dados do app. PK: id (UUID). Unique: (key, tenant_id) NULLS NOT DISTINCT.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tenants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cada empresa. Campos: id, nome, slug, plano, ativo, criado_em.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tenant_memberships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Vínculos usuário-empresa. Campos: id, tenant_id, user_id, role, ativo.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6.2 Políticas RLS — app_store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SELECT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Permitido quando is_tenant_member(tenant_id) OU (tenant_id IS NULL AND user_id = auth.uid())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INSERT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Permitido quando is_tenant_member(tenant_id) OU (tenant_id IS NULL AND user_id = auth.uid())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UPDATE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Idem SELECT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DELETE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Idem SELECT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6.3 Módulo db.ts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 arquivo src/lib/db.ts é o único ponto de acesso ao Supabase para dados da aplicação: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setActiveTenant(id) / getActiveTenant() — define o tenant ativo (singleton de módulo)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dbGet&lt;T&gt;(key) — lê valor da app_store filtrando por tenant_id quando ativo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dbSet(key, value) — grava com onConflict na coluna correta (key,tenant_id ou key)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migrateUserDataToTenant(userId, tenantId) — transfere dados legados para o tenant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adoptLegacyData(userId) — chamado no login para migrar dados pré-multi-tenant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Motor de Cálculo de Custos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 cálculo de custo de cada produto considera todos os insumos e taxas envolvidos na fabricação e venda. A função calcProductFromForm() em src/utils/calc.ts é o ponto central.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7.1 Componentes do Custo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Filamento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Peso (g) × custo por grama do material selecionado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Energia Elétrica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Potência da impressora (W) × tempo (h) × tarifa (R$/kWh) ÷ 1000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Depreciação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 da impressora ÷ vida útil em horas × tempo de impressão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Falhas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 unitário × taxa de falha (%) — distribuído sobre as unidades boas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Acessórios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 unitário de cada acessório vinculado ao produto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Embalagem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 fixo por unidade definido nas configurações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Markup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Fator multiplicador sobre o custo total (preço ao consumidor)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Impostos / Taxas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Percentuais sobre o preço de venda (imposto, taxa de cartão, comissão)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7.2 Métricas de Rentabilidade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custoUn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 total por unidade (materiais + energia + depreciação + acessórios)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precoConsumidor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Preço sugerido ao consumidor (custoUn × markup)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lucroLiquidoConsumidor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precoConsumidor − custoUn − impostos − taxas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margemLiquida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lucroLiquidoConsumidor ÷ precoConsumidor × 100 (%)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breakEven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Unidades necessárias para cobrir o investimento inicial</w:t>
            </w:r>
          </w:p>
        </w:tc>
      </w:tr>
    </w:tbl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Funcionalidades Adicionais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8.1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KPIs: faturamento do mês, total de peças em estoque, margem média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Gráfico de barras: faturamento por canal ou por mês (últimos 6 meses)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Alertas de break-even: produtos ainda sem lucro suficiente para cobrir investimento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Ranking de produtos mais rentáveis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8.2 Estoque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Fluxo de Produção — aumenta estoque e deduz filamentos vinculados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Fluxo de Venda — reduz estoque, registra faturamento, deduz acessórios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Fluxo de Falha — deduz filamento sem alterar estoque de peças prontas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Ajuste Manual — corrige estoque sem disparar gatilhos de insumos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Histórico de movimentações — 50 últimas movimentações por produto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8.3 Materiais e Hardware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Filamentos — rastreio de peso atual vs. total com alerta abaixo de 20%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Inventário de Hardware — peças com vida útil em horas e alerta de troca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Alertas consolidados no sininho do Header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8.4 PWA e Notificações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Manifest.json — instalável como app no celular e desktop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Notificações push quando estoque de um produto zerar após venda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Banner offline — indica perda de conexão com internet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Service Worker (roadmap v3.14) — cache offline com IndexedDB queue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8.5 UX e Interface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Tema claro / escuro — persistido em localStorage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BottomTabBar — navegação mobile com 5 abas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FAB de ação rápida — Produção e Falha sem abrir modal no mobile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Tour de onboarding — guia interativo na primeira utilização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Busca global (Ctrl+K) — pesquisa em produtos e materiais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Animações de transição entre abas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Guia de Setup e Deploy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9.1 Pré-requisitos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Node.js 18+ e npm 9+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Conta no Supabase (plano free é suficiente para começar)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Conta no Google Cloud Console (apenas para OAuth com Google)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9.2 Instalação Local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 clone &lt;repositório&gt; &amp;&amp; cd gestao-3d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Copie .env.example para .env e preencha VITE_SUPABASE_URL e VITE_SUPABASE_ANON_KEY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npm run dev — acesse http://localhost:5173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9.3 Migrações SQL no Supabase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Execute o arquivo supabase_migration_multitenancy.sql no SQL Editor do Supabase (aba Database → SQL Editor). A migração cria as tabelas tenants e tenant_memberships, altera app_store para suportar multi-tenant, e cria as funções SECURITY DEFINER.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9.4 Definir Conta de Desenvolvedor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Após criar sua conta, execute no SQL Editor substituindo o e-mail real:</w:t>
      </w:r>
    </w:p>
    <w:p>
      <w:pPr>
        <w:pBdr>
          <w:left w:val="single" w:color="4F46E5" w:sz="8" w:space="4"/>
        </w:pBdr>
        <w:shd w:fill="F3F4F6" w:val="clear"/>
        <w:spacing w:after="120" w:before="120"/>
        <w:ind w:left="36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UPDATE auth.users SET raw_user_meta_data = raw_user_meta_data || '{"role":"developer"}'::jsonb WHERE email = 'seu@email.com';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9.5 Deploy em Produção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npm run build — gera pasta dist/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Arraste dist/ para Netlify ou conecte o repositório ao Vercel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Adicione as variáveis de ambiente VITE_SUPABASE_URL e VITE_SUPABASE_ANON_KEY no painel do host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Configure Site URL e Redirect URLs no Supabase Authentication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Roadmap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Versão 3.14 — Em Desenvolvimento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Service Worker offline — cache total + IndexedDB queue para escritas sem internet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Previsão de reposição de filamento — projeção de consumo baseada em pedidos pendentes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Versão 3.15 — Planejado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Etiquetas e QR Code — impressão de etiquetas com código para cada produto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Exportação Excel — planilha de relatório de vendas e custos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Gráficos avançados no Dashboard — comparativo entre canais e períodos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3B4A8A"/>
          <w:sz w:val="26"/>
          <w:szCs w:val="26"/>
        </w:rPr>
        <w:t xml:space="preserve">Versão Futura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Módulo financeiro — contas a pagar/receber, fluxo de caixa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Relatório de rentabilidade — PDF comparativo por produto e período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App mobile nativo (React Native ou PWA aprimorado)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Integração com marketplaces — importação de pedidos do Mercado Livre, Shopee</w:t>
      </w:r>
    </w:p>
    <w:p>
      <w:pPr>
        <w:spacing w:after="0" w:before="8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Glossário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Tenant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Empresa/organização que utiliza o sistema de forma isolada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RLS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Row Level Security — política de segurança por linha no PostgreSQL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SECURITY DEFINER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Função SQL executada com privilégios do criador, não do chamador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app_store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Tabela chave-valor que armazena todos os dados da aplicação por tenant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Break-even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Ponto de equilíbrio — quantidade de vendas para cobrir o investimento inicial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DXA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Unidade de medida OOXML: 1440 DXA = 1 polegada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FAB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Floating Action Button — botão de ação rápida flutuante no mobile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PWA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Progressive Web App — aplicação web instalável com recursos nativos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SheetJS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Biblioteca JavaScript para leitura e escrita de arquivos Excel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OAuth 2.0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Protocolo de autorização para login social (Google, GitHub etc.)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B4A8A"/>
                <w:sz w:val="20"/>
                <w:szCs w:val="20"/>
              </w:rPr>
              <w:t xml:space="preserve">Context API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Mecanismo do React para compartilhar estado sem prop drilling</w:t>
            </w:r>
          </w:p>
        </w:tc>
      </w:tr>
    </w:tbl>
    <w:p>
      <w:pPr>
        <w:spacing w:after="0" w:before="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tabs>
        <w:tab w:val="right" w:pos="9026"/>
      </w:tabs>
    </w:pPr>
    <w:r>
      <w:rPr>
        <w:rFonts w:ascii="Arial" w:cs="Arial" w:eastAsia="Arial" w:hAnsi="Arial"/>
        <w:color w:val="9CA3AF"/>
        <w:sz w:val="16"/>
        <w:szCs w:val="16"/>
      </w:rPr>
      <w:t xml:space="preserve">gestao3d · Powered by Supabase + React + Vite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9CA3AF"/>
        <w:sz w:val="16"/>
        <w:szCs w:val="16"/>
      </w:rPr>
      <w:t xml:space="preserve">Página </w:t>
    </w:r>
    <w:r>
      <w:rPr>
        <w:rFonts w:ascii="Arial" w:cs="Arial" w:eastAsia="Arial" w:hAnsi="Arial"/>
        <w:color w:val="4F46E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rFonts w:ascii="Arial" w:cs="Arial" w:eastAsia="Arial" w:hAnsi="Arial"/>
        <w:color w:val="9CA3AF"/>
        <w:sz w:val="18"/>
        <w:szCs w:val="18"/>
      </w:rPr>
      <w:t xml:space="preserve">Gestão 3D — Documentação Técnica v3.13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CA3AF"/>
        <w:sz w:val="18"/>
        <w:szCs w:val="18"/>
      </w:rPr>
      <w:t xml:space="preserve">Abril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6" w:space="4"/>
      </w:pBdr>
      <w:spacing w:after="200" w:before="400"/>
      <w:outlineLvl w:val="0"/>
    </w:pPr>
    <w:rPr>
      <w:rFonts w:ascii="Arial" w:cs="Arial" w:eastAsia="Arial" w:hAnsi="Arial"/>
      <w:b/>
      <w:bCs/>
      <w:color w:val="1F293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3B4A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2026-04-22T16:59:31.219Z</dcterms:created>
  <dcterms:modified xsi:type="dcterms:W3CDTF">2026-04-22T16:59:31.220Z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