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6" w:name="_Toc459014983"/>
      <w:r>
        <w:lastRenderedPageBreak/>
        <w:t xml:space="preserve">Great and </w:t>
      </w:r>
      <w:r w:rsidR="009B3918">
        <w:t>Holy Week</w:t>
      </w:r>
      <w:bookmarkEnd w:id="16"/>
    </w:p>
    <w:p w14:paraId="14A09B02" w14:textId="620A7976" w:rsidR="00441411" w:rsidRDefault="00441411" w:rsidP="00441411">
      <w:pPr>
        <w:pStyle w:val="Heading2"/>
      </w:pPr>
      <w:bookmarkStart w:id="17" w:name="_Toc459014984"/>
      <w:r>
        <w:lastRenderedPageBreak/>
        <w:t>Lazarus Saturday</w:t>
      </w:r>
      <w:bookmarkEnd w:id="17"/>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8" w:name="_Toc459014985"/>
      <w:r>
        <w:lastRenderedPageBreak/>
        <w:t xml:space="preserve">Palm </w:t>
      </w:r>
      <w:r w:rsidR="009B3918">
        <w:t>Sunday</w:t>
      </w:r>
      <w:bookmarkEnd w:id="18"/>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19" w:name="_Toc459014986"/>
      <w:r>
        <w:lastRenderedPageBreak/>
        <w:t>Monday of the Holy Pascha</w:t>
      </w:r>
      <w:bookmarkEnd w:id="19"/>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0" w:name="_Toc459014987"/>
      <w:r>
        <w:lastRenderedPageBreak/>
        <w:t>Tuesday of the Holy Pascha</w:t>
      </w:r>
      <w:bookmarkEnd w:id="20"/>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1" w:name="_Toc459014988"/>
      <w:r>
        <w:lastRenderedPageBreak/>
        <w:t>Wednesday of Holy Week</w:t>
      </w:r>
      <w:bookmarkEnd w:id="21"/>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2"/>
      <w:r>
        <w:t>Sirach 23:7-14</w:t>
      </w:r>
      <w:commentRangeEnd w:id="22"/>
      <w:r>
        <w:rPr>
          <w:rStyle w:val="CommentReference"/>
          <w:rFonts w:eastAsiaTheme="minorHAnsi" w:cstheme="minorBidi"/>
        </w:rPr>
        <w:commentReference w:id="22"/>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3" w:name="_Toc459014989"/>
      <w:r>
        <w:lastRenderedPageBreak/>
        <w:t>Maundy Thursday</w:t>
      </w:r>
      <w:bookmarkEnd w:id="23"/>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4" w:name="_Toc459014990"/>
      <w:r>
        <w:lastRenderedPageBreak/>
        <w:t>Great and Holy Friday</w:t>
      </w:r>
      <w:bookmarkEnd w:id="24"/>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0F9EDAAA" w:rsidR="00AA5661" w:rsidRPr="00AA5661" w:rsidRDefault="00AA5661" w:rsidP="00AA5661">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220777F3" w14:textId="68006F60" w:rsidR="00AA5661" w:rsidRDefault="00AA5661" w:rsidP="003F701C">
      <w:pPr>
        <w:pStyle w:val="Body"/>
        <w:rPr>
          <w:rStyle w:val="RubricsInBodyChar"/>
        </w:rPr>
      </w:pPr>
    </w:p>
    <w:p w14:paraId="73BD933C" w14:textId="6D397E77" w:rsidR="00AA5661" w:rsidRPr="00B65C9C" w:rsidRDefault="00AA5661" w:rsidP="003F701C">
      <w:pPr>
        <w:pStyle w:val="Body"/>
        <w:rPr>
          <w:szCs w:val="24"/>
        </w:rPr>
      </w:pPr>
      <w:r>
        <w:rPr>
          <w:rStyle w:val="RubricsInBodyChar"/>
        </w:rPr>
        <w:t>*vv 15-16 lacking in Kitchener, found in Coptic Reader</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bookmarkStart w:id="25" w:name="_GoBack"/>
      <w:bookmarkEnd w:id="25"/>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BB7B8" w14:textId="77777777" w:rsidR="00C200DD" w:rsidRDefault="00C200DD" w:rsidP="006D61CA">
      <w:pPr>
        <w:spacing w:after="0" w:line="240" w:lineRule="auto"/>
      </w:pPr>
      <w:r>
        <w:separator/>
      </w:r>
    </w:p>
  </w:endnote>
  <w:endnote w:type="continuationSeparator" w:id="0">
    <w:p w14:paraId="55D0F778" w14:textId="77777777" w:rsidR="00C200DD" w:rsidRDefault="00C200D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63002643"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5E0EFE">
      <w:rPr>
        <w:noProof/>
        <w:lang w:val="en-US"/>
      </w:rPr>
      <w:t>272</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64A96" w14:textId="77777777" w:rsidR="00C200DD" w:rsidRDefault="00C200DD" w:rsidP="006D61CA">
      <w:pPr>
        <w:spacing w:after="0" w:line="240" w:lineRule="auto"/>
      </w:pPr>
      <w:r>
        <w:separator/>
      </w:r>
    </w:p>
  </w:footnote>
  <w:footnote w:type="continuationSeparator" w:id="0">
    <w:p w14:paraId="004D7C79" w14:textId="77777777" w:rsidR="00C200DD" w:rsidRDefault="00C200DD"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8E913-35E0-4340-A52D-85F0ACF70A97}">
  <ds:schemaRefs>
    <ds:schemaRef ds:uri="http://schemas.openxmlformats.org/officeDocument/2006/bibliography"/>
  </ds:schemaRefs>
</ds:datastoreItem>
</file>

<file path=customXml/itemProps2.xml><?xml version="1.0" encoding="utf-8"?>
<ds:datastoreItem xmlns:ds="http://schemas.openxmlformats.org/officeDocument/2006/customXml" ds:itemID="{BEB69894-0F65-4ADA-9E27-990894B582F6}">
  <ds:schemaRefs>
    <ds:schemaRef ds:uri="http://schemas.openxmlformats.org/officeDocument/2006/bibliography"/>
  </ds:schemaRefs>
</ds:datastoreItem>
</file>

<file path=customXml/itemProps3.xml><?xml version="1.0" encoding="utf-8"?>
<ds:datastoreItem xmlns:ds="http://schemas.openxmlformats.org/officeDocument/2006/customXml" ds:itemID="{DE552DA4-284E-46F9-AB39-8C9C5010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36096</TotalTime>
  <Pages>357</Pages>
  <Words>115106</Words>
  <Characters>656108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938</cp:revision>
  <cp:lastPrinted>2016-08-22T13:45:00Z</cp:lastPrinted>
  <dcterms:created xsi:type="dcterms:W3CDTF">2014-10-30T02:06:00Z</dcterms:created>
  <dcterms:modified xsi:type="dcterms:W3CDTF">2016-08-31T00:59:00Z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