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FE36D" w14:textId="1781E8C1" w:rsidR="004A1062" w:rsidRDefault="00840E88" w:rsidP="00E677DC">
      <w:r>
        <w:t>Jonathan Tamen</w:t>
      </w:r>
    </w:p>
    <w:p w14:paraId="2092CA72" w14:textId="6C9419D7" w:rsidR="00840E88" w:rsidRDefault="00840E88" w:rsidP="00E677DC">
      <w:r>
        <w:t>Economics Honors Thesis</w:t>
      </w:r>
    </w:p>
    <w:p w14:paraId="6A797093" w14:textId="4D3FC631" w:rsidR="006518EE" w:rsidRDefault="006518EE" w:rsidP="00E677DC">
      <w:r>
        <w:br w:type="page"/>
      </w:r>
    </w:p>
    <w:sdt>
      <w:sdtPr>
        <w:rPr>
          <w:rFonts w:ascii="Times New Roman" w:eastAsia="Times New Roman" w:hAnsi="Times New Roman" w:cs="Times New Roman"/>
          <w:b w:val="0"/>
          <w:bCs w:val="0"/>
          <w:color w:val="000000"/>
          <w:kern w:val="2"/>
          <w:sz w:val="24"/>
          <w:szCs w:val="24"/>
          <w14:ligatures w14:val="standardContextual"/>
        </w:rPr>
        <w:id w:val="12173327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7432721" w14:textId="185157C3" w:rsidR="004D12F7" w:rsidRDefault="004D12F7">
          <w:pPr>
            <w:pStyle w:val="TOCHeading"/>
          </w:pPr>
          <w:r>
            <w:t>Table of Contents</w:t>
          </w:r>
        </w:p>
        <w:p w14:paraId="3189C278" w14:textId="6DE1A9FC" w:rsidR="004D12F7" w:rsidRDefault="004D12F7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1632639" w:history="1">
            <w:r w:rsidRPr="000435E7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_Toc221632639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64146" w14:textId="7BA7891E" w:rsidR="004D12F7" w:rsidRDefault="004D12F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1632640" w:history="1">
            <w:r w:rsidRPr="000435E7">
              <w:rPr>
                <w:rStyle w:val="Hyperlink"/>
                <w:noProof/>
              </w:rPr>
              <w:t>Literature Review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_Toc221632640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2DF70" w14:textId="07378825" w:rsidR="004D12F7" w:rsidRDefault="004D12F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1632641" w:history="1">
            <w:r w:rsidRPr="000435E7">
              <w:rPr>
                <w:rStyle w:val="Hyperlink"/>
                <w:noProof/>
              </w:rPr>
              <w:t>Data /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_Toc221632641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2B0B0" w14:textId="4B0014C5" w:rsidR="004D12F7" w:rsidRDefault="004D12F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632642" w:history="1">
            <w:r w:rsidRPr="000435E7">
              <w:rPr>
                <w:rStyle w:val="Hyperlink"/>
                <w:noProof/>
              </w:rPr>
              <w:t>Removing Outliers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_Toc221632642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14A72" w14:textId="2470FBCC" w:rsidR="004D12F7" w:rsidRDefault="004D12F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1632643" w:history="1">
            <w:r w:rsidRPr="000435E7">
              <w:rPr>
                <w:rStyle w:val="Hyperlink"/>
                <w:noProof/>
              </w:rPr>
              <w:t>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_Toc221632643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1D093" w14:textId="3242A2F9" w:rsidR="004D12F7" w:rsidRDefault="004D12F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1632644" w:history="1">
            <w:r w:rsidRPr="000435E7">
              <w:rPr>
                <w:rStyle w:val="Hyperlink"/>
                <w:noProof/>
              </w:rPr>
              <w:t>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_Toc221632644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B9D72" w14:textId="74A6A736" w:rsidR="004D12F7" w:rsidRDefault="004D12F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1632645" w:history="1">
            <w:r w:rsidRPr="000435E7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_Toc221632645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41CF7" w14:textId="4830B467" w:rsidR="004D12F7" w:rsidRDefault="004D12F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1632646" w:history="1">
            <w:r w:rsidRPr="000435E7">
              <w:rPr>
                <w:rStyle w:val="Hyperlink"/>
                <w:noProof/>
              </w:rPr>
              <w:t>Bibliography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_Toc221632646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0E85D" w14:textId="0F85BA86" w:rsidR="004D12F7" w:rsidRDefault="004D12F7">
          <w:r>
            <w:rPr>
              <w:b/>
              <w:bCs/>
              <w:noProof/>
            </w:rPr>
            <w:fldChar w:fldCharType="end"/>
          </w:r>
        </w:p>
      </w:sdtContent>
    </w:sdt>
    <w:p w14:paraId="4C01B8AF" w14:textId="77777777" w:rsidR="00840121" w:rsidRDefault="00840121">
      <w:pPr>
        <w:spacing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2F00256" w14:textId="1B9C0893" w:rsidR="00DA153D" w:rsidRDefault="00DA153D" w:rsidP="00DA153D">
      <w:pPr>
        <w:pStyle w:val="Heading1"/>
      </w:pPr>
      <w:bookmarkStart w:id="0" w:name="_Toc221632639"/>
      <w:r>
        <w:lastRenderedPageBreak/>
        <w:t>Introduction</w:t>
      </w:r>
      <w:bookmarkEnd w:id="0"/>
      <w:r>
        <w:br w:type="page"/>
      </w:r>
    </w:p>
    <w:p w14:paraId="2E6F704B" w14:textId="71D6E6A2" w:rsidR="00F251C7" w:rsidRDefault="00F251C7" w:rsidP="00F251C7">
      <w:pPr>
        <w:pStyle w:val="Heading1"/>
      </w:pPr>
      <w:bookmarkStart w:id="1" w:name="_Toc221632640"/>
      <w:r>
        <w:lastRenderedPageBreak/>
        <w:t>Literature Review</w:t>
      </w:r>
      <w:bookmarkEnd w:id="1"/>
      <w:r>
        <w:br w:type="page"/>
      </w:r>
    </w:p>
    <w:p w14:paraId="550BD770" w14:textId="77777777" w:rsidR="00C21E1D" w:rsidRDefault="006518EE" w:rsidP="00E677DC">
      <w:pPr>
        <w:pStyle w:val="Heading1"/>
      </w:pPr>
      <w:bookmarkStart w:id="2" w:name="_Toc221632641"/>
      <w:r>
        <w:lastRenderedPageBreak/>
        <w:t xml:space="preserve">Data </w:t>
      </w:r>
      <w:r w:rsidR="00C21E1D">
        <w:t>Analysis</w:t>
      </w:r>
    </w:p>
    <w:p w14:paraId="01704659" w14:textId="5A8857D8" w:rsidR="00FC18FD" w:rsidRDefault="00A551E9" w:rsidP="00D25B86">
      <w:pPr>
        <w:ind w:firstLine="720"/>
      </w:pPr>
      <w:r>
        <w:t xml:space="preserve">This thesis </w:t>
      </w:r>
      <w:r w:rsidR="00A073D5">
        <w:t>looks</w:t>
      </w:r>
      <w:r>
        <w:t xml:space="preserve"> to explore </w:t>
      </w:r>
      <w:r w:rsidR="00BB7481">
        <w:t>cyclical</w:t>
      </w:r>
      <w:r>
        <w:t xml:space="preserve"> trends of</w:t>
      </w:r>
      <w:r w:rsidR="00BB7481">
        <w:t xml:space="preserve"> financial practices for non-profit organizations in the United States. For this, the dataset is </w:t>
      </w:r>
      <w:r w:rsidR="00AF252B">
        <w:t>made up</w:t>
      </w:r>
      <w:r w:rsidR="00BB7481">
        <w:t xml:space="preserve"> of </w:t>
      </w:r>
      <w:r w:rsidR="00524130">
        <w:t xml:space="preserve">digital copies of </w:t>
      </w:r>
      <w:r w:rsidR="003B7AA5">
        <w:t>Form-990</w:t>
      </w:r>
      <w:r w:rsidR="0024782C">
        <w:t xml:space="preserve"> </w:t>
      </w:r>
      <w:r w:rsidR="00802AA1">
        <w:t>documents</w:t>
      </w:r>
      <w:r w:rsidR="00E71E46">
        <w:t xml:space="preserve">, which describe </w:t>
      </w:r>
      <w:r w:rsidR="002F4E51">
        <w:t>financial details and business operations of filers,</w:t>
      </w:r>
      <w:r w:rsidR="00802AA1">
        <w:t xml:space="preserve"> </w:t>
      </w:r>
      <w:r w:rsidR="00A073D5" w:rsidRPr="008C0D22">
        <w:t>sent</w:t>
      </w:r>
      <w:r w:rsidR="00802AA1" w:rsidRPr="008C0D22">
        <w:t xml:space="preserve"> by every tax-exempt organization in the United States </w:t>
      </w:r>
      <w:r w:rsidR="00A073D5">
        <w:t xml:space="preserve">each year </w:t>
      </w:r>
      <w:r w:rsidR="00802AA1" w:rsidRPr="008C0D22">
        <w:t>since 2012</w:t>
      </w:r>
      <w:r w:rsidR="00802AA1">
        <w:t>.</w:t>
      </w:r>
      <w:r w:rsidR="00F271CD">
        <w:t xml:space="preserve"> Only businesses </w:t>
      </w:r>
      <w:r w:rsidR="00B7396F">
        <w:t xml:space="preserve">electronically </w:t>
      </w:r>
      <w:r w:rsidR="00481225">
        <w:t>filling for income tax exemption under section 501(c)(3) of the Internal Revenue Code</w:t>
      </w:r>
      <w:r w:rsidR="00B7396F">
        <w:t xml:space="preserve">, based in any of the 50 </w:t>
      </w:r>
      <w:r w:rsidR="00CE6554">
        <w:t xml:space="preserve">US states, </w:t>
      </w:r>
      <w:r w:rsidR="00D37EB2">
        <w:t xml:space="preserve">with </w:t>
      </w:r>
      <w:r w:rsidR="00D37EB2">
        <w:t>gross receipts of greater than $200,000 in one year or net assets of greater than $500,000</w:t>
      </w:r>
      <w:r w:rsidR="00D37EB2">
        <w:t xml:space="preserve"> are included in th</w:t>
      </w:r>
      <w:r w:rsidR="00375F4D">
        <w:t>is</w:t>
      </w:r>
      <w:r w:rsidR="00E71E46">
        <w:t xml:space="preserve"> dataset for this thesis. </w:t>
      </w:r>
    </w:p>
    <w:p w14:paraId="3198D315" w14:textId="0D6378D7" w:rsidR="00C27F89" w:rsidRDefault="00C27F89" w:rsidP="00D25B86">
      <w:pPr>
        <w:ind w:firstLine="720"/>
      </w:pPr>
      <w:r>
        <w:t xml:space="preserve">To supplement this dataset, </w:t>
      </w:r>
      <w:r w:rsidR="00F04960">
        <w:t xml:space="preserve">the </w:t>
      </w:r>
      <w:r w:rsidR="00AB7B95">
        <w:t xml:space="preserve">Internal Revenue Service </w:t>
      </w:r>
      <w:r w:rsidR="00F04960">
        <w:t xml:space="preserve">collections </w:t>
      </w:r>
      <w:r w:rsidR="007B4039">
        <w:t xml:space="preserve">Primary </w:t>
      </w:r>
      <w:r w:rsidR="00AB7B95">
        <w:t>Activity Codes</w:t>
      </w:r>
      <w:r w:rsidR="007C1217">
        <w:t xml:space="preserve"> </w:t>
      </w:r>
      <w:r w:rsidR="007B4039">
        <w:t>or</w:t>
      </w:r>
      <w:r w:rsidR="00F04960">
        <w:t xml:space="preserve"> </w:t>
      </w:r>
      <w:r w:rsidR="00F04960" w:rsidRPr="00F04960">
        <w:t>National Taxonomy of Exempt Entities (</w:t>
      </w:r>
      <w:proofErr w:type="spellStart"/>
      <w:r w:rsidR="00F04960" w:rsidRPr="00F04960">
        <w:t>NTEE</w:t>
      </w:r>
      <w:proofErr w:type="spellEnd"/>
      <w:r w:rsidR="00F04960" w:rsidRPr="00F04960">
        <w:t xml:space="preserve">) </w:t>
      </w:r>
      <w:r w:rsidR="00F04960">
        <w:t xml:space="preserve">classification </w:t>
      </w:r>
      <w:r w:rsidR="00F04960" w:rsidRPr="00F04960">
        <w:t>code</w:t>
      </w:r>
      <w:r w:rsidR="00F04960">
        <w:t>s</w:t>
      </w:r>
      <w:r w:rsidR="00AB7B95">
        <w:t xml:space="preserve"> for every single </w:t>
      </w:r>
      <w:r w:rsidR="00D25B86">
        <w:t>organization</w:t>
      </w:r>
      <w:r w:rsidR="007B4039">
        <w:t>, but not both</w:t>
      </w:r>
      <w:r w:rsidR="00D25B86">
        <w:t>.</w:t>
      </w:r>
      <w:r w:rsidR="00BD6382">
        <w:t xml:space="preserve"> </w:t>
      </w:r>
      <w:proofErr w:type="spellStart"/>
      <w:r w:rsidR="00BD6382">
        <w:t>NTEE</w:t>
      </w:r>
      <w:proofErr w:type="spellEnd"/>
      <w:r w:rsidR="00BD6382">
        <w:t xml:space="preserve"> codes are the newest format of non-profit</w:t>
      </w:r>
      <w:r w:rsidR="00CD4FBD">
        <w:t xml:space="preserve"> </w:t>
      </w:r>
      <w:r w:rsidR="00777BAB">
        <w:t>business</w:t>
      </w:r>
      <w:r w:rsidR="00CD4FBD">
        <w:t xml:space="preserve"> classification</w:t>
      </w:r>
      <w:r w:rsidR="00B10630">
        <w:t xml:space="preserve"> adopted by the IRS</w:t>
      </w:r>
      <w:r w:rsidR="00777BAB">
        <w:t xml:space="preserve">. So, </w:t>
      </w:r>
      <w:r w:rsidR="00A0157A">
        <w:t>older</w:t>
      </w:r>
      <w:r w:rsidR="00777BAB">
        <w:t xml:space="preserve"> organization</w:t>
      </w:r>
      <w:r w:rsidR="00A0157A">
        <w:t>s</w:t>
      </w:r>
      <w:r w:rsidR="00777BAB">
        <w:t xml:space="preserve"> filing an</w:t>
      </w:r>
      <w:r w:rsidR="00D25B86">
        <w:t xml:space="preserve"> </w:t>
      </w:r>
      <w:r w:rsidR="00777BAB">
        <w:t xml:space="preserve">activity code </w:t>
      </w:r>
      <w:r w:rsidR="00A0157A">
        <w:t xml:space="preserve">are replaced to the nearest </w:t>
      </w:r>
      <w:proofErr w:type="spellStart"/>
      <w:r w:rsidR="00A0157A">
        <w:t>NTEE</w:t>
      </w:r>
      <w:proofErr w:type="spellEnd"/>
      <w:r w:rsidR="00A0157A">
        <w:t xml:space="preserve"> code for this thesis. Below is a table of all </w:t>
      </w:r>
      <w:proofErr w:type="spellStart"/>
      <w:r w:rsidR="00A0157A">
        <w:t>NTEE</w:t>
      </w:r>
      <w:proofErr w:type="spellEnd"/>
      <w:r w:rsidR="00A0157A">
        <w:t xml:space="preserve"> codes, which are all representative in this thesis’s final dataset:</w:t>
      </w:r>
    </w:p>
    <w:p w14:paraId="1EC5CB4A" w14:textId="77777777" w:rsidR="00A0157A" w:rsidRDefault="00A0157A" w:rsidP="00A0157A"/>
    <w:p w14:paraId="674AB5B1" w14:textId="514FE536" w:rsidR="00B134CF" w:rsidRDefault="00A0157A" w:rsidP="00F63B30">
      <w:r>
        <w:t>Table I.</w:t>
      </w:r>
    </w:p>
    <w:p w14:paraId="145A2648" w14:textId="77777777" w:rsidR="00441F79" w:rsidRDefault="00441F79" w:rsidP="00441F79"/>
    <w:p w14:paraId="582B57AF" w14:textId="77777777" w:rsidR="00EC33F5" w:rsidRDefault="00EC33F5" w:rsidP="00F63B30"/>
    <w:p w14:paraId="2B51FE7C" w14:textId="3924AD9C" w:rsidR="00E41CA5" w:rsidRDefault="00E41CA5" w:rsidP="00FC18FD">
      <w:r>
        <w:t xml:space="preserve">First, </w:t>
      </w:r>
      <w:r w:rsidR="00B134CF">
        <w:t xml:space="preserve">organizations </w:t>
      </w:r>
    </w:p>
    <w:p w14:paraId="06BA817B" w14:textId="77777777" w:rsidR="00D914FD" w:rsidRDefault="00D914FD" w:rsidP="00FC18FD"/>
    <w:p w14:paraId="4A96B689" w14:textId="77777777" w:rsidR="00D914FD" w:rsidRPr="00FC18FD" w:rsidRDefault="00D914FD" w:rsidP="00FC18FD"/>
    <w:p w14:paraId="427C956A" w14:textId="77777777" w:rsidR="00C21E1D" w:rsidRDefault="00C21E1D">
      <w:pPr>
        <w:spacing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2A325C9" w14:textId="24894DDB" w:rsidR="00840E88" w:rsidRDefault="006518EE" w:rsidP="00E677DC">
      <w:pPr>
        <w:pStyle w:val="Heading1"/>
      </w:pPr>
      <w:r>
        <w:lastRenderedPageBreak/>
        <w:t>Methodology</w:t>
      </w:r>
      <w:bookmarkEnd w:id="2"/>
    </w:p>
    <w:p w14:paraId="77FD3577" w14:textId="5A468D47" w:rsidR="006518EE" w:rsidRPr="006518EE" w:rsidRDefault="006518EE" w:rsidP="00E677DC">
      <w:pPr>
        <w:ind w:firstLine="720"/>
      </w:pPr>
      <w:r>
        <w:t xml:space="preserve">Justification for each variable. Using background/similar research as well as economics logic. </w:t>
      </w:r>
    </w:p>
    <w:p w14:paraId="08D39ED3" w14:textId="2CD419E7" w:rsidR="006518EE" w:rsidRPr="006518EE" w:rsidRDefault="00000000" w:rsidP="00E677DC">
      <w:pPr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HAnsi" w:hAnsi="Cambria Math" w:cstheme="minorBidi"/>
                  <w:color w:val="auto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Υ</m:t>
              </m:r>
            </m:e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Growth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</m:t>
                  </m:r>
                  <m:r>
                    <w:rPr>
                      <w:rFonts w:ascii="Cambria Math" w:hAnsi="Cambria Math"/>
                    </w:rPr>
                    <m:t>Rate</m:t>
                  </m:r>
                </m:e>
              </m:d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log⁡(</m:t>
              </m:r>
              <m:r>
                <w:rPr>
                  <w:rFonts w:ascii="Cambria Math" w:hAnsi="Cambria Math"/>
                </w:rPr>
                <m:t>Total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Program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Expenses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)- log⁡(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Total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Program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Expenses</m:t>
              </m:r>
            </m:e>
            <m:sub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)</m:t>
          </m:r>
        </m:oMath>
      </m:oMathPara>
    </w:p>
    <w:p w14:paraId="026C0A2A" w14:textId="77777777" w:rsidR="006518EE" w:rsidRDefault="006518EE" w:rsidP="00E677DC">
      <w:pPr>
        <w:rPr>
          <w:rFonts w:eastAsiaTheme="minorEastAsia"/>
        </w:rPr>
      </w:pPr>
    </w:p>
    <w:p w14:paraId="73DB13D3" w14:textId="264584A6" w:rsidR="006518EE" w:rsidRDefault="006518EE" w:rsidP="00E677DC">
      <w:pPr>
        <w:ind w:firstLine="720"/>
        <w:rPr>
          <w:rFonts w:eastAsiaTheme="minorEastAsia"/>
        </w:rPr>
      </w:pPr>
      <w:r>
        <w:rPr>
          <w:rFonts w:eastAsiaTheme="minorEastAsia"/>
        </w:rPr>
        <w:t xml:space="preserve">My key dependent variable is “Total program Expenses” because </w:t>
      </w:r>
      <w:r w:rsidR="00E878D8">
        <w:rPr>
          <w:rFonts w:eastAsiaTheme="minorEastAsia"/>
        </w:rPr>
        <w:t>I believe it is the best</w:t>
      </w:r>
      <w:r>
        <w:rPr>
          <w:rFonts w:eastAsiaTheme="minorEastAsia"/>
        </w:rPr>
        <w:t xml:space="preserve"> measure of the total money spent on activities advancing each non-profits mission statement. Other research may use more direct survey data to measure ‘direct impact’ towards the mission.</w:t>
      </w:r>
      <w:r w:rsidR="00E878D8">
        <w:rPr>
          <w:rStyle w:val="FootnoteReference"/>
          <w:rFonts w:eastAsiaTheme="minorEastAsia"/>
        </w:rPr>
        <w:footnoteReference w:id="1"/>
      </w:r>
      <w:r>
        <w:rPr>
          <w:rFonts w:eastAsiaTheme="minorEastAsia"/>
        </w:rPr>
        <w:t xml:space="preserve"> </w:t>
      </w:r>
      <w:r w:rsidR="00E878D8">
        <w:rPr>
          <w:rFonts w:eastAsiaTheme="minorEastAsia"/>
        </w:rPr>
        <w:t xml:space="preserve">I do not have the opportunity to survey for such data. From the same research, they take the </w:t>
      </w:r>
      <w:r w:rsidR="000D2971">
        <w:rPr>
          <w:rFonts w:eastAsiaTheme="minorEastAsia"/>
        </w:rPr>
        <w:t>log (</w:t>
      </w:r>
      <w:r w:rsidR="00E878D8">
        <w:rPr>
          <w:rFonts w:eastAsiaTheme="minorEastAsia"/>
        </w:rPr>
        <w:t xml:space="preserve">) value of their dependent variable to make it more comparable across organizations. </w:t>
      </w:r>
      <w:r w:rsidR="00E878D8">
        <w:rPr>
          <w:rStyle w:val="FootnoteReference"/>
          <w:rFonts w:eastAsiaTheme="minorEastAsia"/>
        </w:rPr>
        <w:footnoteReference w:id="2"/>
      </w:r>
      <w:r w:rsidR="000D2971">
        <w:rPr>
          <w:rFonts w:eastAsiaTheme="minorEastAsia"/>
        </w:rPr>
        <w:t xml:space="preserve"> On the other hand, some other researchers do not take the log () for their dependent variable.</w:t>
      </w:r>
      <w:r w:rsidR="000D2971">
        <w:rPr>
          <w:rStyle w:val="FootnoteReference"/>
          <w:rFonts w:eastAsiaTheme="minorEastAsia"/>
        </w:rPr>
        <w:footnoteReference w:id="3"/>
      </w:r>
    </w:p>
    <w:p w14:paraId="4379DA35" w14:textId="0514740E" w:rsidR="000D2971" w:rsidRPr="00E878D8" w:rsidRDefault="000D2971" w:rsidP="00E677DC">
      <w:pPr>
        <w:ind w:firstLine="720"/>
        <w:rPr>
          <w:rFonts w:eastAsiaTheme="minorEastAsia"/>
        </w:rPr>
      </w:pPr>
      <w:r>
        <w:rPr>
          <w:rFonts w:eastAsiaTheme="minorEastAsia"/>
        </w:rPr>
        <w:t>According to recent research, citizens have strong preferences for non-profits to expand services, especially in economically bad times.</w:t>
      </w:r>
      <w:r>
        <w:rPr>
          <w:rStyle w:val="FootnoteReference"/>
          <w:rFonts w:eastAsiaTheme="minorEastAsia"/>
        </w:rPr>
        <w:footnoteReference w:id="4"/>
      </w:r>
      <w:r>
        <w:rPr>
          <w:rFonts w:eastAsiaTheme="minorEastAsia"/>
        </w:rPr>
        <w:t xml:space="preserve"> To make my research better capture this preference through the data, I capture the change in program expenses year-to-year, like other research in the subject (though they do not take log ()).</w:t>
      </w:r>
      <w:r>
        <w:rPr>
          <w:rStyle w:val="FootnoteReference"/>
          <w:rFonts w:eastAsiaTheme="minorEastAsia"/>
        </w:rPr>
        <w:footnoteReference w:id="5"/>
      </w:r>
    </w:p>
    <w:p w14:paraId="2DD9AA2F" w14:textId="02760693" w:rsidR="006518EE" w:rsidRDefault="00000000" w:rsidP="00E677DC">
      <m:oMath>
        <m:sSub>
          <m:sSub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β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1</m:t>
            </m:r>
          </m:sub>
        </m:sSub>
      </m:oMath>
      <w:r w:rsidR="006518EE">
        <w:t>= Recession year</w:t>
      </w:r>
    </w:p>
    <w:p w14:paraId="32FCDEF3" w14:textId="77777777" w:rsidR="006518EE" w:rsidRDefault="00000000" w:rsidP="00E677DC">
      <m:oMath>
        <m:sSub>
          <m:sSubPr>
            <m:ctrlPr>
              <w:rPr>
                <w:rFonts w:ascii="Cambria Math" w:hAnsi="Cambria Math"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m:t>2</m:t>
            </m:r>
          </m:sub>
        </m:sSub>
      </m:oMath>
      <w:r w:rsidR="006518EE">
        <w:t xml:space="preserve">= Overhead cost ratio =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Total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Management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Expenses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Total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Fundraising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Expenses</m:t>
            </m:r>
          </m:num>
          <m:den>
            <m:r>
              <w:rPr>
                <w:rFonts w:ascii="Cambria Math" w:hAnsi="Cambria Math"/>
              </w:rPr>
              <m:t>Total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Expenses</m:t>
            </m:r>
          </m:den>
        </m:f>
      </m:oMath>
      <w:r w:rsidR="006518EE">
        <w:t xml:space="preserve"> </w:t>
      </w:r>
    </w:p>
    <w:p w14:paraId="51958788" w14:textId="03915908" w:rsidR="00E878D8" w:rsidRDefault="00E878D8" w:rsidP="00E677DC">
      <w:r>
        <w:t xml:space="preserve">As used by similar research to measure ‘impact,’ </w:t>
      </w:r>
    </w:p>
    <w:p w14:paraId="2AE01D92" w14:textId="77777777" w:rsidR="006518EE" w:rsidRDefault="00000000" w:rsidP="00E677DC">
      <m:oMath>
        <m:sSub>
          <m:sSubPr>
            <m:ctrlPr>
              <w:rPr>
                <w:rFonts w:ascii="Cambria Math" w:hAnsi="Cambria Math"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m:t>3</m:t>
            </m:r>
          </m:sub>
        </m:sSub>
      </m:oMath>
      <w:r w:rsidR="006518EE">
        <w:t xml:space="preserve">= Profit margin =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Total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Revenue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Total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Expenses</m:t>
            </m:r>
          </m:num>
          <m:den>
            <m:r>
              <w:rPr>
                <w:rFonts w:ascii="Cambria Math" w:hAnsi="Cambria Math"/>
              </w:rPr>
              <m:t>Total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Revenue</m:t>
            </m:r>
          </m:den>
        </m:f>
      </m:oMath>
    </w:p>
    <w:p w14:paraId="72DB411A" w14:textId="77777777" w:rsidR="006518EE" w:rsidRDefault="00000000" w:rsidP="00E677DC">
      <m:oMath>
        <m:sSub>
          <m:sSubPr>
            <m:ctrlPr>
              <w:rPr>
                <w:rFonts w:ascii="Cambria Math" w:hAnsi="Cambria Math"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m:t>4</m:t>
            </m:r>
          </m:sub>
        </m:sSub>
      </m:oMath>
      <w:r w:rsidR="006518EE">
        <w:t xml:space="preserve">= Government dependence ratio =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Revenue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from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Government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Grants</m:t>
            </m:r>
          </m:num>
          <m:den>
            <m:r>
              <w:rPr>
                <w:rFonts w:ascii="Cambria Math" w:hAnsi="Cambria Math"/>
              </w:rPr>
              <m:t>Total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Revenue</m:t>
            </m:r>
          </m:den>
        </m:f>
      </m:oMath>
    </w:p>
    <w:p w14:paraId="07BCC226" w14:textId="7C5CF5AA" w:rsidR="00E677DC" w:rsidRPr="00793FC6" w:rsidRDefault="00E677DC" w:rsidP="00E677DC">
      <w:pPr>
        <w:rPr>
          <w:sz w:val="32"/>
          <w:szCs w:val="32"/>
        </w:rPr>
      </w:pPr>
      <w:r>
        <w:tab/>
        <w:t>Other research uses the receipt of government grants as an indicator variable for implying increased oversight and better financial procedures of nonprofits.</w:t>
      </w:r>
      <w:r>
        <w:rPr>
          <w:rStyle w:val="FootnoteReference"/>
        </w:rPr>
        <w:footnoteReference w:id="6"/>
      </w:r>
      <w:r>
        <w:t xml:space="preserve"> I choose to modify this variable to be a variable ratio as many nonprofits may operate from a blend of revenue sources, but </w:t>
      </w:r>
      <w:r w:rsidR="00C20219">
        <w:t xml:space="preserve">government grants may be more stable or increased in economically bad times, so a higher ratio would indicate greater success. </w:t>
      </w:r>
    </w:p>
    <w:p w14:paraId="605D8532" w14:textId="77777777" w:rsidR="006518EE" w:rsidRDefault="00000000" w:rsidP="00E677DC">
      <w:pPr>
        <w:rPr>
          <w:sz w:val="32"/>
          <w:szCs w:val="32"/>
        </w:rPr>
      </w:pPr>
      <m:oMath>
        <m:sSub>
          <m:sSubPr>
            <m:ctrlPr>
              <w:rPr>
                <w:rFonts w:ascii="Cambria Math" w:hAnsi="Cambria Math"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m:t>5</m:t>
            </m:r>
          </m:sub>
        </m:sSub>
      </m:oMath>
      <w:r w:rsidR="006518EE">
        <w:t xml:space="preserve">= Services dependence ratio =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Revenue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from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  <w:sz w:val="28"/>
                <w:szCs w:val="28"/>
              </w:rPr>
              <m:t>mermbership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Revenue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from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services</m:t>
            </m:r>
          </m:num>
          <m:den>
            <m:r>
              <w:rPr>
                <w:rFonts w:ascii="Cambria Math" w:hAnsi="Cambria Math"/>
              </w:rPr>
              <m:t>Total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>Revenue</m:t>
            </m:r>
          </m:den>
        </m:f>
      </m:oMath>
    </w:p>
    <w:p w14:paraId="6788F9E6" w14:textId="2FCFCD50" w:rsidR="004F76F1" w:rsidRPr="00E677DC" w:rsidRDefault="004F76F1" w:rsidP="00E677DC">
      <w:pPr>
        <w:ind w:firstLine="720"/>
      </w:pPr>
      <w:r w:rsidRPr="00E677DC">
        <w:t>Some research looks to find if “contribution intensity” of revenue sourcing contributes to things like procyclicality in expanding/shrinking services.</w:t>
      </w:r>
      <w:r w:rsidRPr="00E677DC">
        <w:rPr>
          <w:rStyle w:val="FootnoteReference"/>
        </w:rPr>
        <w:footnoteReference w:id="7"/>
      </w:r>
      <w:r w:rsidRPr="00E677DC">
        <w:t xml:space="preserve"> Calculating a similar formula, I choose to look at the intensity a non-profit is more business-like, as in relying on direct products/services sales to maintain activities, because of research finding that </w:t>
      </w:r>
      <w:r w:rsidR="00E677DC" w:rsidRPr="00E677DC">
        <w:t>nonprofits that rely mainly on commercial revenues are more efficient in managing expenses.</w:t>
      </w:r>
      <w:r w:rsidR="00E677DC" w:rsidRPr="00E677DC">
        <w:rPr>
          <w:rStyle w:val="FootnoteReference"/>
        </w:rPr>
        <w:footnoteReference w:id="8"/>
      </w:r>
      <w:r w:rsidR="00E677DC" w:rsidRPr="00E677DC">
        <w:t xml:space="preserve"> I use a very similar formula to that research. </w:t>
      </w:r>
    </w:p>
    <w:p w14:paraId="6454E79D" w14:textId="5942822E" w:rsidR="006518EE" w:rsidRDefault="00000000" w:rsidP="00E677DC">
      <m:oMath>
        <m:sSub>
          <m:sSubPr>
            <m:ctrlPr>
              <w:rPr>
                <w:rFonts w:ascii="Cambria Math" w:hAnsi="Cambria Math"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m:t>6</m:t>
            </m:r>
          </m:sub>
        </m:sSub>
      </m:oMath>
      <w:r w:rsidR="006518EE">
        <w:t xml:space="preserve">= Age = </w:t>
      </w:r>
      <m:oMath>
        <m:r>
          <w:rPr>
            <w:rFonts w:ascii="Cambria Math" w:hAnsi="Cambria Math"/>
          </w:rPr>
          <m:t>Year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Year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of</m:t>
        </m:r>
        <m:r>
          <m:rPr>
            <m:sty m:val="p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Formation</m:t>
        </m:r>
      </m:oMath>
    </w:p>
    <w:p w14:paraId="28464F8C" w14:textId="77777777" w:rsidR="006518EE" w:rsidRPr="00793FC6" w:rsidRDefault="00000000" w:rsidP="00E677DC">
      <w:pPr>
        <w:rPr>
          <w:b/>
          <w:bCs/>
        </w:rPr>
      </w:pPr>
      <m:oMath>
        <m:sSub>
          <m:sSub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β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7</m:t>
            </m:r>
          </m:sub>
        </m:sSub>
      </m:oMath>
      <w:r w:rsidR="006518EE">
        <w:t>= Non-profit Sector = multiple dummy variables for specific non-profit sectors (i.e. hospital, school, museum, none of the above)</w:t>
      </w:r>
    </w:p>
    <w:p w14:paraId="2719AD17" w14:textId="77777777" w:rsidR="006518EE" w:rsidRDefault="006518EE" w:rsidP="00E677DC"/>
    <w:p w14:paraId="6830A93E" w14:textId="2196EC14" w:rsidR="006518EE" w:rsidRDefault="00CC01C2" w:rsidP="00CC01C2">
      <w:pPr>
        <w:pStyle w:val="Heading2"/>
      </w:pPr>
      <w:bookmarkStart w:id="3" w:name="_Toc221632642"/>
      <w:r>
        <w:t>Removing Outliers</w:t>
      </w:r>
      <w:bookmarkEnd w:id="3"/>
    </w:p>
    <w:p w14:paraId="4572FB88" w14:textId="7A037444" w:rsidR="00E143CD" w:rsidRDefault="00CC01C2" w:rsidP="00BE5673">
      <w:pPr>
        <w:ind w:firstLine="720"/>
      </w:pPr>
      <w:r>
        <w:t>I want to remove organizations that have multiple years of zero program expenses</w:t>
      </w:r>
      <w:r w:rsidR="00E143CD">
        <w:t>.</w:t>
      </w:r>
      <w:r w:rsidR="001C009A">
        <w:t xml:space="preserve"> </w:t>
      </w:r>
      <w:r w:rsidR="00E143CD">
        <w:t xml:space="preserve">As a prerequisite, I want to check the distribution of organizations without program expenses. </w:t>
      </w:r>
    </w:p>
    <w:p w14:paraId="0B8AC0BB" w14:textId="77777777" w:rsidR="00BE5673" w:rsidRDefault="00BE5673" w:rsidP="00BE5673">
      <w:pPr>
        <w:ind w:firstLine="720"/>
      </w:pPr>
      <w:r>
        <w:t>According to 501(c)(3) status regulations, an organization that does not follow filing procedures for three consecutive years loses its tax-exempt status.</w:t>
      </w:r>
      <w:r>
        <w:rPr>
          <w:rStyle w:val="FootnoteReference"/>
        </w:rPr>
        <w:footnoteReference w:id="9"/>
      </w:r>
      <w:r>
        <w:t xml:space="preserve"> Additionally, an organization that is not contributing a public benefit is at risk of losings its special status. So, three consecutive years of zero program expenses, assuming this shows zero public benefit, is a reasonable restriction to make. </w:t>
      </w:r>
    </w:p>
    <w:p w14:paraId="510D29C5" w14:textId="0C2CB0FF" w:rsidR="00CE2AFB" w:rsidRDefault="00CE2AFB" w:rsidP="00BE5673">
      <w:pPr>
        <w:ind w:firstLine="720"/>
      </w:pPr>
      <w:r>
        <w:t xml:space="preserve">For succinctness, I </w:t>
      </w:r>
      <w:r w:rsidR="00B317FC">
        <w:t>should</w:t>
      </w:r>
      <w:r>
        <w:t xml:space="preserve"> also drop organizations with </w:t>
      </w:r>
      <w:r w:rsidR="00B317FC">
        <w:t xml:space="preserve">three </w:t>
      </w:r>
      <w:r>
        <w:t>or more years of zero revenues.</w:t>
      </w:r>
      <w:r w:rsidR="00B317FC">
        <w:t xml:space="preserve"> So, I will drop from the data organizations that satisfy both conditions, because this indicates an inactive organization.</w:t>
      </w:r>
    </w:p>
    <w:p w14:paraId="0C21DF45" w14:textId="52740668" w:rsidR="002D6E77" w:rsidRDefault="002D6E77" w:rsidP="002D6E77">
      <w:pPr>
        <w:ind w:firstLine="720"/>
      </w:pPr>
      <w:r>
        <w:t>Also, dropping hospitals and schools from the data set. Their demand is inelastic.</w:t>
      </w:r>
    </w:p>
    <w:p w14:paraId="0A9F0B98" w14:textId="30C08990" w:rsidR="000B1762" w:rsidRDefault="002D6E77" w:rsidP="00DE3E1A">
      <w:pPr>
        <w:ind w:firstLine="720"/>
      </w:pPr>
      <w:r>
        <w:t xml:space="preserve">This limits the data set to </w:t>
      </w:r>
      <w:r w:rsidR="001A0275" w:rsidRPr="001A0275">
        <w:t>3</w:t>
      </w:r>
      <w:r w:rsidR="001A0275">
        <w:t>,</w:t>
      </w:r>
      <w:r w:rsidR="001A0275" w:rsidRPr="001A0275">
        <w:t>014</w:t>
      </w:r>
      <w:r w:rsidR="001A0275">
        <w:t>,</w:t>
      </w:r>
      <w:r w:rsidR="001A0275" w:rsidRPr="001A0275">
        <w:t>314</w:t>
      </w:r>
      <w:r w:rsidR="001A0275">
        <w:t xml:space="preserve"> </w:t>
      </w:r>
      <w:r w:rsidR="00BF4123">
        <w:t>observations (from 5,002,756</w:t>
      </w:r>
      <w:r w:rsidR="00AC3DF2">
        <w:t xml:space="preserve">) </w:t>
      </w:r>
      <w:r w:rsidR="00331957">
        <w:t xml:space="preserve">across </w:t>
      </w:r>
      <w:r w:rsidR="00A42789" w:rsidRPr="00A42789">
        <w:t>457</w:t>
      </w:r>
      <w:r w:rsidR="00A42789">
        <w:t>,</w:t>
      </w:r>
      <w:r w:rsidR="00A42789" w:rsidRPr="00A42789">
        <w:t>042</w:t>
      </w:r>
      <w:r w:rsidR="00A42789">
        <w:t xml:space="preserve"> </w:t>
      </w:r>
      <w:r w:rsidR="00331957">
        <w:t xml:space="preserve">unique organizations (from </w:t>
      </w:r>
      <w:r w:rsidR="00907078">
        <w:t>738,790).</w:t>
      </w:r>
      <w:r w:rsidR="00DE3E1A">
        <w:t xml:space="preserve"> According to the log distribution, the data is now much more balanced.</w:t>
      </w:r>
    </w:p>
    <w:p w14:paraId="11D01DF4" w14:textId="7819C938" w:rsidR="00840121" w:rsidRDefault="00840121">
      <w:pPr>
        <w:spacing w:after="160" w:line="278" w:lineRule="auto"/>
      </w:pPr>
      <w:r>
        <w:br w:type="page"/>
      </w:r>
    </w:p>
    <w:p w14:paraId="1049504C" w14:textId="21FF6CAB" w:rsidR="00840121" w:rsidRDefault="00840121" w:rsidP="00840121">
      <w:pPr>
        <w:pStyle w:val="Heading1"/>
      </w:pPr>
      <w:bookmarkStart w:id="4" w:name="_Toc221632643"/>
      <w:r>
        <w:lastRenderedPageBreak/>
        <w:t>Results</w:t>
      </w:r>
      <w:bookmarkEnd w:id="4"/>
    </w:p>
    <w:p w14:paraId="02F13801" w14:textId="7AFE38CE" w:rsidR="00840121" w:rsidRDefault="00840121">
      <w:pPr>
        <w:spacing w:after="160" w:line="278" w:lineRule="auto"/>
      </w:pPr>
      <w:r>
        <w:br w:type="page"/>
      </w:r>
    </w:p>
    <w:p w14:paraId="05D62AC2" w14:textId="18F6FA44" w:rsidR="00840121" w:rsidRDefault="00840121" w:rsidP="00840121">
      <w:pPr>
        <w:pStyle w:val="Heading1"/>
      </w:pPr>
      <w:bookmarkStart w:id="5" w:name="_Toc221632644"/>
      <w:r>
        <w:lastRenderedPageBreak/>
        <w:t>Analysis</w:t>
      </w:r>
      <w:bookmarkEnd w:id="5"/>
    </w:p>
    <w:p w14:paraId="4F5F8CE2" w14:textId="1FAC8AA7" w:rsidR="00840121" w:rsidRDefault="00840121">
      <w:pPr>
        <w:spacing w:after="160" w:line="278" w:lineRule="auto"/>
      </w:pPr>
      <w:r>
        <w:br w:type="page"/>
      </w:r>
    </w:p>
    <w:p w14:paraId="394FE642" w14:textId="7C7C64FE" w:rsidR="00840121" w:rsidRDefault="00840121" w:rsidP="00840121">
      <w:pPr>
        <w:pStyle w:val="Heading1"/>
      </w:pPr>
      <w:bookmarkStart w:id="6" w:name="_Toc221632645"/>
      <w:r>
        <w:lastRenderedPageBreak/>
        <w:t>Conclusion</w:t>
      </w:r>
      <w:bookmarkEnd w:id="6"/>
    </w:p>
    <w:p w14:paraId="403CD17C" w14:textId="783D579D" w:rsidR="00840121" w:rsidRDefault="00840121">
      <w:pPr>
        <w:spacing w:after="160" w:line="278" w:lineRule="auto"/>
      </w:pPr>
      <w:r>
        <w:br w:type="page"/>
      </w:r>
    </w:p>
    <w:p w14:paraId="64570C82" w14:textId="3A2F8A36" w:rsidR="00840121" w:rsidRDefault="00840121" w:rsidP="00840121">
      <w:pPr>
        <w:pStyle w:val="Heading1"/>
      </w:pPr>
      <w:bookmarkStart w:id="7" w:name="_Toc221632646"/>
      <w:r>
        <w:lastRenderedPageBreak/>
        <w:t>Bibliography</w:t>
      </w:r>
      <w:bookmarkEnd w:id="7"/>
    </w:p>
    <w:p w14:paraId="49429D5E" w14:textId="77777777" w:rsidR="00840121" w:rsidRPr="00840121" w:rsidRDefault="00840121" w:rsidP="00840121"/>
    <w:p w14:paraId="48E81C19" w14:textId="77777777" w:rsidR="00BE5673" w:rsidRPr="00CC01C2" w:rsidRDefault="00BE5673" w:rsidP="00BE5673">
      <w:pPr>
        <w:ind w:firstLine="720"/>
      </w:pPr>
    </w:p>
    <w:sectPr w:rsidR="00BE5673" w:rsidRPr="00CC01C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7D07E3" w14:textId="77777777" w:rsidR="008770AD" w:rsidRDefault="008770AD" w:rsidP="00E677DC">
      <w:r>
        <w:separator/>
      </w:r>
    </w:p>
  </w:endnote>
  <w:endnote w:type="continuationSeparator" w:id="0">
    <w:p w14:paraId="1C069463" w14:textId="77777777" w:rsidR="008770AD" w:rsidRDefault="008770AD" w:rsidP="00E677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CF4EFA" w14:textId="77777777" w:rsidR="004D12F7" w:rsidRDefault="004D12F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D8594" w14:textId="77777777" w:rsidR="004D12F7" w:rsidRDefault="004D12F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E9D27" w14:textId="77777777" w:rsidR="004D12F7" w:rsidRDefault="004D12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6FD144" w14:textId="77777777" w:rsidR="008770AD" w:rsidRDefault="008770AD" w:rsidP="00E677DC">
      <w:r>
        <w:separator/>
      </w:r>
    </w:p>
  </w:footnote>
  <w:footnote w:type="continuationSeparator" w:id="0">
    <w:p w14:paraId="2339940E" w14:textId="77777777" w:rsidR="008770AD" w:rsidRDefault="008770AD" w:rsidP="00E677DC">
      <w:r>
        <w:continuationSeparator/>
      </w:r>
    </w:p>
  </w:footnote>
  <w:footnote w:id="1">
    <w:p w14:paraId="7BA57213" w14:textId="4DEDDB14" w:rsidR="00E878D8" w:rsidRDefault="00E878D8" w:rsidP="00E677D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E878D8">
        <w:t>Altamimi, Hala, and Qiaozhen Liu. "The nonprofit starvation cycle: Does overhead spending really impact program outcomes?." Nonprofit and Voluntary Sector Quarterly 51, no. 6 (2022): 1324-1348.</w:t>
      </w:r>
    </w:p>
  </w:footnote>
  <w:footnote w:id="2">
    <w:p w14:paraId="64A3AA1B" w14:textId="46519AAD" w:rsidR="00E878D8" w:rsidRDefault="00E878D8" w:rsidP="00E677DC">
      <w:pPr>
        <w:pStyle w:val="FootnoteText"/>
      </w:pPr>
      <w:r>
        <w:rPr>
          <w:rStyle w:val="FootnoteReference"/>
        </w:rPr>
        <w:footnoteRef/>
      </w:r>
      <w:r>
        <w:t xml:space="preserve"> Altamimi, Hala and Qiaozhen Liu (2022).</w:t>
      </w:r>
    </w:p>
  </w:footnote>
  <w:footnote w:id="3">
    <w:p w14:paraId="6F0CFF94" w14:textId="4C28A8E3" w:rsidR="000D2971" w:rsidRDefault="000D2971" w:rsidP="00E677D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0D2971">
        <w:t>Exley, Christine L., Nils H. Lehr, and Stephen J. Terry. "Nonprofits in good times and bad times." Journal of Political Economy Microeconomics 1, no. 1 (2023): 42-79.</w:t>
      </w:r>
    </w:p>
  </w:footnote>
  <w:footnote w:id="4">
    <w:p w14:paraId="597B8A52" w14:textId="75CFAE0E" w:rsidR="000D2971" w:rsidRDefault="000D2971" w:rsidP="00E677D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0D2971">
        <w:t>Exley, Christine L., Nils H. Lehr, and Stephen J. Terry. (2023)</w:t>
      </w:r>
      <w:r>
        <w:t>.</w:t>
      </w:r>
    </w:p>
  </w:footnote>
  <w:footnote w:id="5">
    <w:p w14:paraId="33FF27E3" w14:textId="498849A2" w:rsidR="000D2971" w:rsidRDefault="000D2971" w:rsidP="00E677D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0D2971">
        <w:t>Exley, Christine L., Nils H. Lehr, and Stephen J. Terry. (2023)</w:t>
      </w:r>
      <w:r>
        <w:t>.</w:t>
      </w:r>
    </w:p>
    <w:p w14:paraId="0607756B" w14:textId="5EA9F047" w:rsidR="000D2971" w:rsidRDefault="000D2971" w:rsidP="00E677DC">
      <w:pPr>
        <w:pStyle w:val="FootnoteText"/>
      </w:pPr>
    </w:p>
  </w:footnote>
  <w:footnote w:id="6">
    <w:p w14:paraId="1472F4C9" w14:textId="5D97C2D0" w:rsidR="00E677DC" w:rsidRDefault="00E677D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E677DC">
        <w:t>Ecer, Sencer, Mark Magro, and Sinan Sarpça. "The relationship between nonprofits’ revenue composition and their economic-financial efficiency." Nonprofit and Voluntary Sector Quarterly 46, no. 1 (2017): 141-155.</w:t>
      </w:r>
    </w:p>
  </w:footnote>
  <w:footnote w:id="7">
    <w:p w14:paraId="01E039B5" w14:textId="7A730CB7" w:rsidR="004F76F1" w:rsidRDefault="004F76F1" w:rsidP="00E677D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4F76F1">
        <w:t>Exley, Christine L., Nils H. Lehr, and Stephen J. Terry. "Nonprofits in good times and bad times." Journal of Political Economy Microeconomics 1, no. 1 (2023): 42-79.</w:t>
      </w:r>
    </w:p>
  </w:footnote>
  <w:footnote w:id="8">
    <w:p w14:paraId="436AF7EC" w14:textId="5507364F" w:rsidR="00E677DC" w:rsidRDefault="00E677DC" w:rsidP="00E677D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E677DC">
        <w:t>Ecer, Sencer, Mark Magro, and Sinan Sarpça. "The relationship between nonprofits’ revenue composition and their economic-financial efficiency." Nonprofit and Voluntary Sector Quarterly 46, no. 1 (2017): 141-155.</w:t>
      </w:r>
    </w:p>
  </w:footnote>
  <w:footnote w:id="9">
    <w:p w14:paraId="65106AA6" w14:textId="77777777" w:rsidR="00BE5673" w:rsidRPr="00F27514" w:rsidRDefault="00BE5673" w:rsidP="00BE567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D1F67">
        <w:t xml:space="preserve">Irs.gov. “Automatic Revocation of Exemption | Internal Revenue Service,” 2017. </w:t>
      </w:r>
      <w:hyperlink r:id="rId1" w:history="1">
        <w:r w:rsidRPr="00FB7D61">
          <w:rPr>
            <w:rStyle w:val="Hyperlink"/>
          </w:rPr>
          <w:t>https://www.irs.gov/charities-non-profits/automatic-revocation-of-exemption</w:t>
        </w:r>
      </w:hyperlink>
      <w:r w:rsidRPr="007D1F67">
        <w:t>.</w:t>
      </w:r>
      <w:r>
        <w:t xml:space="preserve"> </w:t>
      </w:r>
    </w:p>
    <w:p w14:paraId="41D83C4B" w14:textId="77777777" w:rsidR="00BE5673" w:rsidRPr="00F27514" w:rsidRDefault="00BE5673" w:rsidP="00BE5673">
      <w:pPr>
        <w:pStyle w:val="FootnoteText"/>
      </w:pPr>
      <w:r w:rsidRPr="00F27514">
        <w:t>‌</w:t>
      </w:r>
    </w:p>
    <w:p w14:paraId="1F8DE8DB" w14:textId="77777777" w:rsidR="00BE5673" w:rsidRDefault="00BE5673" w:rsidP="00BE5673">
      <w:pPr>
        <w:pStyle w:val="FootnoteText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18998" w14:textId="77777777" w:rsidR="004D12F7" w:rsidRDefault="004D12F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45D036" w14:textId="77777777" w:rsidR="004D12F7" w:rsidRDefault="004D12F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8A389" w14:textId="77777777" w:rsidR="004D12F7" w:rsidRDefault="004D12F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0E88"/>
    <w:rsid w:val="000A069A"/>
    <w:rsid w:val="000B1762"/>
    <w:rsid w:val="000D0390"/>
    <w:rsid w:val="000D2971"/>
    <w:rsid w:val="001226C8"/>
    <w:rsid w:val="001A0275"/>
    <w:rsid w:val="001C009A"/>
    <w:rsid w:val="0024782C"/>
    <w:rsid w:val="0029593C"/>
    <w:rsid w:val="002A7D73"/>
    <w:rsid w:val="002D6E77"/>
    <w:rsid w:val="002F4E51"/>
    <w:rsid w:val="00331957"/>
    <w:rsid w:val="00331A52"/>
    <w:rsid w:val="00375F4D"/>
    <w:rsid w:val="003B7AA5"/>
    <w:rsid w:val="00410AF2"/>
    <w:rsid w:val="00441F79"/>
    <w:rsid w:val="00481225"/>
    <w:rsid w:val="004A1062"/>
    <w:rsid w:val="004D12F7"/>
    <w:rsid w:val="004F76F1"/>
    <w:rsid w:val="00500C5C"/>
    <w:rsid w:val="005010C9"/>
    <w:rsid w:val="00524130"/>
    <w:rsid w:val="00583428"/>
    <w:rsid w:val="005E4333"/>
    <w:rsid w:val="005F7182"/>
    <w:rsid w:val="00620D94"/>
    <w:rsid w:val="006518EE"/>
    <w:rsid w:val="006C39AE"/>
    <w:rsid w:val="007123B7"/>
    <w:rsid w:val="007500A0"/>
    <w:rsid w:val="00771510"/>
    <w:rsid w:val="00777BAB"/>
    <w:rsid w:val="00792F01"/>
    <w:rsid w:val="007B4039"/>
    <w:rsid w:val="007C1217"/>
    <w:rsid w:val="007D1F67"/>
    <w:rsid w:val="007E69FD"/>
    <w:rsid w:val="00802AA1"/>
    <w:rsid w:val="00840121"/>
    <w:rsid w:val="00840E88"/>
    <w:rsid w:val="008770AD"/>
    <w:rsid w:val="008D64F7"/>
    <w:rsid w:val="00907078"/>
    <w:rsid w:val="009728DC"/>
    <w:rsid w:val="009D2237"/>
    <w:rsid w:val="00A0157A"/>
    <w:rsid w:val="00A073D5"/>
    <w:rsid w:val="00A14C2F"/>
    <w:rsid w:val="00A15CED"/>
    <w:rsid w:val="00A42789"/>
    <w:rsid w:val="00A551E9"/>
    <w:rsid w:val="00A85B5C"/>
    <w:rsid w:val="00AB7B95"/>
    <w:rsid w:val="00AC3DF2"/>
    <w:rsid w:val="00AF252B"/>
    <w:rsid w:val="00B03BAD"/>
    <w:rsid w:val="00B10630"/>
    <w:rsid w:val="00B134CF"/>
    <w:rsid w:val="00B21E5E"/>
    <w:rsid w:val="00B317FC"/>
    <w:rsid w:val="00B64FF4"/>
    <w:rsid w:val="00B7396F"/>
    <w:rsid w:val="00BB7481"/>
    <w:rsid w:val="00BD6382"/>
    <w:rsid w:val="00BE5673"/>
    <w:rsid w:val="00BF4123"/>
    <w:rsid w:val="00C03AE0"/>
    <w:rsid w:val="00C20219"/>
    <w:rsid w:val="00C21E1D"/>
    <w:rsid w:val="00C27F89"/>
    <w:rsid w:val="00C3574B"/>
    <w:rsid w:val="00CC01C2"/>
    <w:rsid w:val="00CD4FBD"/>
    <w:rsid w:val="00CE2AFB"/>
    <w:rsid w:val="00CE6554"/>
    <w:rsid w:val="00D25B86"/>
    <w:rsid w:val="00D37EB2"/>
    <w:rsid w:val="00D562A7"/>
    <w:rsid w:val="00D914FD"/>
    <w:rsid w:val="00DA153D"/>
    <w:rsid w:val="00DE3E1A"/>
    <w:rsid w:val="00E143CD"/>
    <w:rsid w:val="00E41CA5"/>
    <w:rsid w:val="00E438A4"/>
    <w:rsid w:val="00E677DC"/>
    <w:rsid w:val="00E71E46"/>
    <w:rsid w:val="00E845B2"/>
    <w:rsid w:val="00E878D8"/>
    <w:rsid w:val="00EC33F5"/>
    <w:rsid w:val="00F04960"/>
    <w:rsid w:val="00F251C7"/>
    <w:rsid w:val="00F271CD"/>
    <w:rsid w:val="00F27514"/>
    <w:rsid w:val="00F63B30"/>
    <w:rsid w:val="00FC1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944703"/>
  <w15:chartTrackingRefBased/>
  <w15:docId w15:val="{ABD79AE6-ED8A-3D40-BBCF-4E552AC1B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77DC"/>
    <w:pPr>
      <w:spacing w:after="0" w:line="480" w:lineRule="auto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840E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0E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0E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0E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0E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0E8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0E8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0E8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0E8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0E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40E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0E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0E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0E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0E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0E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0E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0E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0E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0E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0E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0E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0E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0E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0E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0E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0E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0E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0E88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518EE"/>
    <w:rPr>
      <w:color w:val="666666"/>
    </w:rPr>
  </w:style>
  <w:style w:type="character" w:styleId="CommentReference">
    <w:name w:val="annotation reference"/>
    <w:basedOn w:val="DefaultParagraphFont"/>
    <w:uiPriority w:val="99"/>
    <w:semiHidden/>
    <w:unhideWhenUsed/>
    <w:rsid w:val="006518E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518EE"/>
    <w:pPr>
      <w:spacing w:line="240" w:lineRule="auto"/>
    </w:pPr>
    <w:rPr>
      <w:kern w:val="0"/>
      <w:sz w:val="20"/>
      <w:szCs w:val="20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518EE"/>
    <w:rPr>
      <w:kern w:val="0"/>
      <w:sz w:val="20"/>
      <w:szCs w:val="20"/>
      <w14:ligatures w14:val="none"/>
    </w:rPr>
  </w:style>
  <w:style w:type="paragraph" w:styleId="FootnoteText">
    <w:name w:val="footnote text"/>
    <w:basedOn w:val="Normal"/>
    <w:link w:val="FootnoteTextChar"/>
    <w:uiPriority w:val="99"/>
    <w:unhideWhenUsed/>
    <w:rsid w:val="00E878D8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E878D8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878D8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F27514"/>
  </w:style>
  <w:style w:type="character" w:styleId="Hyperlink">
    <w:name w:val="Hyperlink"/>
    <w:basedOn w:val="DefaultParagraphFont"/>
    <w:uiPriority w:val="99"/>
    <w:unhideWhenUsed/>
    <w:rsid w:val="007D1F6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1F67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64F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hAnsi="Courier New" w:cs="Courier New"/>
      <w:color w:val="auto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64FF4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gnj4oy0cpi">
    <w:name w:val="gnj4oy0cpi"/>
    <w:basedOn w:val="DefaultParagraphFont"/>
    <w:rsid w:val="00B64FF4"/>
  </w:style>
  <w:style w:type="paragraph" w:styleId="TOCHeading">
    <w:name w:val="TOC Heading"/>
    <w:basedOn w:val="Heading1"/>
    <w:next w:val="Normal"/>
    <w:uiPriority w:val="39"/>
    <w:unhideWhenUsed/>
    <w:qFormat/>
    <w:rsid w:val="004D12F7"/>
    <w:pPr>
      <w:spacing w:before="480" w:after="0" w:line="276" w:lineRule="auto"/>
      <w:outlineLvl w:val="9"/>
    </w:pPr>
    <w:rPr>
      <w:b/>
      <w:bCs/>
      <w:kern w:val="0"/>
      <w:sz w:val="28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D12F7"/>
    <w:pPr>
      <w:spacing w:before="120"/>
    </w:pPr>
    <w:rPr>
      <w:rFonts w:asciiTheme="minorHAnsi" w:hAnsi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4D12F7"/>
    <w:pPr>
      <w:spacing w:before="120"/>
      <w:ind w:left="240"/>
    </w:pPr>
    <w:rPr>
      <w:rFonts w:asciiTheme="minorHAnsi" w:hAnsi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4D12F7"/>
    <w:pPr>
      <w:ind w:left="480"/>
    </w:pPr>
    <w:rPr>
      <w:rFonts w:asciiTheme="minorHAnsi" w:hAnsi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4D12F7"/>
    <w:pPr>
      <w:ind w:left="72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4D12F7"/>
    <w:pPr>
      <w:ind w:left="96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4D12F7"/>
    <w:pPr>
      <w:ind w:left="12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4D12F7"/>
    <w:pPr>
      <w:ind w:left="144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4D12F7"/>
    <w:pPr>
      <w:ind w:left="168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4D12F7"/>
    <w:pPr>
      <w:ind w:left="1920"/>
    </w:pPr>
    <w:rPr>
      <w:rFonts w:asciiTheme="minorHAnsi" w:hAnsiTheme="minorHAnsi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D12F7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12F7"/>
    <w:rPr>
      <w:rFonts w:ascii="Times New Roman" w:eastAsia="Times New Roman" w:hAnsi="Times New Roman" w:cs="Times New Roman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4D12F7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12F7"/>
    <w:rPr>
      <w:rFonts w:ascii="Times New Roman" w:eastAsia="Times New Roman" w:hAnsi="Times New Roman" w:cs="Times New Roman"/>
      <w:color w:val="000000"/>
    </w:rPr>
  </w:style>
  <w:style w:type="table" w:styleId="TableGrid">
    <w:name w:val="Table Grid"/>
    <w:basedOn w:val="TableNormal"/>
    <w:uiPriority w:val="39"/>
    <w:rsid w:val="00331A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hesisStyle1">
    <w:name w:val="Thesis Style 1"/>
    <w:basedOn w:val="TableNormal"/>
    <w:uiPriority w:val="99"/>
    <w:rsid w:val="006C39AE"/>
    <w:pPr>
      <w:spacing w:after="0" w:line="240" w:lineRule="auto"/>
    </w:pPr>
    <w:rPr>
      <w:rFonts w:ascii="Times New Roman" w:hAnsi="Times New Roman"/>
      <w:color w:val="000000" w:themeColor="text1"/>
      <w:sz w:val="22"/>
    </w:rPr>
    <w:tblPr>
      <w:tblBorders>
        <w:insideH w:val="single" w:sz="8" w:space="0" w:color="000000" w:themeColor="text1"/>
      </w:tblBorders>
    </w:tblPr>
    <w:tblStylePr w:type="firstRow">
      <w:rPr>
        <w:rFonts w:ascii="Times New Roman" w:hAnsi="Times New Roman"/>
        <w:b/>
        <w:i w:val="0"/>
        <w:sz w:val="24"/>
      </w:rPr>
      <w:tblPr/>
      <w:tcPr>
        <w:tcBorders>
          <w:top w:val="single" w:sz="18" w:space="0" w:color="000000" w:themeColor="text1"/>
          <w:left w:val="nil"/>
          <w:bottom w:val="single" w:sz="18" w:space="0" w:color="000000" w:themeColor="text1"/>
          <w:right w:val="nil"/>
          <w:insideH w:val="nil"/>
          <w:insideV w:val="nil"/>
          <w:tl2br w:val="nil"/>
          <w:tr2bl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147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7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52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97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irs.gov/charities-non-profits/automatic-revocation-of-exemp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CHICAGO.XSL" StyleName="Chicago" Version="16">
  <b:Source>
    <b:Tag>Int26</b:Tag>
    <b:SourceType>InternetSite</b:SourceType>
    <b:Guid>{F74348D9-E897-0B4E-85F1-DE25CBCF56AF}</b:Guid>
    <b:Title>IRS</b:Title>
    <b:InternetSiteTitle>IRS.gov</b:InternetSiteTitle>
    <b:URL>https://www.irs.gov/charities-non-profits/automatic-revocation-of-exemption</b:URL>
    <b:Year>2026</b:Year>
    <b:Author>
      <b:Author>
        <b:Corporate>Internal Revenue Service</b:Corporate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5DE27BF8-82AB-A943-905C-69B5AB86EA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12</Pages>
  <Words>799</Words>
  <Characters>5140</Characters>
  <Application>Microsoft Office Word</Application>
  <DocSecurity>0</DocSecurity>
  <Lines>734</Lines>
  <Paragraphs>659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Tamen, Jonathan</dc:creator>
  <cp:keywords/>
  <dc:description/>
  <cp:lastModifiedBy>Tamen, Jonathan</cp:lastModifiedBy>
  <cp:revision>78</cp:revision>
  <dcterms:created xsi:type="dcterms:W3CDTF">2025-11-02T19:29:00Z</dcterms:created>
  <dcterms:modified xsi:type="dcterms:W3CDTF">2026-02-23T17:52:00Z</dcterms:modified>
</cp:coreProperties>
</file>