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left"/>
      </w:pPr>
      <w:r>
        <w:rPr>
          <w:rFonts w:ascii="Calibri" w:cs="Calibri" w:eastAsia="Calibri" w:hAnsi="Calibri"/>
          <w:b/>
          <w:bCs/>
          <w:color w:val="1F3864"/>
          <w:sz w:val="52"/>
          <w:szCs w:val="52"/>
        </w:rPr>
        <w:t xml:space="preserve">El Principio de la Pirámide</w:t>
      </w:r>
    </w:p>
    <w:p>
      <w:pPr>
        <w:spacing w:after="260"/>
        <w:jc w:val="left"/>
      </w:pPr>
      <w:r>
        <w:rPr>
          <w:rFonts w:ascii="Calibri" w:cs="Calibri" w:eastAsia="Calibri" w:hAnsi="Calibri"/>
          <w:color w:val="8B4513"/>
          <w:sz w:val="28"/>
          <w:szCs w:val="28"/>
        </w:rPr>
        <w:t xml:space="preserve">Guía de trabajo para estructurar argumentos ante audiencias senior</w:t>
      </w:r>
    </w:p>
    <w:p>
      <w:pPr>
        <w:pBdr>
          <w:top w:val="single" w:color="1F3864" w:sz="6" w:space="8"/>
        </w:pBdr>
        <w:spacing w:after="200"/>
      </w:pPr>
      <w:r>
        <w:rPr>
          <w:rFonts w:ascii="Calibri" w:cs="Calibri" w:eastAsia="Calibri" w:hAnsi="Calibri"/>
          <w:i/>
          <w:iCs/>
          <w:color w:val="595959"/>
          <w:sz w:val="19"/>
          <w:szCs w:val="19"/>
        </w:rPr>
        <w:t xml:space="preserve">Método de Barbara Minto · Guía de aplicación con ejemplos de un área analítica · Agosto de 2026</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0. Cómo usar esta guía</w:t>
      </w:r>
    </w:p>
    <w:p>
      <w:pPr>
        <w:spacing w:after="140" w:before="0" w:line="280"/>
        <w:jc w:val="both"/>
      </w:pPr>
      <w:r>
        <w:rPr>
          <w:rFonts w:ascii="Calibri" w:cs="Calibri" w:eastAsia="Calibri" w:hAnsi="Calibri"/>
          <w:b w:val="false"/>
          <w:bCs w:val="false"/>
          <w:i w:val="false"/>
          <w:iCs w:val="false"/>
          <w:color w:val="000000"/>
          <w:sz w:val="22"/>
          <w:szCs w:val="22"/>
        </w:rPr>
        <w:t xml:space="preserve">Esta no es una síntesis del libro de Barbara Minto. Es una guía de aplicación independiente: explica el método con palabras propias y con ejemplos construidos sobre situaciones reales de un área analítica en un banco —comités de riesgo, memos, notas de modelo, escalamientos, conversaciones difíciles— porque el material original está escrito con ejemplos corporativos de otra época que dificultan la transferencia.</w:t>
      </w:r>
    </w:p>
    <w:p>
      <w:pPr>
        <w:spacing w:after="140" w:before="0" w:line="280"/>
        <w:jc w:val="both"/>
      </w:pPr>
      <w:r>
        <w:rPr>
          <w:rFonts w:ascii="Calibri" w:cs="Calibri" w:eastAsia="Calibri" w:hAnsi="Calibri"/>
          <w:b w:val="false"/>
          <w:bCs w:val="false"/>
          <w:i w:val="false"/>
          <w:iCs w:val="false"/>
          <w:color w:val="000000"/>
          <w:sz w:val="22"/>
          <w:szCs w:val="22"/>
        </w:rPr>
        <w:t xml:space="preserve">Está pensada para leerse por cuenta propia y también para trabajarse en equipo. La Parte I es el método; la Parte II lo baja a ocho situaciones concretas que se repiten en cualquier área que depende de otras para producir información y de un centro corporativo para decidir; la Parte III es práctica, incluida una agenda de taller si vas a enseñárselo a tu equipo.</w:t>
      </w:r>
    </w:p>
    <w:p>
      <w:pPr>
        <w:spacing w:after="140" w:before="0" w:line="280"/>
        <w:jc w:val="both"/>
      </w:pPr>
      <w:r>
        <w:rPr>
          <w:rFonts w:ascii="Calibri" w:cs="Calibri" w:eastAsia="Calibri" w:hAnsi="Calibri"/>
          <w:b w:val="false"/>
          <w:bCs w:val="false"/>
          <w:i w:val="false"/>
          <w:iCs w:val="false"/>
          <w:color w:val="000000"/>
          <w:sz w:val="22"/>
          <w:szCs w:val="22"/>
        </w:rPr>
        <w:t xml:space="preserve">El método no se aprende leyendo. Se aprende reescribiendo. La sección 24 es una lista de verificación de una página para tener abierta mientras escribes; la 25 es un plan de práctica de 30 días. Si solo vas a usar dos partes de esta guía, que sean esas.</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Regla que resume la guía completa: si tu lector tiene que llegar al párrafo cuatro para saber qué le estás pidiendo, ya perdiste. La conclusión va primero; todo lo demás existe para sostenerla.</w:t>
      </w:r>
    </w:p>
    <w:p>
      <w:pPr>
        <w:pStyle w:val="Heading1"/>
        <w:pBdr>
          <w:bottom w:val="single" w:color="D0D3D9" w:sz="6" w:space="6"/>
        </w:pBdr>
        <w:spacing w:after="170" w:before="380"/>
      </w:pPr>
      <w:r>
        <w:rPr>
          <w:rFonts w:ascii="Calibri" w:cs="Calibri" w:eastAsia="Calibri" w:hAnsi="Calibri"/>
          <w:b/>
          <w:bCs/>
          <w:color w:val="1F3864"/>
          <w:sz w:val="30"/>
          <w:szCs w:val="30"/>
        </w:rPr>
        <w:t xml:space="preserve">1. Contenido</w:t>
      </w:r>
    </w:p>
    <w:p>
      <w:pPr>
        <w:spacing w:after="70" w:before="0"/>
        <w:ind w:left="280"/>
      </w:pPr>
      <w:r>
        <w:rPr>
          <w:rFonts w:ascii="Calibri" w:cs="Calibri" w:eastAsia="Calibri" w:hAnsi="Calibri"/>
          <w:b w:val="false"/>
          <w:bCs w:val="false"/>
          <w:color w:val="2E5090"/>
          <w:sz w:val="21"/>
          <w:szCs w:val="21"/>
        </w:rPr>
        <w:t xml:space="preserve">0. Cómo usar esta guía</w:t>
      </w:r>
    </w:p>
    <w:p>
      <w:pPr>
        <w:spacing w:after="70" w:before="150"/>
        <w:ind w:left="0"/>
      </w:pPr>
      <w:r>
        <w:rPr>
          <w:rFonts w:ascii="Calibri" w:cs="Calibri" w:eastAsia="Calibri" w:hAnsi="Calibri"/>
          <w:b/>
          <w:bCs/>
          <w:color w:val="1F3864"/>
          <w:sz w:val="22"/>
          <w:szCs w:val="22"/>
        </w:rPr>
        <w:t xml:space="preserve">Parte I — El método</w:t>
      </w:r>
    </w:p>
    <w:p>
      <w:pPr>
        <w:spacing w:after="70" w:before="0"/>
        <w:ind w:left="280"/>
      </w:pPr>
      <w:r>
        <w:rPr>
          <w:rFonts w:ascii="Calibri" w:cs="Calibri" w:eastAsia="Calibri" w:hAnsi="Calibri"/>
          <w:b w:val="false"/>
          <w:bCs w:val="false"/>
          <w:color w:val="2E5090"/>
          <w:sz w:val="21"/>
          <w:szCs w:val="21"/>
        </w:rPr>
        <w:t xml:space="preserve">2. Por qué la pirámide: el argumento de fondo</w:t>
      </w:r>
    </w:p>
    <w:p>
      <w:pPr>
        <w:spacing w:after="70" w:before="0"/>
        <w:ind w:left="280"/>
      </w:pPr>
      <w:r>
        <w:rPr>
          <w:rFonts w:ascii="Calibri" w:cs="Calibri" w:eastAsia="Calibri" w:hAnsi="Calibri"/>
          <w:b w:val="false"/>
          <w:bCs w:val="false"/>
          <w:color w:val="2E5090"/>
          <w:sz w:val="21"/>
          <w:szCs w:val="21"/>
        </w:rPr>
        <w:t xml:space="preserve">3. Anatomía de la pirámide</w:t>
      </w:r>
    </w:p>
    <w:p>
      <w:pPr>
        <w:spacing w:after="70" w:before="0"/>
        <w:ind w:left="280"/>
      </w:pPr>
      <w:r>
        <w:rPr>
          <w:rFonts w:ascii="Calibri" w:cs="Calibri" w:eastAsia="Calibri" w:hAnsi="Calibri"/>
          <w:b w:val="false"/>
          <w:bCs w:val="false"/>
          <w:color w:val="2E5090"/>
          <w:sz w:val="21"/>
          <w:szCs w:val="21"/>
        </w:rPr>
        <w:t xml:space="preserve">4. MECE: la disciplina del agrupamiento</w:t>
      </w:r>
    </w:p>
    <w:p>
      <w:pPr>
        <w:spacing w:after="70" w:before="0"/>
        <w:ind w:left="280"/>
      </w:pPr>
      <w:r>
        <w:rPr>
          <w:rFonts w:ascii="Calibri" w:cs="Calibri" w:eastAsia="Calibri" w:hAnsi="Calibri"/>
          <w:b w:val="false"/>
          <w:bCs w:val="false"/>
          <w:color w:val="2E5090"/>
          <w:sz w:val="21"/>
          <w:szCs w:val="21"/>
        </w:rPr>
        <w:t xml:space="preserve">5. La introducción: el patrón SCQA</w:t>
      </w:r>
    </w:p>
    <w:p>
      <w:pPr>
        <w:spacing w:after="70" w:before="0"/>
        <w:ind w:left="280"/>
      </w:pPr>
      <w:r>
        <w:rPr>
          <w:rFonts w:ascii="Calibri" w:cs="Calibri" w:eastAsia="Calibri" w:hAnsi="Calibri"/>
          <w:b w:val="false"/>
          <w:bCs w:val="false"/>
          <w:color w:val="2E5090"/>
          <w:sz w:val="21"/>
          <w:szCs w:val="21"/>
        </w:rPr>
        <w:t xml:space="preserve">6. Construir la pirámide: dos caminos</w:t>
      </w:r>
    </w:p>
    <w:p>
      <w:pPr>
        <w:spacing w:after="70" w:before="0"/>
        <w:ind w:left="280"/>
      </w:pPr>
      <w:r>
        <w:rPr>
          <w:rFonts w:ascii="Calibri" w:cs="Calibri" w:eastAsia="Calibri" w:hAnsi="Calibri"/>
          <w:b w:val="false"/>
          <w:bCs w:val="false"/>
          <w:color w:val="2E5090"/>
          <w:sz w:val="21"/>
          <w:szCs w:val="21"/>
        </w:rPr>
        <w:t xml:space="preserve">7. Ordenar las ideas dentro de un grupo</w:t>
      </w:r>
    </w:p>
    <w:p>
      <w:pPr>
        <w:spacing w:after="70" w:before="0"/>
        <w:ind w:left="280"/>
      </w:pPr>
      <w:r>
        <w:rPr>
          <w:rFonts w:ascii="Calibri" w:cs="Calibri" w:eastAsia="Calibri" w:hAnsi="Calibri"/>
          <w:b w:val="false"/>
          <w:bCs w:val="false"/>
          <w:color w:val="2E5090"/>
          <w:sz w:val="21"/>
          <w:szCs w:val="21"/>
        </w:rPr>
        <w:t xml:space="preserve">8. Resumir grupos: donde se pierde la mayoría de los documentos</w:t>
      </w:r>
    </w:p>
    <w:p>
      <w:pPr>
        <w:spacing w:after="70" w:before="0"/>
        <w:ind w:left="280"/>
      </w:pPr>
      <w:r>
        <w:rPr>
          <w:rFonts w:ascii="Calibri" w:cs="Calibri" w:eastAsia="Calibri" w:hAnsi="Calibri"/>
          <w:b w:val="false"/>
          <w:bCs w:val="false"/>
          <w:color w:val="2E5090"/>
          <w:sz w:val="21"/>
          <w:szCs w:val="21"/>
        </w:rPr>
        <w:t xml:space="preserve">9. Deducción e inducción</w:t>
      </w:r>
    </w:p>
    <w:p>
      <w:pPr>
        <w:spacing w:after="70" w:before="0"/>
        <w:ind w:left="280"/>
      </w:pPr>
      <w:r>
        <w:rPr>
          <w:rFonts w:ascii="Calibri" w:cs="Calibri" w:eastAsia="Calibri" w:hAnsi="Calibri"/>
          <w:b w:val="false"/>
          <w:bCs w:val="false"/>
          <w:color w:val="2E5090"/>
          <w:sz w:val="21"/>
          <w:szCs w:val="21"/>
        </w:rPr>
        <w:t xml:space="preserve">10. Antes de estructurar: definir bien el problema</w:t>
      </w:r>
    </w:p>
    <w:p>
      <w:pPr>
        <w:spacing w:after="70" w:before="0"/>
        <w:ind w:left="280"/>
      </w:pPr>
      <w:r>
        <w:rPr>
          <w:rFonts w:ascii="Calibri" w:cs="Calibri" w:eastAsia="Calibri" w:hAnsi="Calibri"/>
          <w:b w:val="false"/>
          <w:bCs w:val="false"/>
          <w:color w:val="2E5090"/>
          <w:sz w:val="21"/>
          <w:szCs w:val="21"/>
        </w:rPr>
        <w:t xml:space="preserve">11. Bajar la pirámide a la página</w:t>
      </w:r>
    </w:p>
    <w:p>
      <w:pPr>
        <w:spacing w:after="70" w:before="0"/>
        <w:ind w:left="280"/>
      </w:pPr>
      <w:r>
        <w:rPr>
          <w:rFonts w:ascii="Calibri" w:cs="Calibri" w:eastAsia="Calibri" w:hAnsi="Calibri"/>
          <w:b w:val="false"/>
          <w:bCs w:val="false"/>
          <w:color w:val="2E5090"/>
          <w:sz w:val="21"/>
          <w:szCs w:val="21"/>
        </w:rPr>
        <w:t xml:space="preserve">12. La pirámide en presentaciones</w:t>
      </w:r>
    </w:p>
    <w:p>
      <w:pPr>
        <w:spacing w:after="70" w:before="0"/>
        <w:ind w:left="280"/>
      </w:pPr>
      <w:r>
        <w:rPr>
          <w:rFonts w:ascii="Calibri" w:cs="Calibri" w:eastAsia="Calibri" w:hAnsi="Calibri"/>
          <w:b w:val="false"/>
          <w:bCs w:val="false"/>
          <w:color w:val="2E5090"/>
          <w:sz w:val="21"/>
          <w:szCs w:val="21"/>
        </w:rPr>
        <w:t xml:space="preserve">13. Adaptación al entorno bancario y regulatorio</w:t>
      </w:r>
    </w:p>
    <w:p>
      <w:pPr>
        <w:spacing w:after="70" w:before="150"/>
        <w:ind w:left="0"/>
      </w:pPr>
      <w:r>
        <w:rPr>
          <w:rFonts w:ascii="Calibri" w:cs="Calibri" w:eastAsia="Calibri" w:hAnsi="Calibri"/>
          <w:b/>
          <w:bCs/>
          <w:color w:val="1F3864"/>
          <w:sz w:val="22"/>
          <w:szCs w:val="22"/>
        </w:rPr>
        <w:t xml:space="preserve">Parte II — Casos aplicados</w:t>
      </w:r>
    </w:p>
    <w:p>
      <w:pPr>
        <w:spacing w:after="70" w:before="0"/>
        <w:ind w:left="280"/>
      </w:pPr>
      <w:r>
        <w:rPr>
          <w:rFonts w:ascii="Calibri" w:cs="Calibri" w:eastAsia="Calibri" w:hAnsi="Calibri"/>
          <w:b w:val="false"/>
          <w:bCs w:val="false"/>
          <w:color w:val="2E5090"/>
          <w:sz w:val="21"/>
          <w:szCs w:val="21"/>
        </w:rPr>
        <w:t xml:space="preserve">14. Tres ejemplos trabajados</w:t>
      </w:r>
    </w:p>
    <w:p>
      <w:pPr>
        <w:spacing w:after="70" w:before="0"/>
        <w:ind w:left="280"/>
      </w:pPr>
      <w:r>
        <w:rPr>
          <w:rFonts w:ascii="Calibri" w:cs="Calibri" w:eastAsia="Calibri" w:hAnsi="Calibri"/>
          <w:b w:val="false"/>
          <w:bCs w:val="false"/>
          <w:color w:val="2E5090"/>
          <w:sz w:val="21"/>
          <w:szCs w:val="21"/>
        </w:rPr>
        <w:t xml:space="preserve">15. Calidad de información cuando el dueño del dato es otro</w:t>
      </w:r>
    </w:p>
    <w:p>
      <w:pPr>
        <w:spacing w:after="70" w:before="0"/>
        <w:ind w:left="280"/>
      </w:pPr>
      <w:r>
        <w:rPr>
          <w:rFonts w:ascii="Calibri" w:cs="Calibri" w:eastAsia="Calibri" w:hAnsi="Calibri"/>
          <w:b w:val="false"/>
          <w:bCs w:val="false"/>
          <w:color w:val="2E5090"/>
          <w:sz w:val="21"/>
          <w:szCs w:val="21"/>
        </w:rPr>
        <w:t xml:space="preserve">16. Conseguir una decisión en una organización global centralizada</w:t>
      </w:r>
    </w:p>
    <w:p>
      <w:pPr>
        <w:spacing w:after="70" w:before="0"/>
        <w:ind w:left="280"/>
      </w:pPr>
      <w:r>
        <w:rPr>
          <w:rFonts w:ascii="Calibri" w:cs="Calibri" w:eastAsia="Calibri" w:hAnsi="Calibri"/>
          <w:b w:val="false"/>
          <w:bCs w:val="false"/>
          <w:color w:val="2E5090"/>
          <w:sz w:val="21"/>
          <w:szCs w:val="21"/>
        </w:rPr>
        <w:t xml:space="preserve">17. Armar un business case para conseguir presupuesto</w:t>
      </w:r>
    </w:p>
    <w:p>
      <w:pPr>
        <w:spacing w:after="70" w:before="0"/>
        <w:ind w:left="280"/>
      </w:pPr>
      <w:r>
        <w:rPr>
          <w:rFonts w:ascii="Calibri" w:cs="Calibri" w:eastAsia="Calibri" w:hAnsi="Calibri"/>
          <w:b w:val="false"/>
          <w:bCs w:val="false"/>
          <w:color w:val="2E5090"/>
          <w:sz w:val="21"/>
          <w:szCs w:val="21"/>
        </w:rPr>
        <w:t xml:space="preserve">18. Conversación difícil hacia abajo: pedir a alguien de tu equipo que cambie una actitud</w:t>
      </w:r>
    </w:p>
    <w:p>
      <w:pPr>
        <w:spacing w:after="70" w:before="0"/>
        <w:ind w:left="280"/>
      </w:pPr>
      <w:r>
        <w:rPr>
          <w:rFonts w:ascii="Calibri" w:cs="Calibri" w:eastAsia="Calibri" w:hAnsi="Calibri"/>
          <w:b w:val="false"/>
          <w:bCs w:val="false"/>
          <w:color w:val="2E5090"/>
          <w:sz w:val="21"/>
          <w:szCs w:val="21"/>
        </w:rPr>
        <w:t xml:space="preserve">19. Conversación difícil hacia arriba: cuando la conducta problemática es la de tu jefe</w:t>
      </w:r>
    </w:p>
    <w:p>
      <w:pPr>
        <w:spacing w:after="70" w:before="0"/>
        <w:ind w:left="280"/>
      </w:pPr>
      <w:r>
        <w:rPr>
          <w:rFonts w:ascii="Calibri" w:cs="Calibri" w:eastAsia="Calibri" w:hAnsi="Calibri"/>
          <w:b w:val="false"/>
          <w:bCs w:val="false"/>
          <w:color w:val="2E5090"/>
          <w:sz w:val="21"/>
          <w:szCs w:val="21"/>
        </w:rPr>
        <w:t xml:space="preserve">20. Estructurar un no</w:t>
      </w:r>
    </w:p>
    <w:p>
      <w:pPr>
        <w:spacing w:after="70" w:before="0"/>
        <w:ind w:left="280"/>
      </w:pPr>
      <w:r>
        <w:rPr>
          <w:rFonts w:ascii="Calibri" w:cs="Calibri" w:eastAsia="Calibri" w:hAnsi="Calibri"/>
          <w:b w:val="false"/>
          <w:bCs w:val="false"/>
          <w:color w:val="2E5090"/>
          <w:sz w:val="21"/>
          <w:szCs w:val="21"/>
        </w:rPr>
        <w:t xml:space="preserve">21. Traspasar un proyecto o un sistema</w:t>
      </w:r>
    </w:p>
    <w:p>
      <w:pPr>
        <w:spacing w:after="70" w:before="0"/>
        <w:ind w:left="280"/>
      </w:pPr>
      <w:r>
        <w:rPr>
          <w:rFonts w:ascii="Calibri" w:cs="Calibri" w:eastAsia="Calibri" w:hAnsi="Calibri"/>
          <w:b w:val="false"/>
          <w:bCs w:val="false"/>
          <w:color w:val="2E5090"/>
          <w:sz w:val="21"/>
          <w:szCs w:val="21"/>
        </w:rPr>
        <w:t xml:space="preserve">22. Explicar un tema técnico de forma aterrizada</w:t>
      </w:r>
    </w:p>
    <w:p>
      <w:pPr>
        <w:spacing w:after="70" w:before="150"/>
        <w:ind w:left="0"/>
      </w:pPr>
      <w:r>
        <w:rPr>
          <w:rFonts w:ascii="Calibri" w:cs="Calibri" w:eastAsia="Calibri" w:hAnsi="Calibri"/>
          <w:b/>
          <w:bCs/>
          <w:color w:val="1F3864"/>
          <w:sz w:val="22"/>
          <w:szCs w:val="22"/>
        </w:rPr>
        <w:t xml:space="preserve">Parte III — Práctica</w:t>
      </w:r>
    </w:p>
    <w:p>
      <w:pPr>
        <w:spacing w:after="70" w:before="0"/>
        <w:ind w:left="280"/>
      </w:pPr>
      <w:r>
        <w:rPr>
          <w:rFonts w:ascii="Calibri" w:cs="Calibri" w:eastAsia="Calibri" w:hAnsi="Calibri"/>
          <w:b w:val="false"/>
          <w:bCs w:val="false"/>
          <w:color w:val="2E5090"/>
          <w:sz w:val="21"/>
          <w:szCs w:val="21"/>
        </w:rPr>
        <w:t xml:space="preserve">23. Errores frecuentes del perfil cuantitativo</w:t>
      </w:r>
    </w:p>
    <w:p>
      <w:pPr>
        <w:spacing w:after="70" w:before="0"/>
        <w:ind w:left="280"/>
      </w:pPr>
      <w:r>
        <w:rPr>
          <w:rFonts w:ascii="Calibri" w:cs="Calibri" w:eastAsia="Calibri" w:hAnsi="Calibri"/>
          <w:b w:val="false"/>
          <w:bCs w:val="false"/>
          <w:color w:val="2E5090"/>
          <w:sz w:val="21"/>
          <w:szCs w:val="21"/>
        </w:rPr>
        <w:t xml:space="preserve">24. Lista de verificación</w:t>
      </w:r>
    </w:p>
    <w:p>
      <w:pPr>
        <w:spacing w:after="70" w:before="0"/>
        <w:ind w:left="280"/>
      </w:pPr>
      <w:r>
        <w:rPr>
          <w:rFonts w:ascii="Calibri" w:cs="Calibri" w:eastAsia="Calibri" w:hAnsi="Calibri"/>
          <w:b w:val="false"/>
          <w:bCs w:val="false"/>
          <w:color w:val="2E5090"/>
          <w:sz w:val="21"/>
          <w:szCs w:val="21"/>
        </w:rPr>
        <w:t xml:space="preserve">25. Plan de práctica de 30 días</w:t>
      </w:r>
    </w:p>
    <w:p>
      <w:pPr>
        <w:spacing w:after="70" w:before="0"/>
        <w:ind w:left="280"/>
      </w:pPr>
      <w:r>
        <w:rPr>
          <w:rFonts w:ascii="Calibri" w:cs="Calibri" w:eastAsia="Calibri" w:hAnsi="Calibri"/>
          <w:b w:val="false"/>
          <w:bCs w:val="false"/>
          <w:color w:val="2E5090"/>
          <w:sz w:val="21"/>
          <w:szCs w:val="21"/>
        </w:rPr>
        <w:t xml:space="preserve">26. Cómo dar esto como taller de equipo</w:t>
      </w:r>
    </w:p>
    <w:p>
      <w:pPr>
        <w:spacing w:after="70" w:before="0"/>
        <w:ind w:left="280"/>
      </w:pPr>
      <w:r>
        <w:rPr>
          <w:rFonts w:ascii="Calibri" w:cs="Calibri" w:eastAsia="Calibri" w:hAnsi="Calibri"/>
          <w:b w:val="false"/>
          <w:bCs w:val="false"/>
          <w:color w:val="2E5090"/>
          <w:sz w:val="21"/>
          <w:szCs w:val="21"/>
        </w:rPr>
        <w:t xml:space="preserve">27. Qué no resuelve este método</w:t>
      </w:r>
    </w:p>
    <w:p>
      <w:pPr>
        <w:spacing w:after="70" w:before="0"/>
        <w:ind w:left="280"/>
      </w:pPr>
      <w:r>
        <w:rPr>
          <w:rFonts w:ascii="Calibri" w:cs="Calibri" w:eastAsia="Calibri" w:hAnsi="Calibri"/>
          <w:b w:val="false"/>
          <w:bCs w:val="false"/>
          <w:color w:val="2E5090"/>
          <w:sz w:val="21"/>
          <w:szCs w:val="21"/>
        </w:rPr>
        <w:t xml:space="preserve">28. Glosario de siglas</w:t>
      </w:r>
    </w:p>
    <w:p>
      <w:pPr>
        <w:spacing w:after="120"/>
      </w:pPr>
      <w:r>
        <w:rPr>
          <w:sz w:val="10"/>
          <w:szCs w:val="10"/>
        </w:rPr>
        <w:t xml:space="preserve"/>
      </w:r>
    </w:p>
    <w:p>
      <w:r>
        <w:br w:type="page"/>
      </w:r>
    </w:p>
    <w:p>
      <w:pPr>
        <w:spacing w:after="60" w:before="900"/>
      </w:pPr>
      <w:r>
        <w:rPr>
          <w:rFonts w:ascii="Calibri" w:cs="Calibri" w:eastAsia="Calibri" w:hAnsi="Calibri"/>
          <w:b/>
          <w:bCs/>
          <w:color w:val="8B4513"/>
          <w:spacing w:val="60"/>
          <w:sz w:val="20"/>
          <w:szCs w:val="20"/>
        </w:rPr>
        <w:t xml:space="preserve">PARTE I</w:t>
      </w:r>
    </w:p>
    <w:p>
      <w:pPr>
        <w:spacing w:after="120"/>
      </w:pPr>
      <w:r>
        <w:rPr>
          <w:rFonts w:ascii="Calibri" w:cs="Calibri" w:eastAsia="Calibri" w:hAnsi="Calibri"/>
          <w:b/>
          <w:bCs/>
          <w:color w:val="1F3864"/>
          <w:sz w:val="44"/>
          <w:szCs w:val="44"/>
        </w:rPr>
        <w:t xml:space="preserve">El método</w:t>
      </w:r>
    </w:p>
    <w:p>
      <w:pPr>
        <w:pBdr>
          <w:top w:val="single" w:color="1F3864" w:sz="6" w:space="8"/>
        </w:pBdr>
        <w:spacing w:after="200"/>
      </w:pPr>
      <w:r>
        <w:rPr>
          <w:rFonts w:ascii="Calibri" w:cs="Calibri" w:eastAsia="Calibri" w:hAnsi="Calibri"/>
          <w:i/>
          <w:iCs/>
          <w:color w:val="595959"/>
          <w:sz w:val="22"/>
          <w:szCs w:val="22"/>
        </w:rPr>
        <w:t xml:space="preserve">Cómo se construye un argumento que se entiende a la primera.</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2. Por qué la pirámide: el argumento de fondo</w:t>
      </w:r>
    </w:p>
    <w:p>
      <w:pPr>
        <w:pStyle w:val="Heading2"/>
        <w:spacing w:after="120" w:before="260"/>
      </w:pPr>
      <w:r>
        <w:rPr>
          <w:rFonts w:ascii="Calibri" w:cs="Calibri" w:eastAsia="Calibri" w:hAnsi="Calibri"/>
          <w:b/>
          <w:bCs/>
          <w:color w:val="2E5090"/>
          <w:sz w:val="24"/>
          <w:szCs w:val="24"/>
        </w:rPr>
        <w:t xml:space="preserve">2.1 El lector agrupa, quieras tú o no</w:t>
      </w:r>
    </w:p>
    <w:p>
      <w:pPr>
        <w:spacing w:after="140" w:before="0" w:line="280"/>
        <w:jc w:val="both"/>
      </w:pPr>
      <w:r>
        <w:rPr>
          <w:rFonts w:ascii="Calibri" w:cs="Calibri" w:eastAsia="Calibri" w:hAnsi="Calibri"/>
          <w:b w:val="false"/>
          <w:bCs w:val="false"/>
          <w:i w:val="false"/>
          <w:iCs w:val="false"/>
          <w:color w:val="000000"/>
          <w:sz w:val="22"/>
          <w:szCs w:val="22"/>
        </w:rPr>
        <w:t xml:space="preserve">La mente humana no puede sostener muchos elementos sueltos a la vez. Frente a una lista de nueve hallazgos sin jerarquía, el lector empieza a inventar categorías propias para poder retenerlos: los agrupa por tema, por orden de aparición, por lo que más le preocupa a él. Ese agrupamiento improvisado casi nunca coincide con el tuyo.</w:t>
      </w:r>
    </w:p>
    <w:p>
      <w:pPr>
        <w:spacing w:after="140" w:before="0" w:line="280"/>
        <w:jc w:val="both"/>
      </w:pPr>
      <w:r>
        <w:rPr>
          <w:rFonts w:ascii="Calibri" w:cs="Calibri" w:eastAsia="Calibri" w:hAnsi="Calibri"/>
          <w:b w:val="false"/>
          <w:bCs w:val="false"/>
          <w:i w:val="false"/>
          <w:iCs w:val="false"/>
          <w:color w:val="000000"/>
          <w:sz w:val="22"/>
          <w:szCs w:val="22"/>
        </w:rPr>
        <w:t xml:space="preserve">De ahí la tesis central: si tú no impones la estructura, el lector impone una peor. La pirámide no es un capricho estilístico; es una manera de trasladar el costo del ordenamiento del lector al autor, que es quien tiene el contexto para hacerlo bien.</w:t>
      </w:r>
    </w:p>
    <w:p>
      <w:pPr>
        <w:pStyle w:val="Heading2"/>
        <w:spacing w:after="120" w:before="260"/>
      </w:pPr>
      <w:r>
        <w:rPr>
          <w:rFonts w:ascii="Calibri" w:cs="Calibri" w:eastAsia="Calibri" w:hAnsi="Calibri"/>
          <w:b/>
          <w:bCs/>
          <w:color w:val="2E5090"/>
          <w:sz w:val="24"/>
          <w:szCs w:val="24"/>
        </w:rPr>
        <w:t xml:space="preserve">2.2 El lector lee para responder una pregunta</w:t>
      </w:r>
    </w:p>
    <w:p>
      <w:pPr>
        <w:spacing w:after="140" w:before="0" w:line="280"/>
        <w:jc w:val="both"/>
      </w:pPr>
      <w:r>
        <w:rPr>
          <w:rFonts w:ascii="Calibri" w:cs="Calibri" w:eastAsia="Calibri" w:hAnsi="Calibri"/>
          <w:b w:val="false"/>
          <w:bCs w:val="false"/>
          <w:i w:val="false"/>
          <w:iCs w:val="false"/>
          <w:color w:val="000000"/>
          <w:sz w:val="22"/>
          <w:szCs w:val="22"/>
        </w:rPr>
        <w:t xml:space="preserve">Nadie lee un memo por curiosidad. Lo lee porque tiene una pregunta abierta —¿apruebo esto?, ¿me preocupa?, ¿qué hago?— y busca la respuesta. Un documento bien estructurado se lee como un diálogo: la idea de arriba provoca una pregunta en la cabeza del lector, y el nivel inmediato inferior la responde.</w:t>
      </w:r>
    </w:p>
    <w:p>
      <w:pPr>
        <w:spacing w:after="140" w:before="0" w:line="280"/>
        <w:jc w:val="both"/>
      </w:pPr>
      <w:r>
        <w:rPr>
          <w:rFonts w:ascii="Calibri" w:cs="Calibri" w:eastAsia="Calibri" w:hAnsi="Calibri"/>
          <w:b w:val="false"/>
          <w:bCs w:val="false"/>
          <w:i w:val="false"/>
          <w:iCs w:val="false"/>
          <w:color w:val="000000"/>
          <w:sz w:val="22"/>
          <w:szCs w:val="22"/>
        </w:rPr>
        <w:t xml:space="preserve">Cuando ese diálogo funciona, el lector puede detenerse en cualquier nivel de profundidad y quedarse con una versión completa y coherente del argumento. Un director lee los primeros tres renglones y ya puede decidir. Un analista baja tres niveles y encuentra el detalle. El mismo documento sirve a ambos.</w:t>
      </w:r>
    </w:p>
    <w:p>
      <w:pPr>
        <w:pStyle w:val="Heading2"/>
        <w:spacing w:after="120" w:before="260"/>
      </w:pPr>
      <w:r>
        <w:rPr>
          <w:rFonts w:ascii="Calibri" w:cs="Calibri" w:eastAsia="Calibri" w:hAnsi="Calibri"/>
          <w:b/>
          <w:bCs/>
          <w:color w:val="2E5090"/>
          <w:sz w:val="24"/>
          <w:szCs w:val="24"/>
        </w:rPr>
        <w:t xml:space="preserve">2.3 Qué gana específicamente un perfil cuantitativo</w:t>
      </w:r>
    </w:p>
    <w:p>
      <w:pPr>
        <w:spacing w:after="140" w:before="0" w:line="280"/>
        <w:jc w:val="both"/>
      </w:pPr>
      <w:r>
        <w:rPr>
          <w:rFonts w:ascii="Calibri" w:cs="Calibri" w:eastAsia="Calibri" w:hAnsi="Calibri"/>
          <w:b w:val="false"/>
          <w:bCs w:val="false"/>
          <w:i w:val="false"/>
          <w:iCs w:val="false"/>
          <w:color w:val="000000"/>
          <w:sz w:val="22"/>
          <w:szCs w:val="22"/>
        </w:rPr>
        <w:t xml:space="preserve">El riesgo típico del analista técnico no es la falta de rigor: es reproducir en el documento el orden en que hizo el trabajo. Primero los datos, luego la metodología, luego los resultados, y la conclusión al final —el orden de un paper, o de una tesis. Ese orden es correcto para demostrar y pésimo para decidir.</w:t>
      </w:r>
    </w:p>
    <w:p>
      <w:pPr>
        <w:spacing w:after="140" w:before="0" w:line="280"/>
        <w:jc w:val="both"/>
      </w:pPr>
      <w:r>
        <w:rPr>
          <w:rFonts w:ascii="Calibri" w:cs="Calibri" w:eastAsia="Calibri" w:hAnsi="Calibri"/>
          <w:b w:val="false"/>
          <w:bCs w:val="false"/>
          <w:i w:val="false"/>
          <w:iCs w:val="false"/>
          <w:color w:val="000000"/>
          <w:sz w:val="22"/>
          <w:szCs w:val="22"/>
        </w:rPr>
        <w:t xml:space="preserve">La pirámide invierte esa secuencia sin sacrificar rigor. La conclusión encabeza; el rigor sigue estando, pero organizado como soporte de la conclusión y no como camino hacia ella. La diferencia práctica es que en un comité de veinte minutos alcanzas a decir lo que importa.</w:t>
      </w:r>
    </w:p>
    <w:p>
      <w:pPr>
        <w:pStyle w:val="Heading1"/>
        <w:pBdr>
          <w:bottom w:val="single" w:color="D0D3D9" w:sz="6" w:space="6"/>
        </w:pBdr>
        <w:spacing w:after="170" w:before="380"/>
      </w:pPr>
      <w:r>
        <w:rPr>
          <w:rFonts w:ascii="Calibri" w:cs="Calibri" w:eastAsia="Calibri" w:hAnsi="Calibri"/>
          <w:b/>
          <w:bCs/>
          <w:color w:val="1F3864"/>
          <w:sz w:val="30"/>
          <w:szCs w:val="30"/>
        </w:rPr>
        <w:t xml:space="preserve">3. Anatomía de la pirámide</w:t>
      </w:r>
    </w:p>
    <w:p>
      <w:pPr>
        <w:spacing w:after="140" w:before="0" w:line="280"/>
        <w:jc w:val="both"/>
      </w:pPr>
      <w:r>
        <w:rPr>
          <w:rFonts w:ascii="Calibri" w:cs="Calibri" w:eastAsia="Calibri" w:hAnsi="Calibri"/>
          <w:b w:val="false"/>
          <w:bCs w:val="false"/>
          <w:i w:val="false"/>
          <w:iCs w:val="false"/>
          <w:color w:val="000000"/>
          <w:sz w:val="22"/>
          <w:szCs w:val="22"/>
        </w:rPr>
        <w:t xml:space="preserve">Una pirámide bien construida cumple tres reglas simultáneamente. Las tres se verifican de manera distinta, así que conviene tenerlas separadas.</w:t>
      </w:r>
    </w:p>
    <w:p>
      <w:pPr>
        <w:pStyle w:val="Heading2"/>
        <w:spacing w:after="120" w:before="260"/>
      </w:pPr>
      <w:r>
        <w:rPr>
          <w:rFonts w:ascii="Calibri" w:cs="Calibri" w:eastAsia="Calibri" w:hAnsi="Calibri"/>
          <w:b/>
          <w:bCs/>
          <w:color w:val="2E5090"/>
          <w:sz w:val="24"/>
          <w:szCs w:val="24"/>
        </w:rPr>
        <w:t xml:space="preserve">3.1 Regla vertical: cada idea resume las que están debajo</w:t>
      </w:r>
    </w:p>
    <w:p>
      <w:pPr>
        <w:spacing w:after="140" w:before="0" w:line="280"/>
        <w:jc w:val="both"/>
      </w:pPr>
      <w:r>
        <w:rPr>
          <w:rFonts w:ascii="Calibri" w:cs="Calibri" w:eastAsia="Calibri" w:hAnsi="Calibri"/>
          <w:b w:val="false"/>
          <w:bCs w:val="false"/>
          <w:i w:val="false"/>
          <w:iCs w:val="false"/>
          <w:color w:val="000000"/>
          <w:sz w:val="22"/>
          <w:szCs w:val="22"/>
        </w:rPr>
        <w:t xml:space="preserve">La idea de un nivel superior debe ser el resumen de las ideas del nivel inmediato inferior. No su título, no su categoría: su resumen. Si borraras el nivel inferior completo, la idea superior debería seguir comunicando el mensaje.</w:t>
      </w:r>
    </w:p>
    <w:p>
      <w:pPr>
        <w:pBdr>
          <w:left w:val="single" w:color="8B4513" w:sz="12" w:space="12"/>
        </w:pBdr>
        <w:spacing w:after="40" w:before="100" w:line="260"/>
        <w:ind w:left="340"/>
      </w:pPr>
      <w:r>
        <w:rPr>
          <w:rFonts w:ascii="Consolas" w:cs="Consolas" w:eastAsia="Consolas" w:hAnsi="Consolas"/>
          <w:color w:val="2B2B2B"/>
          <w:sz w:val="19"/>
          <w:szCs w:val="19"/>
        </w:rPr>
        <w:t xml:space="preserve">Falla: "Identificamos tres problemas en el portafolio."</w:t>
      </w:r>
    </w:p>
    <w:p>
      <w:pPr>
        <w:pBdr>
          <w:left w:val="single" w:color="8B4513" w:sz="12" w:space="12"/>
        </w:pBdr>
        <w:spacing w:after="160" w:before="0" w:line="260"/>
        <w:ind w:left="340"/>
      </w:pPr>
      <w:r>
        <w:rPr>
          <w:rFonts w:ascii="Consolas" w:cs="Consolas" w:eastAsia="Consolas" w:hAnsi="Consolas"/>
          <w:color w:val="2B2B2B"/>
          <w:sz w:val="19"/>
          <w:szCs w:val="19"/>
        </w:rPr>
        <w:t xml:space="preserve">Correcto: "El deterioro del portafolio se concentra en un solo sector y es reversible con ajustes de límite."</w:t>
      </w:r>
    </w:p>
    <w:p>
      <w:pPr>
        <w:spacing w:after="140" w:before="0" w:line="280"/>
        <w:jc w:val="both"/>
      </w:pPr>
      <w:r>
        <w:rPr>
          <w:rFonts w:ascii="Calibri" w:cs="Calibri" w:eastAsia="Calibri" w:hAnsi="Calibri"/>
          <w:b w:val="false"/>
          <w:bCs w:val="false"/>
          <w:i w:val="false"/>
          <w:iCs w:val="false"/>
          <w:color w:val="000000"/>
          <w:sz w:val="22"/>
          <w:szCs w:val="22"/>
        </w:rPr>
        <w:t xml:space="preserve">La primera versión obliga a leer los tres puntos para saber algo. La segunda ya dice el mensaje; los tres puntos ahora sirven para sustentarlo, que es su función real.</w:t>
      </w:r>
    </w:p>
    <w:p>
      <w:pPr>
        <w:pStyle w:val="Heading2"/>
        <w:spacing w:after="120" w:before="260"/>
      </w:pPr>
      <w:r>
        <w:rPr>
          <w:rFonts w:ascii="Calibri" w:cs="Calibri" w:eastAsia="Calibri" w:hAnsi="Calibri"/>
          <w:b/>
          <w:bCs/>
          <w:color w:val="2E5090"/>
          <w:sz w:val="24"/>
          <w:szCs w:val="24"/>
        </w:rPr>
        <w:t xml:space="preserve">3.2 Regla horizontal: las ideas de un mismo nivel son del mismo tipo</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que cuelgan de una misma idea deben pertenecer a una misma categoría lógica: todas razones, o todos pasos, o todos problemas, o todos criterios. Mezclar una razón con un paso y con una recomendación produce una lista que se siente desordenada aunque cada elemento sea verdadero.</w:t>
      </w:r>
    </w:p>
    <w:p>
      <w:pPr>
        <w:spacing w:after="140" w:before="0" w:line="280"/>
        <w:jc w:val="both"/>
      </w:pPr>
      <w:r>
        <w:rPr>
          <w:rFonts w:ascii="Calibri" w:cs="Calibri" w:eastAsia="Calibri" w:hAnsi="Calibri"/>
          <w:b w:val="false"/>
          <w:bCs w:val="false"/>
          <w:i w:val="false"/>
          <w:iCs w:val="false"/>
          <w:color w:val="000000"/>
          <w:sz w:val="22"/>
          <w:szCs w:val="22"/>
        </w:rPr>
        <w:t xml:space="preserve">Prueba rápida: intenta ponerle un sustantivo plural al grupo. "Tres razones", "cuatro pasos", "dos restricciones". Si el único sustantivo que funciona es "cosas" o "puntos", el grupo no es homogéneo.</w:t>
      </w:r>
    </w:p>
    <w:p>
      <w:pPr>
        <w:pStyle w:val="Heading2"/>
        <w:spacing w:after="120" w:before="260"/>
      </w:pPr>
      <w:r>
        <w:rPr>
          <w:rFonts w:ascii="Calibri" w:cs="Calibri" w:eastAsia="Calibri" w:hAnsi="Calibri"/>
          <w:b/>
          <w:bCs/>
          <w:color w:val="2E5090"/>
          <w:sz w:val="24"/>
          <w:szCs w:val="24"/>
        </w:rPr>
        <w:t xml:space="preserve">3.3 Regla de orden: el grupo sigue una lógica explícita</w:t>
      </w:r>
    </w:p>
    <w:p>
      <w:pPr>
        <w:spacing w:after="140" w:before="0" w:line="280"/>
        <w:jc w:val="both"/>
      </w:pPr>
      <w:r>
        <w:rPr>
          <w:rFonts w:ascii="Calibri" w:cs="Calibri" w:eastAsia="Calibri" w:hAnsi="Calibri"/>
          <w:b w:val="false"/>
          <w:bCs w:val="false"/>
          <w:i w:val="false"/>
          <w:iCs w:val="false"/>
          <w:color w:val="000000"/>
          <w:sz w:val="22"/>
          <w:szCs w:val="22"/>
        </w:rPr>
        <w:t xml:space="preserve">Dentro de cada grupo, el orden no puede ser arbitrario. Solo hay tres órdenes legítimos, y cada uno delata el tipo de análisis que hiciste. La sección 7 los desarrolla.</w:t>
      </w:r>
    </w:p>
    <w:p>
      <w:pPr>
        <w:pStyle w:val="Heading1"/>
        <w:pBdr>
          <w:bottom w:val="single" w:color="D0D3D9" w:sz="6" w:space="6"/>
        </w:pBdr>
        <w:spacing w:after="170" w:before="380"/>
      </w:pPr>
      <w:r>
        <w:rPr>
          <w:rFonts w:ascii="Calibri" w:cs="Calibri" w:eastAsia="Calibri" w:hAnsi="Calibri"/>
          <w:b/>
          <w:bCs/>
          <w:color w:val="1F3864"/>
          <w:sz w:val="30"/>
          <w:szCs w:val="30"/>
        </w:rPr>
        <w:t xml:space="preserve">4. MECE: la disciplina del agrupamiento</w:t>
      </w:r>
    </w:p>
    <w:p>
      <w:pPr>
        <w:spacing w:after="140" w:before="0" w:line="280"/>
        <w:jc w:val="both"/>
      </w:pPr>
      <w:r>
        <w:rPr>
          <w:rFonts w:ascii="Calibri" w:cs="Calibri" w:eastAsia="Calibri" w:hAnsi="Calibri"/>
          <w:b w:val="false"/>
          <w:bCs w:val="false"/>
          <w:i w:val="false"/>
          <w:iCs w:val="false"/>
          <w:color w:val="000000"/>
          <w:sz w:val="22"/>
          <w:szCs w:val="22"/>
        </w:rPr>
        <w:t xml:space="preserve">MECE es la sigla de Mutually Exclusive, Collectively Exhaustive (mutuamente excluyente, colectivamente exhaustivo). Un grupo de ideas es MECE cuando no se traslapan entre sí y, juntas, cubren todo el espacio relevante.</w:t>
      </w:r>
    </w:p>
    <w:p>
      <w:pPr>
        <w:pStyle w:val="Heading2"/>
        <w:spacing w:after="120" w:before="260"/>
      </w:pPr>
      <w:r>
        <w:rPr>
          <w:rFonts w:ascii="Calibri" w:cs="Calibri" w:eastAsia="Calibri" w:hAnsi="Calibri"/>
          <w:b/>
          <w:bCs/>
          <w:color w:val="2E5090"/>
          <w:sz w:val="24"/>
          <w:szCs w:val="24"/>
        </w:rPr>
        <w:t xml:space="preserve">4.1 Las dos mitades, por separado</w:t>
      </w:r>
    </w:p>
    <w:p>
      <w:pPr>
        <w:pStyle w:val="ListParagraph"/>
        <w:numPr>
          <w:ilvl w:val="0"/>
          <w:numId w:val="2"/>
        </w:numPr>
        <w:spacing w:after="90" w:line="280"/>
        <w:jc w:val="both"/>
      </w:pPr>
      <w:r>
        <w:rPr>
          <w:rFonts w:ascii="Calibri" w:cs="Calibri" w:eastAsia="Calibri" w:hAnsi="Calibri"/>
          <w:sz w:val="22"/>
          <w:szCs w:val="22"/>
        </w:rPr>
        <w:t xml:space="preserve">Mutuamente excluyente: ningún elemento del grupo contiene o repite parte de otro. Si al explicar el punto 2 tienes que volver a hablar del punto 1, se traslapan.</w:t>
      </w:r>
    </w:p>
    <w:p>
      <w:pPr>
        <w:pStyle w:val="ListParagraph"/>
        <w:numPr>
          <w:ilvl w:val="0"/>
          <w:numId w:val="2"/>
        </w:numPr>
        <w:spacing w:after="90" w:line="280"/>
        <w:jc w:val="both"/>
      </w:pPr>
      <w:r>
        <w:rPr>
          <w:rFonts w:ascii="Calibri" w:cs="Calibri" w:eastAsia="Calibri" w:hAnsi="Calibri"/>
          <w:sz w:val="22"/>
          <w:szCs w:val="22"/>
        </w:rPr>
        <w:t xml:space="preserve">Colectivamente exhaustivo: no queda fuera nada que el lector consideraría parte del problema. La prueba honesta es preguntarte qué diría el escéptico más informado de la sala que falta.</w:t>
      </w:r>
    </w:p>
    <w:p>
      <w:pPr>
        <w:pStyle w:val="Heading2"/>
        <w:spacing w:after="120" w:before="260"/>
      </w:pPr>
      <w:r>
        <w:rPr>
          <w:rFonts w:ascii="Calibri" w:cs="Calibri" w:eastAsia="Calibri" w:hAnsi="Calibri"/>
          <w:b/>
          <w:bCs/>
          <w:color w:val="2E5090"/>
          <w:sz w:val="24"/>
          <w:szCs w:val="24"/>
        </w:rPr>
        <w:t xml:space="preserve">4.2 Cortes que sí son MECE</w:t>
      </w:r>
    </w:p>
    <w:p>
      <w:pPr>
        <w:spacing w:after="140" w:before="0" w:line="280"/>
        <w:jc w:val="both"/>
      </w:pPr>
      <w:r>
        <w:rPr>
          <w:rFonts w:ascii="Calibri" w:cs="Calibri" w:eastAsia="Calibri" w:hAnsi="Calibri"/>
          <w:b w:val="false"/>
          <w:bCs w:val="false"/>
          <w:i w:val="false"/>
          <w:iCs w:val="false"/>
          <w:color w:val="000000"/>
          <w:sz w:val="22"/>
          <w:szCs w:val="22"/>
        </w:rPr>
        <w:t xml:space="preserve">Los agrupamientos robustos suelen venir de una estructura preexistente y verificable, no de una lluvia de ideas:</w:t>
      </w:r>
    </w:p>
    <w:p>
      <w:pPr>
        <w:pStyle w:val="ListParagraph"/>
        <w:numPr>
          <w:ilvl w:val="0"/>
          <w:numId w:val="2"/>
        </w:numPr>
        <w:spacing w:after="90" w:line="280"/>
        <w:jc w:val="both"/>
      </w:pPr>
      <w:r>
        <w:rPr>
          <w:rFonts w:ascii="Calibri" w:cs="Calibri" w:eastAsia="Calibri" w:hAnsi="Calibri"/>
          <w:sz w:val="22"/>
          <w:szCs w:val="22"/>
        </w:rPr>
        <w:t xml:space="preserve">Una identidad algebraica: la pérdida esperada se descompone en probabilidad de incumplimiento, severidad y exposición. Es MECE por construcción.</w:t>
      </w:r>
    </w:p>
    <w:p>
      <w:pPr>
        <w:pStyle w:val="ListParagraph"/>
        <w:numPr>
          <w:ilvl w:val="0"/>
          <w:numId w:val="2"/>
        </w:numPr>
        <w:spacing w:after="90" w:line="280"/>
        <w:jc w:val="both"/>
      </w:pPr>
      <w:r>
        <w:rPr>
          <w:rFonts w:ascii="Calibri" w:cs="Calibri" w:eastAsia="Calibri" w:hAnsi="Calibri"/>
          <w:sz w:val="22"/>
          <w:szCs w:val="22"/>
        </w:rPr>
        <w:t xml:space="preserve">Una partición de la población: por segmento, por cosecha, por geografía, por rango de calificación. Es MECE si las categorías no se solapan y suman el total.</w:t>
      </w:r>
    </w:p>
    <w:p>
      <w:pPr>
        <w:pStyle w:val="ListParagraph"/>
        <w:numPr>
          <w:ilvl w:val="0"/>
          <w:numId w:val="2"/>
        </w:numPr>
        <w:spacing w:after="90" w:line="280"/>
        <w:jc w:val="both"/>
      </w:pPr>
      <w:r>
        <w:rPr>
          <w:rFonts w:ascii="Calibri" w:cs="Calibri" w:eastAsia="Calibri" w:hAnsi="Calibri"/>
          <w:sz w:val="22"/>
          <w:szCs w:val="22"/>
        </w:rPr>
        <w:t xml:space="preserve">Una secuencia de proceso: originación, seguimiento, cobranza. MECE si el proceso está bien definido.</w:t>
      </w:r>
    </w:p>
    <w:p>
      <w:pPr>
        <w:pStyle w:val="ListParagraph"/>
        <w:numPr>
          <w:ilvl w:val="0"/>
          <w:numId w:val="2"/>
        </w:numPr>
        <w:spacing w:after="90" w:line="280"/>
        <w:jc w:val="both"/>
      </w:pPr>
      <w:r>
        <w:rPr>
          <w:rFonts w:ascii="Calibri" w:cs="Calibri" w:eastAsia="Calibri" w:hAnsi="Calibri"/>
          <w:sz w:val="22"/>
          <w:szCs w:val="22"/>
        </w:rPr>
        <w:t xml:space="preserve">Una dicotomía: interno frente a externo, controlable frente a no controlable, corto plazo frente a largo plazo.</w:t>
      </w:r>
    </w:p>
    <w:p>
      <w:pPr>
        <w:pStyle w:val="Heading2"/>
        <w:spacing w:after="120" w:before="260"/>
      </w:pPr>
      <w:r>
        <w:rPr>
          <w:rFonts w:ascii="Calibri" w:cs="Calibri" w:eastAsia="Calibri" w:hAnsi="Calibri"/>
          <w:b/>
          <w:bCs/>
          <w:color w:val="2E5090"/>
          <w:sz w:val="24"/>
          <w:szCs w:val="24"/>
        </w:rPr>
        <w:t xml:space="preserve">4.3 Los tres fallos típicos</w:t>
      </w:r>
    </w:p>
    <w:p>
      <w:pPr>
        <w:pStyle w:val="ListParagraph"/>
        <w:numPr>
          <w:ilvl w:val="0"/>
          <w:numId w:val="3"/>
        </w:numPr>
        <w:spacing w:after="90" w:line="280"/>
        <w:jc w:val="both"/>
      </w:pPr>
      <w:r>
        <w:rPr>
          <w:rFonts w:ascii="Calibri" w:cs="Calibri" w:eastAsia="Calibri" w:hAnsi="Calibri"/>
          <w:sz w:val="22"/>
          <w:szCs w:val="22"/>
        </w:rPr>
        <w:t xml:space="preserve">La categoría "otros". Casi siempre significa que el criterio de corte estaba mal elegido. Si "otros" pesa más del diez por ciento, rehaz el corte.</w:t>
      </w:r>
    </w:p>
    <w:p>
      <w:pPr>
        <w:pStyle w:val="ListParagraph"/>
        <w:numPr>
          <w:ilvl w:val="0"/>
          <w:numId w:val="3"/>
        </w:numPr>
        <w:spacing w:after="90" w:line="280"/>
        <w:jc w:val="both"/>
      </w:pPr>
      <w:r>
        <w:rPr>
          <w:rFonts w:ascii="Calibri" w:cs="Calibri" w:eastAsia="Calibri" w:hAnsi="Calibri"/>
          <w:sz w:val="22"/>
          <w:szCs w:val="22"/>
        </w:rPr>
        <w:t xml:space="preserve">El traslape encubierto. "Problemas de datos", "problemas de sistemas" y "problemas de gobierno" suenan limpios, pero un dato mal capturado por un sistema sin dueño cae en los tres.</w:t>
      </w:r>
    </w:p>
    <w:p>
      <w:pPr>
        <w:pStyle w:val="ListParagraph"/>
        <w:numPr>
          <w:ilvl w:val="0"/>
          <w:numId w:val="3"/>
        </w:numPr>
        <w:spacing w:after="90" w:line="280"/>
        <w:jc w:val="both"/>
      </w:pPr>
      <w:r>
        <w:rPr>
          <w:rFonts w:ascii="Calibri" w:cs="Calibri" w:eastAsia="Calibri" w:hAnsi="Calibri"/>
          <w:sz w:val="22"/>
          <w:szCs w:val="22"/>
        </w:rPr>
        <w:t xml:space="preserve">La exhaustividad falsa. Cubres todo lo que analizaste, no todo lo que existe. El lector senior detecta el hueco en segundos y a partir de ahí desconfía del resto.</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Advertencia honesta: MECE es un ideal de verificación, no un requisito de publicación. Forzar un agrupamiento MECE artificial produce documentos rígidos y poco naturales. Úsalo como prueba de calidad sobre un agrupamiento que ya tiene sentido, no como plantilla generadora.</w:t>
      </w:r>
    </w:p>
    <w:p>
      <w:pPr>
        <w:pStyle w:val="Heading1"/>
        <w:pBdr>
          <w:bottom w:val="single" w:color="D0D3D9" w:sz="6" w:space="6"/>
        </w:pBdr>
        <w:spacing w:after="170" w:before="380"/>
      </w:pPr>
      <w:r>
        <w:rPr>
          <w:rFonts w:ascii="Calibri" w:cs="Calibri" w:eastAsia="Calibri" w:hAnsi="Calibri"/>
          <w:b/>
          <w:bCs/>
          <w:color w:val="1F3864"/>
          <w:sz w:val="30"/>
          <w:szCs w:val="30"/>
        </w:rPr>
        <w:t xml:space="preserve">5. La introducción: el patrón SCQA</w:t>
      </w:r>
    </w:p>
    <w:p>
      <w:pPr>
        <w:spacing w:after="140" w:before="0" w:line="280"/>
        <w:jc w:val="both"/>
      </w:pPr>
      <w:r>
        <w:rPr>
          <w:rFonts w:ascii="Calibri" w:cs="Calibri" w:eastAsia="Calibri" w:hAnsi="Calibri"/>
          <w:b w:val="false"/>
          <w:bCs w:val="false"/>
          <w:i w:val="false"/>
          <w:iCs w:val="false"/>
          <w:color w:val="000000"/>
          <w:sz w:val="22"/>
          <w:szCs w:val="22"/>
        </w:rPr>
        <w:t xml:space="preserve">SCQA es la sigla de Situation, Complication, Question, Answer (situación, complicación, pregunta, respuesta). Es el mecanismo que instala en la cabeza del lector la pregunta que tu documento va a responder. Sin él, la conclusión inicial suena abrupta o presuntuosa.</w:t>
      </w:r>
    </w:p>
    <w:p>
      <w:pPr>
        <w:pStyle w:val="Heading2"/>
        <w:spacing w:after="120" w:before="260"/>
      </w:pPr>
      <w:r>
        <w:rPr>
          <w:rFonts w:ascii="Calibri" w:cs="Calibri" w:eastAsia="Calibri" w:hAnsi="Calibri"/>
          <w:b/>
          <w:bCs/>
          <w:color w:val="2E5090"/>
          <w:sz w:val="24"/>
          <w:szCs w:val="24"/>
        </w:rPr>
        <w:t xml:space="preserve">5.1 Los cuatro elementos</w:t>
      </w:r>
    </w:p>
    <w:p>
      <w:pPr>
        <w:pStyle w:val="Heading3"/>
        <w:spacing w:after="90" w:before="200"/>
      </w:pPr>
      <w:r>
        <w:rPr>
          <w:rFonts w:ascii="Calibri" w:cs="Calibri" w:eastAsia="Calibri" w:hAnsi="Calibri"/>
          <w:b/>
          <w:bCs/>
          <w:color w:val="8B4513"/>
          <w:sz w:val="22"/>
          <w:szCs w:val="22"/>
        </w:rPr>
        <w:t xml:space="preserve">Situación</w:t>
      </w:r>
    </w:p>
    <w:p>
      <w:pPr>
        <w:spacing w:after="140" w:before="0" w:line="280"/>
        <w:jc w:val="both"/>
      </w:pPr>
      <w:r>
        <w:rPr>
          <w:rFonts w:ascii="Calibri" w:cs="Calibri" w:eastAsia="Calibri" w:hAnsi="Calibri"/>
          <w:b w:val="false"/>
          <w:bCs w:val="false"/>
          <w:i w:val="false"/>
          <w:iCs w:val="false"/>
          <w:color w:val="000000"/>
          <w:sz w:val="22"/>
          <w:szCs w:val="22"/>
        </w:rPr>
        <w:t xml:space="preserve">Un hecho sobre el tema que el lector acepta sin discusión. No es contexto general ni antecedentes históricos: es el punto de acuerdo. Debe ser tan poco controversial que el lector asienta mentalmente. Si el lector puede objetar la situación, ya no estás construyendo una base, estás abriendo un frente.</w:t>
      </w:r>
    </w:p>
    <w:p>
      <w:pPr>
        <w:pBdr>
          <w:left w:val="single" w:color="8B4513" w:sz="12" w:space="12"/>
        </w:pBdr>
        <w:spacing w:after="160" w:before="100" w:line="260"/>
        <w:ind w:left="340"/>
      </w:pPr>
      <w:r>
        <w:rPr>
          <w:rFonts w:ascii="Consolas" w:cs="Consolas" w:eastAsia="Consolas" w:hAnsi="Consolas"/>
          <w:color w:val="2B2B2B"/>
          <w:sz w:val="19"/>
          <w:szCs w:val="19"/>
        </w:rPr>
        <w:t xml:space="preserve">"El modelo de calificación de grandes corporativos se aprobó en 2021 y hoy cubre el sesenta por ciento de la exposición mayorista."</w:t>
      </w:r>
    </w:p>
    <w:p>
      <w:pPr>
        <w:pStyle w:val="Heading3"/>
        <w:spacing w:after="90" w:before="200"/>
      </w:pPr>
      <w:r>
        <w:rPr>
          <w:rFonts w:ascii="Calibri" w:cs="Calibri" w:eastAsia="Calibri" w:hAnsi="Calibri"/>
          <w:b/>
          <w:bCs/>
          <w:color w:val="8B4513"/>
          <w:sz w:val="22"/>
          <w:szCs w:val="22"/>
        </w:rPr>
        <w:t xml:space="preserve">Complicación</w:t>
      </w:r>
    </w:p>
    <w:p>
      <w:pPr>
        <w:spacing w:after="140" w:before="0" w:line="280"/>
        <w:jc w:val="both"/>
      </w:pPr>
      <w:r>
        <w:rPr>
          <w:rFonts w:ascii="Calibri" w:cs="Calibri" w:eastAsia="Calibri" w:hAnsi="Calibri"/>
          <w:b w:val="false"/>
          <w:bCs w:val="false"/>
          <w:i w:val="false"/>
          <w:iCs w:val="false"/>
          <w:color w:val="000000"/>
          <w:sz w:val="22"/>
          <w:szCs w:val="22"/>
        </w:rPr>
        <w:t xml:space="preserve">Lo que alteró esa situación estable y por lo cual estamos teniendo esta conversación. Es el motor del documento. Suele ser un cambio regulatorio, un deterioro observado, una fecha límite, un hallazgo de validación, una decisión pendiente.</w:t>
      </w:r>
    </w:p>
    <w:p>
      <w:pPr>
        <w:pBdr>
          <w:left w:val="single" w:color="8B4513" w:sz="12" w:space="12"/>
        </w:pBdr>
        <w:spacing w:after="160" w:before="100" w:line="260"/>
        <w:ind w:left="340"/>
      </w:pPr>
      <w:r>
        <w:rPr>
          <w:rFonts w:ascii="Consolas" w:cs="Consolas" w:eastAsia="Consolas" w:hAnsi="Consolas"/>
          <w:color w:val="2B2B2B"/>
          <w:sz w:val="19"/>
          <w:szCs w:val="19"/>
        </w:rPr>
        <w:t xml:space="preserve">"La extensión a México exige recalibrar con una ventana que incluye 2020, y la validación interna encontró que la calibración vigente subestima el incumplimiento en el segmento medio."</w:t>
      </w:r>
    </w:p>
    <w:p>
      <w:pPr>
        <w:pStyle w:val="Heading3"/>
        <w:spacing w:after="90" w:before="200"/>
      </w:pPr>
      <w:r>
        <w:rPr>
          <w:rFonts w:ascii="Calibri" w:cs="Calibri" w:eastAsia="Calibri" w:hAnsi="Calibri"/>
          <w:b/>
          <w:bCs/>
          <w:color w:val="8B4513"/>
          <w:sz w:val="22"/>
          <w:szCs w:val="22"/>
        </w:rPr>
        <w:t xml:space="preserve">Pregunta</w:t>
      </w:r>
    </w:p>
    <w:p>
      <w:pPr>
        <w:spacing w:after="140" w:before="0" w:line="280"/>
        <w:jc w:val="both"/>
      </w:pPr>
      <w:r>
        <w:rPr>
          <w:rFonts w:ascii="Calibri" w:cs="Calibri" w:eastAsia="Calibri" w:hAnsi="Calibri"/>
          <w:b w:val="false"/>
          <w:bCs w:val="false"/>
          <w:i w:val="false"/>
          <w:iCs w:val="false"/>
          <w:color w:val="000000"/>
          <w:sz w:val="22"/>
          <w:szCs w:val="22"/>
        </w:rPr>
        <w:t xml:space="preserve">La consecuencia lógica de la complicación. En un documento bien construido no se escribe: surge sola en la mente del lector. Escribirla explícitamente es opcional y a veces útil en documentos largos, pero si tienes que forzarla es señal de que la complicación no está bien elegida.</w:t>
      </w:r>
    </w:p>
    <w:p>
      <w:pPr>
        <w:pBdr>
          <w:left w:val="single" w:color="8B4513" w:sz="12" w:space="12"/>
        </w:pBdr>
        <w:spacing w:after="160" w:before="100" w:line="260"/>
        <w:ind w:left="340"/>
      </w:pPr>
      <w:r>
        <w:rPr>
          <w:rFonts w:ascii="Consolas" w:cs="Consolas" w:eastAsia="Consolas" w:hAnsi="Consolas"/>
          <w:color w:val="2B2B2B"/>
          <w:sz w:val="19"/>
          <w:szCs w:val="19"/>
        </w:rPr>
        <w:t xml:space="preserve">"¿Recalibramos, reconstruimos o aplicamos un ajuste conservador temporal?"</w:t>
      </w:r>
    </w:p>
    <w:p>
      <w:pPr>
        <w:pStyle w:val="Heading3"/>
        <w:spacing w:after="90" w:before="200"/>
      </w:pPr>
      <w:r>
        <w:rPr>
          <w:rFonts w:ascii="Calibri" w:cs="Calibri" w:eastAsia="Calibri" w:hAnsi="Calibri"/>
          <w:b/>
          <w:bCs/>
          <w:color w:val="8B4513"/>
          <w:sz w:val="22"/>
          <w:szCs w:val="22"/>
        </w:rPr>
        <w:t xml:space="preserve">Respuesta</w:t>
      </w:r>
    </w:p>
    <w:p>
      <w:pPr>
        <w:spacing w:after="140" w:before="0" w:line="280"/>
        <w:jc w:val="both"/>
      </w:pPr>
      <w:r>
        <w:rPr>
          <w:rFonts w:ascii="Calibri" w:cs="Calibri" w:eastAsia="Calibri" w:hAnsi="Calibri"/>
          <w:b w:val="false"/>
          <w:bCs w:val="false"/>
          <w:i w:val="false"/>
          <w:iCs w:val="false"/>
          <w:color w:val="000000"/>
          <w:sz w:val="22"/>
          <w:szCs w:val="22"/>
        </w:rPr>
        <w:t xml:space="preserve">Tu conclusión. Es la punta de la pirámide y el primer párrafo sustantivo del documento. Debe ser una afirmación con contenido, no una promesa de contenido.</w:t>
      </w:r>
    </w:p>
    <w:p>
      <w:pPr>
        <w:pBdr>
          <w:left w:val="single" w:color="8B4513" w:sz="12" w:space="12"/>
        </w:pBdr>
        <w:spacing w:after="160" w:before="100" w:line="260"/>
        <w:ind w:left="340"/>
      </w:pPr>
      <w:r>
        <w:rPr>
          <w:rFonts w:ascii="Consolas" w:cs="Consolas" w:eastAsia="Consolas" w:hAnsi="Consolas"/>
          <w:color w:val="2B2B2B"/>
          <w:sz w:val="19"/>
          <w:szCs w:val="19"/>
        </w:rPr>
        <w:t xml:space="preserve">"Recomendamos recalibrar con un ajuste conservador transitorio: preserva la fecha regulatoria, cuesta una fracción de la reconstrucción y el impacto en activos ponderados por riesgo es acotado."</w:t>
      </w:r>
    </w:p>
    <w:p>
      <w:pPr>
        <w:pStyle w:val="Heading2"/>
        <w:spacing w:after="120" w:before="260"/>
      </w:pPr>
      <w:r>
        <w:rPr>
          <w:rFonts w:ascii="Calibri" w:cs="Calibri" w:eastAsia="Calibri" w:hAnsi="Calibri"/>
          <w:b/>
          <w:bCs/>
          <w:color w:val="2E5090"/>
          <w:sz w:val="24"/>
          <w:szCs w:val="24"/>
        </w:rPr>
        <w:t xml:space="preserve">5.2 Los cuatro arranques y cuándo usar cada uno</w:t>
      </w:r>
    </w:p>
    <w:p>
      <w:pPr>
        <w:spacing w:after="140" w:before="0" w:line="280"/>
        <w:jc w:val="both"/>
      </w:pPr>
      <w:r>
        <w:rPr>
          <w:rFonts w:ascii="Calibri" w:cs="Calibri" w:eastAsia="Calibri" w:hAnsi="Calibri"/>
          <w:b w:val="false"/>
          <w:bCs w:val="false"/>
          <w:i w:val="false"/>
          <w:iCs w:val="false"/>
          <w:color w:val="000000"/>
          <w:sz w:val="22"/>
          <w:szCs w:val="22"/>
        </w:rPr>
        <w:t xml:space="preserve">El orden S–C–Q–A es el estándar, pero se puede reordenar según lo que sepas del lector. El contenido no cambia; cambia por dónde entras.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Arranque</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Orden</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Cuándo funciona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Estándar</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Situación → Complicación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Audiencia neutral que necesita contexto. El caso por defecto.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Directo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Respuesta → Situación → Complicación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lector ya conoce el problema y tiene prisa. Comités con agenda cargada.</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Preocupado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Complicación → Situación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Hay urgencia real y quieres que se sienta. Deterioro, incidente, fecha en riesgo.</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Escéptico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Pregunta → Situación → Complicación → Respuesta</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lector duda del planteamiento mismo. Nombrar la pregunta desarma la resistencia.</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5.3 Errores de introducción</w:t>
      </w:r>
    </w:p>
    <w:p>
      <w:pPr>
        <w:pStyle w:val="ListParagraph"/>
        <w:numPr>
          <w:ilvl w:val="0"/>
          <w:numId w:val="2"/>
        </w:numPr>
        <w:spacing w:after="90" w:line="280"/>
        <w:jc w:val="both"/>
      </w:pPr>
      <w:r>
        <w:rPr>
          <w:rFonts w:ascii="Calibri" w:cs="Calibri" w:eastAsia="Calibri" w:hAnsi="Calibri"/>
          <w:sz w:val="22"/>
          <w:szCs w:val="22"/>
        </w:rPr>
        <w:t xml:space="preserve">Introducción-currículum: explicar todo lo que hiciste antes de decir qué encontraste. El lector no necesita saber cuánto trabajaste.</w:t>
      </w:r>
    </w:p>
    <w:p>
      <w:pPr>
        <w:pStyle w:val="ListParagraph"/>
        <w:numPr>
          <w:ilvl w:val="0"/>
          <w:numId w:val="2"/>
        </w:numPr>
        <w:spacing w:after="90" w:line="280"/>
        <w:jc w:val="both"/>
      </w:pPr>
      <w:r>
        <w:rPr>
          <w:rFonts w:ascii="Calibri" w:cs="Calibri" w:eastAsia="Calibri" w:hAnsi="Calibri"/>
          <w:sz w:val="22"/>
          <w:szCs w:val="22"/>
        </w:rPr>
        <w:t xml:space="preserve">Situación demasiado larga: tres párrafos de antecedentes antes de la complicación. La situación debe ocupar dos o tres renglones.</w:t>
      </w:r>
    </w:p>
    <w:p>
      <w:pPr>
        <w:pStyle w:val="ListParagraph"/>
        <w:numPr>
          <w:ilvl w:val="0"/>
          <w:numId w:val="2"/>
        </w:numPr>
        <w:spacing w:after="90" w:line="280"/>
        <w:jc w:val="both"/>
      </w:pPr>
      <w:r>
        <w:rPr>
          <w:rFonts w:ascii="Calibri" w:cs="Calibri" w:eastAsia="Calibri" w:hAnsi="Calibri"/>
          <w:sz w:val="22"/>
          <w:szCs w:val="22"/>
        </w:rPr>
        <w:t xml:space="preserve">Complicación ausente: si no puedes nombrar qué cambió, probablemente no había necesidad del documento.</w:t>
      </w:r>
    </w:p>
    <w:p>
      <w:pPr>
        <w:pStyle w:val="ListParagraph"/>
        <w:numPr>
          <w:ilvl w:val="0"/>
          <w:numId w:val="2"/>
        </w:numPr>
        <w:spacing w:after="90" w:line="280"/>
        <w:jc w:val="both"/>
      </w:pPr>
      <w:r>
        <w:rPr>
          <w:rFonts w:ascii="Calibri" w:cs="Calibri" w:eastAsia="Calibri" w:hAnsi="Calibri"/>
          <w:sz w:val="22"/>
          <w:szCs w:val="22"/>
        </w:rPr>
        <w:t xml:space="preserve">Respuesta diferida: "las conclusiones se presentan en la sección 5". Eso no es un documento, es un índice con relleno.</w:t>
      </w:r>
    </w:p>
    <w:p>
      <w:pPr>
        <w:pStyle w:val="Heading1"/>
        <w:pBdr>
          <w:bottom w:val="single" w:color="D0D3D9" w:sz="6" w:space="6"/>
        </w:pBdr>
        <w:spacing w:after="170" w:before="380"/>
      </w:pPr>
      <w:r>
        <w:rPr>
          <w:rFonts w:ascii="Calibri" w:cs="Calibri" w:eastAsia="Calibri" w:hAnsi="Calibri"/>
          <w:b/>
          <w:bCs/>
          <w:color w:val="1F3864"/>
          <w:sz w:val="30"/>
          <w:szCs w:val="30"/>
        </w:rPr>
        <w:t xml:space="preserve">6. Construir la pirámide: dos caminos</w:t>
      </w:r>
    </w:p>
    <w:p>
      <w:pPr>
        <w:spacing w:after="140" w:before="0" w:line="280"/>
        <w:jc w:val="both"/>
      </w:pPr>
      <w:r>
        <w:rPr>
          <w:rFonts w:ascii="Calibri" w:cs="Calibri" w:eastAsia="Calibri" w:hAnsi="Calibri"/>
          <w:b w:val="false"/>
          <w:bCs w:val="false"/>
          <w:i w:val="false"/>
          <w:iCs w:val="false"/>
          <w:color w:val="000000"/>
          <w:sz w:val="22"/>
          <w:szCs w:val="22"/>
        </w:rPr>
        <w:t xml:space="preserve">Hay dos formas de llegar a la estructura. Se usan en momentos distintos y ambas son legítimas.</w:t>
      </w:r>
    </w:p>
    <w:p>
      <w:pPr>
        <w:pStyle w:val="Heading2"/>
        <w:spacing w:after="120" w:before="260"/>
      </w:pPr>
      <w:r>
        <w:rPr>
          <w:rFonts w:ascii="Calibri" w:cs="Calibri" w:eastAsia="Calibri" w:hAnsi="Calibri"/>
          <w:b/>
          <w:bCs/>
          <w:color w:val="2E5090"/>
          <w:sz w:val="24"/>
          <w:szCs w:val="24"/>
        </w:rPr>
        <w:t xml:space="preserve">6.1 De arriba hacia abajo (cuando ya sabes la conclusión)</w:t>
      </w:r>
    </w:p>
    <w:p>
      <w:pPr>
        <w:pStyle w:val="ListParagraph"/>
        <w:numPr>
          <w:ilvl w:val="0"/>
          <w:numId w:val="4"/>
        </w:numPr>
        <w:spacing w:after="90" w:line="280"/>
        <w:jc w:val="both"/>
      </w:pPr>
      <w:r>
        <w:rPr>
          <w:rFonts w:ascii="Calibri" w:cs="Calibri" w:eastAsia="Calibri" w:hAnsi="Calibri"/>
          <w:sz w:val="22"/>
          <w:szCs w:val="22"/>
        </w:rPr>
        <w:t xml:space="preserve">Escribe el tema del documento en una línea.</w:t>
      </w:r>
    </w:p>
    <w:p>
      <w:pPr>
        <w:pStyle w:val="ListParagraph"/>
        <w:numPr>
          <w:ilvl w:val="0"/>
          <w:numId w:val="4"/>
        </w:numPr>
        <w:spacing w:after="90" w:line="280"/>
        <w:jc w:val="both"/>
      </w:pPr>
      <w:r>
        <w:rPr>
          <w:rFonts w:ascii="Calibri" w:cs="Calibri" w:eastAsia="Calibri" w:hAnsi="Calibri"/>
          <w:sz w:val="22"/>
          <w:szCs w:val="22"/>
        </w:rPr>
        <w:t xml:space="preserve">Escribe la pregunta que el lector tiene sobre ese tema.</w:t>
      </w:r>
    </w:p>
    <w:p>
      <w:pPr>
        <w:pStyle w:val="ListParagraph"/>
        <w:numPr>
          <w:ilvl w:val="0"/>
          <w:numId w:val="4"/>
        </w:numPr>
        <w:spacing w:after="90" w:line="280"/>
        <w:jc w:val="both"/>
      </w:pPr>
      <w:r>
        <w:rPr>
          <w:rFonts w:ascii="Calibri" w:cs="Calibri" w:eastAsia="Calibri" w:hAnsi="Calibri"/>
          <w:sz w:val="22"/>
          <w:szCs w:val="22"/>
        </w:rPr>
        <w:t xml:space="preserve">Escribe tu respuesta a esa pregunta, aunque sea provisional.</w:t>
      </w:r>
    </w:p>
    <w:p>
      <w:pPr>
        <w:pStyle w:val="ListParagraph"/>
        <w:numPr>
          <w:ilvl w:val="0"/>
          <w:numId w:val="4"/>
        </w:numPr>
        <w:spacing w:after="90" w:line="280"/>
        <w:jc w:val="both"/>
      </w:pPr>
      <w:r>
        <w:rPr>
          <w:rFonts w:ascii="Calibri" w:cs="Calibri" w:eastAsia="Calibri" w:hAnsi="Calibri"/>
          <w:sz w:val="22"/>
          <w:szCs w:val="22"/>
        </w:rPr>
        <w:t xml:space="preserve">Verifica la introducción: ¿puedes formular una situación que el lector acepte y una complicación que genere justo esa pregunta? Si no, tu respuesta no responde lo que él quiere saber.</w:t>
      </w:r>
    </w:p>
    <w:p>
      <w:pPr>
        <w:pStyle w:val="ListParagraph"/>
        <w:numPr>
          <w:ilvl w:val="0"/>
          <w:numId w:val="4"/>
        </w:numPr>
        <w:spacing w:after="90" w:line="280"/>
        <w:jc w:val="both"/>
      </w:pPr>
      <w:r>
        <w:rPr>
          <w:rFonts w:ascii="Calibri" w:cs="Calibri" w:eastAsia="Calibri" w:hAnsi="Calibri"/>
          <w:sz w:val="22"/>
          <w:szCs w:val="22"/>
        </w:rPr>
        <w:t xml:space="preserve">Anticipa la siguiente pregunta que tu respuesta genera —típicamente "¿por qué?" o "¿cómo?"— y escribe los tres o cuatro puntos que la contestan.</w:t>
      </w:r>
    </w:p>
    <w:p>
      <w:pPr>
        <w:pStyle w:val="ListParagraph"/>
        <w:numPr>
          <w:ilvl w:val="0"/>
          <w:numId w:val="4"/>
        </w:numPr>
        <w:spacing w:after="90" w:line="280"/>
        <w:jc w:val="both"/>
      </w:pPr>
      <w:r>
        <w:rPr>
          <w:rFonts w:ascii="Calibri" w:cs="Calibri" w:eastAsia="Calibri" w:hAnsi="Calibri"/>
          <w:sz w:val="22"/>
          <w:szCs w:val="22"/>
        </w:rPr>
        <w:t xml:space="preserve">Repite el paso anterior en cada rama hasta que la siguiente pregunta ya no tenga interés para el lector.</w:t>
      </w:r>
    </w:p>
    <w:p>
      <w:pPr>
        <w:pStyle w:val="Heading2"/>
        <w:spacing w:after="120" w:before="260"/>
      </w:pPr>
      <w:r>
        <w:rPr>
          <w:rFonts w:ascii="Calibri" w:cs="Calibri" w:eastAsia="Calibri" w:hAnsi="Calibri"/>
          <w:b/>
          <w:bCs/>
          <w:color w:val="2E5090"/>
          <w:sz w:val="24"/>
          <w:szCs w:val="24"/>
        </w:rPr>
        <w:t xml:space="preserve">6.2 De abajo hacia arriba (cuando tienes hallazgos sueltos)</w:t>
      </w:r>
    </w:p>
    <w:p>
      <w:pPr>
        <w:pStyle w:val="ListParagraph"/>
        <w:numPr>
          <w:ilvl w:val="0"/>
          <w:numId w:val="5"/>
        </w:numPr>
        <w:spacing w:after="90" w:line="280"/>
        <w:jc w:val="both"/>
      </w:pPr>
      <w:r>
        <w:rPr>
          <w:rFonts w:ascii="Calibri" w:cs="Calibri" w:eastAsia="Calibri" w:hAnsi="Calibri"/>
          <w:sz w:val="22"/>
          <w:szCs w:val="22"/>
        </w:rPr>
        <w:t xml:space="preserve">Lista todos los puntos que quieres comunicar, sin editar. Uno por renglón.</w:t>
      </w:r>
    </w:p>
    <w:p>
      <w:pPr>
        <w:pStyle w:val="ListParagraph"/>
        <w:numPr>
          <w:ilvl w:val="0"/>
          <w:numId w:val="5"/>
        </w:numPr>
        <w:spacing w:after="90" w:line="280"/>
        <w:jc w:val="both"/>
      </w:pPr>
      <w:r>
        <w:rPr>
          <w:rFonts w:ascii="Calibri" w:cs="Calibri" w:eastAsia="Calibri" w:hAnsi="Calibri"/>
          <w:sz w:val="22"/>
          <w:szCs w:val="22"/>
        </w:rPr>
        <w:t xml:space="preserve">Identifica las relaciones entre ellos: cuáles son causa de cuáles, cuáles son casos del mismo fenómeno, cuáles son consecuencias.</w:t>
      </w:r>
    </w:p>
    <w:p>
      <w:pPr>
        <w:pStyle w:val="ListParagraph"/>
        <w:numPr>
          <w:ilvl w:val="0"/>
          <w:numId w:val="5"/>
        </w:numPr>
        <w:spacing w:after="90" w:line="280"/>
        <w:jc w:val="both"/>
      </w:pPr>
      <w:r>
        <w:rPr>
          <w:rFonts w:ascii="Calibri" w:cs="Calibri" w:eastAsia="Calibri" w:hAnsi="Calibri"/>
          <w:sz w:val="22"/>
          <w:szCs w:val="22"/>
        </w:rPr>
        <w:t xml:space="preserve">Agrupa los que comparten naturaleza y ponle a cada grupo un nombre en plural: razones, síntomas, opciones, restricciones.</w:t>
      </w:r>
    </w:p>
    <w:p>
      <w:pPr>
        <w:pStyle w:val="ListParagraph"/>
        <w:numPr>
          <w:ilvl w:val="0"/>
          <w:numId w:val="5"/>
        </w:numPr>
        <w:spacing w:after="90" w:line="280"/>
        <w:jc w:val="both"/>
      </w:pPr>
      <w:r>
        <w:rPr>
          <w:rFonts w:ascii="Calibri" w:cs="Calibri" w:eastAsia="Calibri" w:hAnsi="Calibri"/>
          <w:sz w:val="22"/>
          <w:szCs w:val="22"/>
        </w:rPr>
        <w:t xml:space="preserve">Escribe para cada grupo una frase que resuma lo que dicen en conjunto —no lo que son, lo que dicen. Esa frase sube un nivel.</w:t>
      </w:r>
    </w:p>
    <w:p>
      <w:pPr>
        <w:pStyle w:val="ListParagraph"/>
        <w:numPr>
          <w:ilvl w:val="0"/>
          <w:numId w:val="5"/>
        </w:numPr>
        <w:spacing w:after="90" w:line="280"/>
        <w:jc w:val="both"/>
      </w:pPr>
      <w:r>
        <w:rPr>
          <w:rFonts w:ascii="Calibri" w:cs="Calibri" w:eastAsia="Calibri" w:hAnsi="Calibri"/>
          <w:sz w:val="22"/>
          <w:szCs w:val="22"/>
        </w:rPr>
        <w:t xml:space="preserve">Repite hasta llegar a una sola idea. Esa es tu respuesta.</w:t>
      </w:r>
    </w:p>
    <w:p>
      <w:pPr>
        <w:pStyle w:val="ListParagraph"/>
        <w:numPr>
          <w:ilvl w:val="0"/>
          <w:numId w:val="5"/>
        </w:numPr>
        <w:spacing w:after="90" w:line="280"/>
        <w:jc w:val="both"/>
      </w:pPr>
      <w:r>
        <w:rPr>
          <w:rFonts w:ascii="Calibri" w:cs="Calibri" w:eastAsia="Calibri" w:hAnsi="Calibri"/>
          <w:sz w:val="22"/>
          <w:szCs w:val="22"/>
        </w:rPr>
        <w:t xml:space="preserve">Ahora construye la introducción hacia atrás y verifica que la pregunta que genera sea la que tu idea responde. Si no coincide, algo se rompió en el camino y hay que rehacer el agrupamiento.</w:t>
      </w:r>
    </w:p>
    <w:p>
      <w:pPr>
        <w:spacing w:after="140" w:before="0" w:line="280"/>
        <w:jc w:val="both"/>
      </w:pPr>
      <w:r>
        <w:rPr>
          <w:rFonts w:ascii="Calibri" w:cs="Calibri" w:eastAsia="Calibri" w:hAnsi="Calibri"/>
          <w:b w:val="false"/>
          <w:bCs w:val="false"/>
          <w:i w:val="false"/>
          <w:iCs w:val="false"/>
          <w:color w:val="000000"/>
          <w:sz w:val="22"/>
          <w:szCs w:val="22"/>
        </w:rPr>
        <w:t xml:space="preserve">En la práctica se usan combinados: bajas desde una hipótesis, tropiezas con evidencia que no encaja, subes desde los hallazgos, y ajustas la punta. Lo importante es no publicar sin haber cerrado el ciclo al menos una vez.</w:t>
      </w:r>
    </w:p>
    <w:p>
      <w:pPr>
        <w:pStyle w:val="Heading1"/>
        <w:pBdr>
          <w:bottom w:val="single" w:color="D0D3D9" w:sz="6" w:space="6"/>
        </w:pBdr>
        <w:spacing w:after="170" w:before="380"/>
      </w:pPr>
      <w:r>
        <w:rPr>
          <w:rFonts w:ascii="Calibri" w:cs="Calibri" w:eastAsia="Calibri" w:hAnsi="Calibri"/>
          <w:b/>
          <w:bCs/>
          <w:color w:val="1F3864"/>
          <w:sz w:val="30"/>
          <w:szCs w:val="30"/>
        </w:rPr>
        <w:t xml:space="preserve">7. Ordenar las ideas dentro de un grupo</w:t>
      </w:r>
    </w:p>
    <w:p>
      <w:pPr>
        <w:spacing w:after="140" w:before="0" w:line="280"/>
        <w:jc w:val="both"/>
      </w:pPr>
      <w:r>
        <w:rPr>
          <w:rFonts w:ascii="Calibri" w:cs="Calibri" w:eastAsia="Calibri" w:hAnsi="Calibri"/>
          <w:b w:val="false"/>
          <w:bCs w:val="false"/>
          <w:i w:val="false"/>
          <w:iCs w:val="false"/>
          <w:color w:val="000000"/>
          <w:sz w:val="22"/>
          <w:szCs w:val="22"/>
        </w:rPr>
        <w:t xml:space="preserve">Solo existen tres órdenes lógicos. Cualquier otro orden es, en realidad, el orden en que se te ocurrieron las cosas. Elegir conscientemente uno de los tres es también una forma de auditar tu propio análisis: el orden delata qué tipo de razonamiento hiciste.</w:t>
      </w:r>
    </w:p>
    <w:p>
      <w:pPr>
        <w:pStyle w:val="Heading2"/>
        <w:spacing w:after="120" w:before="260"/>
      </w:pPr>
      <w:r>
        <w:rPr>
          <w:rFonts w:ascii="Calibri" w:cs="Calibri" w:eastAsia="Calibri" w:hAnsi="Calibri"/>
          <w:b/>
          <w:bCs/>
          <w:color w:val="2E5090"/>
          <w:sz w:val="24"/>
          <w:szCs w:val="24"/>
        </w:rPr>
        <w:t xml:space="preserve">7.1 Orden de proceso (cronológico o causal)</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son pasos que ocurren uno después de otro, o causas encadenadas. Se usa cuando describes un mecanismo, un flujo o una secuencia de implementación.</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si intercambias dos elementos, ¿el argumento deja de tener sentido? Si puedes reordenarlos libremente, no era un proceso; era una lista con disfraz de proceso.</w:t>
      </w:r>
    </w:p>
    <w:p>
      <w:pPr>
        <w:pStyle w:val="Heading2"/>
        <w:spacing w:after="120" w:before="260"/>
      </w:pPr>
      <w:r>
        <w:rPr>
          <w:rFonts w:ascii="Calibri" w:cs="Calibri" w:eastAsia="Calibri" w:hAnsi="Calibri"/>
          <w:b/>
          <w:bCs/>
          <w:color w:val="2E5090"/>
          <w:sz w:val="24"/>
          <w:szCs w:val="24"/>
        </w:rPr>
        <w:t xml:space="preserve">7.2 Orden estructural (por partes de un todo)</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son componentes de una estructura: regiones, líneas de negocio, componentes de una fórmula, capas de un sistema. Se usa cuando descompones algo que existe.</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¿las partes suman el todo sin traslape? Si no, el corte estructural está mal hecho y arrastra el problema hacia arriba.</w:t>
      </w:r>
    </w:p>
    <w:p>
      <w:pPr>
        <w:pStyle w:val="Heading2"/>
        <w:spacing w:after="120" w:before="260"/>
      </w:pPr>
      <w:r>
        <w:rPr>
          <w:rFonts w:ascii="Calibri" w:cs="Calibri" w:eastAsia="Calibri" w:hAnsi="Calibri"/>
          <w:b/>
          <w:bCs/>
          <w:color w:val="2E5090"/>
          <w:sz w:val="24"/>
          <w:szCs w:val="24"/>
        </w:rPr>
        <w:t xml:space="preserve">7.3 Orden de grado (por importancia)</w:t>
      </w:r>
    </w:p>
    <w:p>
      <w:pPr>
        <w:spacing w:after="140" w:before="0" w:line="280"/>
        <w:jc w:val="both"/>
      </w:pPr>
      <w:r>
        <w:rPr>
          <w:rFonts w:ascii="Calibri" w:cs="Calibri" w:eastAsia="Calibri" w:hAnsi="Calibri"/>
          <w:b w:val="false"/>
          <w:bCs w:val="false"/>
          <w:i w:val="false"/>
          <w:iCs w:val="false"/>
          <w:color w:val="000000"/>
          <w:sz w:val="22"/>
          <w:szCs w:val="22"/>
        </w:rPr>
        <w:t xml:space="preserve">Los elementos comparten una propiedad y se ordenan por cuánto la tienen: del más grave al menos grave, del de mayor impacto al de menor. Se usa cuando clasificas o priorizas.</w:t>
      </w:r>
    </w:p>
    <w:p>
      <w:pPr>
        <w:spacing w:after="140" w:before="0" w:line="280"/>
        <w:jc w:val="both"/>
      </w:pPr>
      <w:r>
        <w:rPr>
          <w:rFonts w:ascii="Calibri" w:cs="Calibri" w:eastAsia="Calibri" w:hAnsi="Calibri"/>
          <w:b w:val="false"/>
          <w:bCs w:val="false"/>
          <w:i w:val="false"/>
          <w:iCs w:val="false"/>
          <w:color w:val="000000"/>
          <w:sz w:val="22"/>
          <w:szCs w:val="22"/>
        </w:rPr>
        <w:t xml:space="preserve">Prueba de validez: ¿existe una métrica, aunque sea cualitativa, que justifique el orden? Si no puedes nombrarla, el orden es opinión disfrazada de análisis. En tu dominio esto es fácil de hacer bien: ordena por exposición, por impacto en capital, por probabilidad de materialización.</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Regla práctica: si un grupo no admite ninguno de los tres órdenes, el grupo está mal formado. Vuelve a agrupar antes de seguir escribiendo. Es más barato romper la estructura ahora que descubrir el hueco en la sala de comité.</w:t>
      </w:r>
    </w:p>
    <w:p>
      <w:pPr>
        <w:pStyle w:val="Heading1"/>
        <w:pBdr>
          <w:bottom w:val="single" w:color="D0D3D9" w:sz="6" w:space="6"/>
        </w:pBdr>
        <w:spacing w:after="170" w:before="380"/>
      </w:pPr>
      <w:r>
        <w:rPr>
          <w:rFonts w:ascii="Calibri" w:cs="Calibri" w:eastAsia="Calibri" w:hAnsi="Calibri"/>
          <w:b/>
          <w:bCs/>
          <w:color w:val="1F3864"/>
          <w:sz w:val="30"/>
          <w:szCs w:val="30"/>
        </w:rPr>
        <w:t xml:space="preserve">8. Resumir grupos: donde se pierde la mayoría de los documentos</w:t>
      </w:r>
    </w:p>
    <w:p>
      <w:pPr>
        <w:spacing w:after="140" w:before="0" w:line="280"/>
        <w:jc w:val="both"/>
      </w:pPr>
      <w:r>
        <w:rPr>
          <w:rFonts w:ascii="Calibri" w:cs="Calibri" w:eastAsia="Calibri" w:hAnsi="Calibri"/>
          <w:b w:val="false"/>
          <w:bCs w:val="false"/>
          <w:i w:val="false"/>
          <w:iCs w:val="false"/>
          <w:color w:val="000000"/>
          <w:sz w:val="22"/>
          <w:szCs w:val="22"/>
        </w:rPr>
        <w:t xml:space="preserve">Este es el punto donde más gente abandona el método sin darse cuenta. Construyen la pirámide, agrupan bien, y luego rotulan cada grupo con una etiqueta vacía. El resultado se ve estructurado y no comunica nada.</w:t>
      </w:r>
    </w:p>
    <w:p>
      <w:pPr>
        <w:pStyle w:val="Heading2"/>
        <w:spacing w:after="120" w:before="260"/>
      </w:pPr>
      <w:r>
        <w:rPr>
          <w:rFonts w:ascii="Calibri" w:cs="Calibri" w:eastAsia="Calibri" w:hAnsi="Calibri"/>
          <w:b/>
          <w:bCs/>
          <w:color w:val="2E5090"/>
          <w:sz w:val="24"/>
          <w:szCs w:val="24"/>
        </w:rPr>
        <w:t xml:space="preserve">8.1 Aserciones intelectualmente vacías</w:t>
      </w:r>
    </w:p>
    <w:p>
      <w:pPr>
        <w:spacing w:after="140" w:before="0" w:line="280"/>
        <w:jc w:val="both"/>
      </w:pPr>
      <w:r>
        <w:rPr>
          <w:rFonts w:ascii="Calibri" w:cs="Calibri" w:eastAsia="Calibri" w:hAnsi="Calibri"/>
          <w:b w:val="false"/>
          <w:bCs w:val="false"/>
          <w:i w:val="false"/>
          <w:iCs w:val="false"/>
          <w:color w:val="000000"/>
          <w:sz w:val="22"/>
          <w:szCs w:val="22"/>
        </w:rPr>
        <w:t xml:space="preserve">Son frases que anuncian la existencia de contenido sin entregarlo. Se reconocen porque el lector no puede hacer nada con ellas.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460"/>
      </w:tblGrid>
      <w:tr>
        <w:trPr>
          <w:tblHeader/>
        </w:trPr>
        <w:tc>
          <w:tcPr>
            <w:tcW w:type="dxa" w:w="3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Vacío</w:t>
            </w:r>
          </w:p>
        </w:tc>
        <w:tc>
          <w:tcPr>
            <w:tcW w:type="dxa" w:w="54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 contenido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La compañía tiene tres objetivos.</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tres objetivos son incompatibles entre sí con el presupuesto actual.</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Analizamos el desempeño del modelo.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modelo discrimina bien pero calibra mal: el ordenamiento se sostiene, el nivel no.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Hay varias consideraciones regulatorias.</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Ninguna de las dos rutas cumple el plazo regulatorio sin un ajuste transitorio.</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Se identificaron oportunidades de mejora.</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Dos controles operan sin dueño formal desde la reorganización.</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8.2 Las dos reglas de resumen</w:t>
      </w:r>
    </w:p>
    <w:p>
      <w:pPr>
        <w:pStyle w:val="ListParagraph"/>
        <w:numPr>
          <w:ilvl w:val="0"/>
          <w:numId w:val="2"/>
        </w:numPr>
        <w:spacing w:after="90" w:line="280"/>
        <w:jc w:val="both"/>
      </w:pPr>
      <w:r>
        <w:rPr>
          <w:rFonts w:ascii="Calibri" w:cs="Calibri" w:eastAsia="Calibri" w:hAnsi="Calibri"/>
          <w:sz w:val="22"/>
          <w:szCs w:val="22"/>
        </w:rPr>
        <w:t xml:space="preserve">Grupos de acción (pasos, recomendaciones, actividades): la idea superior debe enunciar el resultado que produce ejecutar todos los pasos. No "cuatro acciones para el proyecto", sino "estas cuatro acciones permiten cerrar antes de la fecha regulatoria".</w:t>
      </w:r>
    </w:p>
    <w:p>
      <w:pPr>
        <w:pStyle w:val="ListParagraph"/>
        <w:numPr>
          <w:ilvl w:val="0"/>
          <w:numId w:val="2"/>
        </w:numPr>
        <w:spacing w:after="90" w:line="280"/>
        <w:jc w:val="both"/>
      </w:pPr>
      <w:r>
        <w:rPr>
          <w:rFonts w:ascii="Calibri" w:cs="Calibri" w:eastAsia="Calibri" w:hAnsi="Calibri"/>
          <w:sz w:val="22"/>
          <w:szCs w:val="22"/>
        </w:rPr>
        <w:t xml:space="preserve">Grupos de situación (hallazgos, hechos, evidencias): la idea superior debe enunciar la inferencia que se desprende de todos ellos. No "tres hallazgos de la validación", sino "los tres hallazgos apuntan al mismo origen: la ventana de calibración".</w:t>
      </w:r>
    </w:p>
    <w:p>
      <w:pPr>
        <w:pStyle w:val="Heading2"/>
        <w:spacing w:after="120" w:before="260"/>
      </w:pPr>
      <w:r>
        <w:rPr>
          <w:rFonts w:ascii="Calibri" w:cs="Calibri" w:eastAsia="Calibri" w:hAnsi="Calibri"/>
          <w:b/>
          <w:bCs/>
          <w:color w:val="2E5090"/>
          <w:sz w:val="24"/>
          <w:szCs w:val="24"/>
        </w:rPr>
        <w:t xml:space="preserve">8.3 El test del "¿y qué?"</w:t>
      </w:r>
    </w:p>
    <w:p>
      <w:pPr>
        <w:spacing w:after="140" w:before="0" w:line="280"/>
        <w:jc w:val="both"/>
      </w:pPr>
      <w:r>
        <w:rPr>
          <w:rFonts w:ascii="Calibri" w:cs="Calibri" w:eastAsia="Calibri" w:hAnsi="Calibri"/>
          <w:b w:val="false"/>
          <w:bCs w:val="false"/>
          <w:i w:val="false"/>
          <w:iCs w:val="false"/>
          <w:color w:val="000000"/>
          <w:sz w:val="22"/>
          <w:szCs w:val="22"/>
        </w:rPr>
        <w:t xml:space="preserve">Después de escribir cualquier idea de resumen, pregúntate en voz alta: ¿y qué? Si tienes una respuesta, esa respuesta era la idea que debías haber escrito. Repite hasta que la pregunta ya no produzca nada nuevo.</w:t>
      </w:r>
    </w:p>
    <w:p>
      <w:pPr>
        <w:pBdr>
          <w:left w:val="single" w:color="8B4513" w:sz="12" w:space="12"/>
        </w:pBdr>
        <w:spacing w:after="40" w:before="100" w:line="260"/>
        <w:ind w:left="340"/>
      </w:pPr>
      <w:r>
        <w:rPr>
          <w:rFonts w:ascii="Consolas" w:cs="Consolas" w:eastAsia="Consolas" w:hAnsi="Consolas"/>
          <w:color w:val="2B2B2B"/>
          <w:sz w:val="19"/>
          <w:szCs w:val="19"/>
        </w:rPr>
        <w:t xml:space="preserve">"La mora del segmento medio subió 40 puntos base." → ¿Y qué?</w:t>
      </w:r>
    </w:p>
    <w:p>
      <w:pPr>
        <w:pBdr>
          <w:left w:val="single" w:color="8B4513" w:sz="12" w:space="12"/>
        </w:pBdr>
        <w:spacing w:after="40" w:before="0" w:line="260"/>
        <w:ind w:left="340"/>
      </w:pPr>
      <w:r>
        <w:rPr>
          <w:rFonts w:ascii="Consolas" w:cs="Consolas" w:eastAsia="Consolas" w:hAnsi="Consolas"/>
          <w:color w:val="2B2B2B"/>
          <w:sz w:val="19"/>
          <w:szCs w:val="19"/>
        </w:rPr>
        <w:t xml:space="preserve">"Es el tercer trimestre consecutivo al alza." → ¿Y qué?</w:t>
      </w:r>
    </w:p>
    <w:p>
      <w:pPr>
        <w:pBdr>
          <w:left w:val="single" w:color="8B4513" w:sz="12" w:space="12"/>
        </w:pBdr>
        <w:spacing w:after="160" w:before="0" w:line="260"/>
        <w:ind w:left="340"/>
      </w:pPr>
      <w:r>
        <w:rPr>
          <w:rFonts w:ascii="Consolas" w:cs="Consolas" w:eastAsia="Consolas" w:hAnsi="Consolas"/>
          <w:color w:val="2B2B2B"/>
          <w:sz w:val="19"/>
          <w:szCs w:val="19"/>
        </w:rPr>
        <w:t xml:space="preserve">"El deterioro es estructural, no estacional, y el cutoff vigente ya no protege el nivel de rentabilidad objetivo." ← Esta es la idea.</w:t>
      </w:r>
    </w:p>
    <w:p>
      <w:pPr>
        <w:spacing w:after="140" w:before="0" w:line="280"/>
        <w:jc w:val="both"/>
      </w:pPr>
      <w:r>
        <w:rPr>
          <w:rFonts w:ascii="Calibri" w:cs="Calibri" w:eastAsia="Calibri" w:hAnsi="Calibri"/>
          <w:b w:val="false"/>
          <w:bCs w:val="false"/>
          <w:i w:val="false"/>
          <w:iCs w:val="false"/>
          <w:color w:val="000000"/>
          <w:sz w:val="22"/>
          <w:szCs w:val="22"/>
        </w:rPr>
        <w:t xml:space="preserve">Este ejercicio es el más rentable de toda la guía y el más incómodo, porque expone cuando en realidad no tienes una conclusión, solo tienes números. Si al hacerlo descubres que no llegas a nada, el problema no es de redacción: es que falta análisis.</w:t>
      </w:r>
    </w:p>
    <w:p>
      <w:pPr>
        <w:pStyle w:val="Heading1"/>
        <w:pBdr>
          <w:bottom w:val="single" w:color="D0D3D9" w:sz="6" w:space="6"/>
        </w:pBdr>
        <w:spacing w:after="170" w:before="380"/>
      </w:pPr>
      <w:r>
        <w:rPr>
          <w:rFonts w:ascii="Calibri" w:cs="Calibri" w:eastAsia="Calibri" w:hAnsi="Calibri"/>
          <w:b/>
          <w:bCs/>
          <w:color w:val="1F3864"/>
          <w:sz w:val="30"/>
          <w:szCs w:val="30"/>
        </w:rPr>
        <w:t xml:space="preserve">9. Deducción e inducción</w:t>
      </w:r>
    </w:p>
    <w:p>
      <w:pPr>
        <w:spacing w:after="140" w:before="0" w:line="280"/>
        <w:jc w:val="both"/>
      </w:pPr>
      <w:r>
        <w:rPr>
          <w:rFonts w:ascii="Calibri" w:cs="Calibri" w:eastAsia="Calibri" w:hAnsi="Calibri"/>
          <w:b w:val="false"/>
          <w:bCs w:val="false"/>
          <w:i w:val="false"/>
          <w:iCs w:val="false"/>
          <w:color w:val="000000"/>
          <w:sz w:val="22"/>
          <w:szCs w:val="22"/>
        </w:rPr>
        <w:t xml:space="preserve">Un grupo de ideas se sostiene de una de dos maneras, y conviene saber cuál estás usando porque se resumen distinto.</w:t>
      </w:r>
    </w:p>
    <w:p>
      <w:pPr>
        <w:pStyle w:val="Heading2"/>
        <w:spacing w:after="120" w:before="260"/>
      </w:pPr>
      <w:r>
        <w:rPr>
          <w:rFonts w:ascii="Calibri" w:cs="Calibri" w:eastAsia="Calibri" w:hAnsi="Calibri"/>
          <w:b/>
          <w:bCs/>
          <w:color w:val="2E5090"/>
          <w:sz w:val="24"/>
          <w:szCs w:val="24"/>
        </w:rPr>
        <w:t xml:space="preserve">9.1 Deducción</w:t>
      </w:r>
    </w:p>
    <w:p>
      <w:pPr>
        <w:spacing w:after="140" w:before="0" w:line="280"/>
        <w:jc w:val="both"/>
      </w:pPr>
      <w:r>
        <w:rPr>
          <w:rFonts w:ascii="Calibri" w:cs="Calibri" w:eastAsia="Calibri" w:hAnsi="Calibri"/>
          <w:b w:val="false"/>
          <w:bCs w:val="false"/>
          <w:i w:val="false"/>
          <w:iCs w:val="false"/>
          <w:color w:val="000000"/>
          <w:sz w:val="22"/>
          <w:szCs w:val="22"/>
        </w:rPr>
        <w:t xml:space="preserve">Es un encadenamiento: una afirmación, una segunda afirmación sobre la primera, y la conclusión que se sigue de ambas. Cada paso depende del anterior.</w:t>
      </w:r>
    </w:p>
    <w:p>
      <w:pPr>
        <w:pBdr>
          <w:left w:val="single" w:color="8B4513" w:sz="12" w:space="12"/>
        </w:pBdr>
        <w:spacing w:after="160" w:before="100" w:line="260"/>
        <w:ind w:left="340"/>
      </w:pPr>
      <w:r>
        <w:rPr>
          <w:rFonts w:ascii="Consolas" w:cs="Consolas" w:eastAsia="Consolas" w:hAnsi="Consolas"/>
          <w:color w:val="2B2B2B"/>
          <w:sz w:val="19"/>
          <w:szCs w:val="19"/>
        </w:rPr>
        <w:t xml:space="preserve">La ventana de calibración no incluye un ciclo completo. → Un modelo calibrado sin ciclo completo subestima el incumplimiento en recesión. → La calibración vigente subestima el incumplimiento en recesión.</w:t>
      </w:r>
    </w:p>
    <w:p>
      <w:pPr>
        <w:spacing w:after="140" w:before="0" w:line="280"/>
        <w:jc w:val="both"/>
      </w:pPr>
      <w:r>
        <w:rPr>
          <w:rFonts w:ascii="Calibri" w:cs="Calibri" w:eastAsia="Calibri" w:hAnsi="Calibri"/>
          <w:b w:val="false"/>
          <w:bCs w:val="false"/>
          <w:i w:val="false"/>
          <w:iCs w:val="false"/>
          <w:color w:val="000000"/>
          <w:sz w:val="22"/>
          <w:szCs w:val="22"/>
        </w:rPr>
        <w:t xml:space="preserve">Es rigurosa y muy convincente en el detalle. Su costo es que obliga al lector a sostener toda la cadena en la cabeza antes de recibir el mensaje, y se rompe entera si un eslabón falla.</w:t>
      </w:r>
    </w:p>
    <w:p>
      <w:pPr>
        <w:pStyle w:val="Heading2"/>
        <w:spacing w:after="120" w:before="260"/>
      </w:pPr>
      <w:r>
        <w:rPr>
          <w:rFonts w:ascii="Calibri" w:cs="Calibri" w:eastAsia="Calibri" w:hAnsi="Calibri"/>
          <w:b/>
          <w:bCs/>
          <w:color w:val="2E5090"/>
          <w:sz w:val="24"/>
          <w:szCs w:val="24"/>
        </w:rPr>
        <w:t xml:space="preserve">9.2 Inducción</w:t>
      </w:r>
    </w:p>
    <w:p>
      <w:pPr>
        <w:spacing w:after="140" w:before="0" w:line="280"/>
        <w:jc w:val="both"/>
      </w:pPr>
      <w:r>
        <w:rPr>
          <w:rFonts w:ascii="Calibri" w:cs="Calibri" w:eastAsia="Calibri" w:hAnsi="Calibri"/>
          <w:b w:val="false"/>
          <w:bCs w:val="false"/>
          <w:i w:val="false"/>
          <w:iCs w:val="false"/>
          <w:color w:val="000000"/>
          <w:sz w:val="22"/>
          <w:szCs w:val="22"/>
        </w:rPr>
        <w:t xml:space="preserve">Es un conjunto de elementos del mismo tipo de los cuales se desprende una conclusión común. No hay encadenamiento: cada elemento sostiene la conclusión por su cuenta.</w:t>
      </w:r>
    </w:p>
    <w:p>
      <w:pPr>
        <w:pBdr>
          <w:left w:val="single" w:color="8B4513" w:sz="12" w:space="12"/>
        </w:pBdr>
        <w:spacing w:after="160" w:before="100" w:line="260"/>
        <w:ind w:left="340"/>
      </w:pPr>
      <w:r>
        <w:rPr>
          <w:rFonts w:ascii="Consolas" w:cs="Consolas" w:eastAsia="Consolas" w:hAnsi="Consolas"/>
          <w:color w:val="2B2B2B"/>
          <w:sz w:val="19"/>
          <w:szCs w:val="19"/>
        </w:rPr>
        <w:t xml:space="preserve">La ventana no cubre un ciclo. La muestra excluye el segmento medio. El punto de corte no se ha revisado en tres años. → Los tres problemas comparten origen: la calibración quedó anclada a condiciones que ya no existen.</w:t>
      </w:r>
    </w:p>
    <w:p>
      <w:pPr>
        <w:spacing w:after="140" w:before="0" w:line="280"/>
        <w:jc w:val="both"/>
      </w:pPr>
      <w:r>
        <w:rPr>
          <w:rFonts w:ascii="Calibri" w:cs="Calibri" w:eastAsia="Calibri" w:hAnsi="Calibri"/>
          <w:b w:val="false"/>
          <w:bCs w:val="false"/>
          <w:i w:val="false"/>
          <w:iCs w:val="false"/>
          <w:color w:val="000000"/>
          <w:sz w:val="22"/>
          <w:szCs w:val="22"/>
        </w:rPr>
        <w:t xml:space="preserve">Es más fácil de seguir, más robusta —si cae un elemento, la conclusión sobrevive— y permite decir la conclusión primero.</w:t>
      </w:r>
    </w:p>
    <w:p>
      <w:pPr>
        <w:pStyle w:val="Heading2"/>
        <w:spacing w:after="120" w:before="260"/>
      </w:pPr>
      <w:r>
        <w:rPr>
          <w:rFonts w:ascii="Calibri" w:cs="Calibri" w:eastAsia="Calibri" w:hAnsi="Calibri"/>
          <w:b/>
          <w:bCs/>
          <w:color w:val="2E5090"/>
          <w:sz w:val="24"/>
          <w:szCs w:val="24"/>
        </w:rPr>
        <w:t xml:space="preserve">9.3 Cuál usar</w:t>
      </w:r>
    </w:p>
    <w:p>
      <w:pPr>
        <w:spacing w:after="140" w:before="0" w:line="280"/>
        <w:jc w:val="both"/>
      </w:pPr>
      <w:r>
        <w:rPr>
          <w:rFonts w:ascii="Calibri" w:cs="Calibri" w:eastAsia="Calibri" w:hAnsi="Calibri"/>
          <w:b w:val="false"/>
          <w:bCs w:val="false"/>
          <w:i w:val="false"/>
          <w:iCs w:val="false"/>
          <w:color w:val="000000"/>
          <w:sz w:val="22"/>
          <w:szCs w:val="22"/>
        </w:rPr>
        <w:t xml:space="preserve">Regla práctica: inducción en los niveles altos, deducción en los niveles bajos. El lector senior quiere el patrón; el revisor técnico quiere la cadena. Un documento que usa deducción en la punta obliga a todos a leer todo, que es exactamente lo que estás tratando de evitar.</w:t>
      </w:r>
    </w:p>
    <w:p>
      <w:pPr>
        <w:pStyle w:val="Heading1"/>
        <w:pBdr>
          <w:bottom w:val="single" w:color="D0D3D9" w:sz="6" w:space="6"/>
        </w:pBdr>
        <w:spacing w:after="170" w:before="380"/>
      </w:pPr>
      <w:r>
        <w:rPr>
          <w:rFonts w:ascii="Calibri" w:cs="Calibri" w:eastAsia="Calibri" w:hAnsi="Calibri"/>
          <w:b/>
          <w:bCs/>
          <w:color w:val="1F3864"/>
          <w:sz w:val="30"/>
          <w:szCs w:val="30"/>
        </w:rPr>
        <w:t xml:space="preserve">10. Antes de estructurar: definir bien el problema</w:t>
      </w:r>
    </w:p>
    <w:p>
      <w:pPr>
        <w:spacing w:after="140" w:before="0" w:line="280"/>
        <w:jc w:val="both"/>
      </w:pPr>
      <w:r>
        <w:rPr>
          <w:rFonts w:ascii="Calibri" w:cs="Calibri" w:eastAsia="Calibri" w:hAnsi="Calibri"/>
          <w:b w:val="false"/>
          <w:bCs w:val="false"/>
          <w:i w:val="false"/>
          <w:iCs w:val="false"/>
          <w:color w:val="000000"/>
          <w:sz w:val="22"/>
          <w:szCs w:val="22"/>
        </w:rPr>
        <w:t xml:space="preserve">Buena parte de los documentos mal estructurados no tienen un problema de estructura: responden con precisión una pregunta que nadie hizo. Esta sección es el antídoto.</w:t>
      </w:r>
    </w:p>
    <w:p>
      <w:pPr>
        <w:pStyle w:val="Heading2"/>
        <w:spacing w:after="120" w:before="260"/>
      </w:pPr>
      <w:r>
        <w:rPr>
          <w:rFonts w:ascii="Calibri" w:cs="Calibri" w:eastAsia="Calibri" w:hAnsi="Calibri"/>
          <w:b/>
          <w:bCs/>
          <w:color w:val="2E5090"/>
          <w:sz w:val="24"/>
          <w:szCs w:val="24"/>
        </w:rPr>
        <w:t xml:space="preserve">10.1 La secuencia de definición</w:t>
      </w:r>
    </w:p>
    <w:p>
      <w:pPr>
        <w:spacing w:after="140" w:before="0" w:line="280"/>
        <w:jc w:val="both"/>
      </w:pPr>
      <w:r>
        <w:rPr>
          <w:rFonts w:ascii="Calibri" w:cs="Calibri" w:eastAsia="Calibri" w:hAnsi="Calibri"/>
          <w:b w:val="false"/>
          <w:bCs w:val="false"/>
          <w:i w:val="false"/>
          <w:iCs w:val="false"/>
          <w:color w:val="000000"/>
          <w:sz w:val="22"/>
          <w:szCs w:val="22"/>
        </w:rPr>
        <w:t xml:space="preserve">Antes de escribir nada, contesta estas cinco cosas por escrito. Toma diez minutos y ahorra reescrituras completas.</w:t>
      </w:r>
    </w:p>
    <w:p>
      <w:pPr>
        <w:pStyle w:val="ListParagraph"/>
        <w:numPr>
          <w:ilvl w:val="0"/>
          <w:numId w:val="6"/>
        </w:numPr>
        <w:spacing w:after="90" w:line="280"/>
        <w:jc w:val="both"/>
      </w:pPr>
      <w:r>
        <w:rPr>
          <w:rFonts w:ascii="Calibri" w:cs="Calibri" w:eastAsia="Calibri" w:hAnsi="Calibri"/>
          <w:sz w:val="22"/>
          <w:szCs w:val="22"/>
        </w:rPr>
        <w:t xml:space="preserve">Punto de partida: ¿cuál era la situación estable, y quién es el actor?</w:t>
      </w:r>
    </w:p>
    <w:p>
      <w:pPr>
        <w:pStyle w:val="ListParagraph"/>
        <w:numPr>
          <w:ilvl w:val="0"/>
          <w:numId w:val="6"/>
        </w:numPr>
        <w:spacing w:after="90" w:line="280"/>
        <w:jc w:val="both"/>
      </w:pPr>
      <w:r>
        <w:rPr>
          <w:rFonts w:ascii="Calibri" w:cs="Calibri" w:eastAsia="Calibri" w:hAnsi="Calibri"/>
          <w:sz w:val="22"/>
          <w:szCs w:val="22"/>
        </w:rPr>
        <w:t xml:space="preserve">Evento perturbador: ¿qué cambió?</w:t>
      </w:r>
    </w:p>
    <w:p>
      <w:pPr>
        <w:pStyle w:val="ListParagraph"/>
        <w:numPr>
          <w:ilvl w:val="0"/>
          <w:numId w:val="6"/>
        </w:numPr>
        <w:spacing w:after="90" w:line="280"/>
        <w:jc w:val="both"/>
      </w:pPr>
      <w:r>
        <w:rPr>
          <w:rFonts w:ascii="Calibri" w:cs="Calibri" w:eastAsia="Calibri" w:hAnsi="Calibri"/>
          <w:sz w:val="22"/>
          <w:szCs w:val="22"/>
        </w:rPr>
        <w:t xml:space="preserve">Resultado no deseado: ¿dónde estamos hoy como consecuencia?</w:t>
      </w:r>
    </w:p>
    <w:p>
      <w:pPr>
        <w:pStyle w:val="ListParagraph"/>
        <w:numPr>
          <w:ilvl w:val="0"/>
          <w:numId w:val="6"/>
        </w:numPr>
        <w:spacing w:after="90" w:line="280"/>
        <w:jc w:val="both"/>
      </w:pPr>
      <w:r>
        <w:rPr>
          <w:rFonts w:ascii="Calibri" w:cs="Calibri" w:eastAsia="Calibri" w:hAnsi="Calibri"/>
          <w:sz w:val="22"/>
          <w:szCs w:val="22"/>
        </w:rPr>
        <w:t xml:space="preserve">Resultado deseado: ¿dónde queremos estar, con qué métrica y para cuándo?</w:t>
      </w:r>
    </w:p>
    <w:p>
      <w:pPr>
        <w:pStyle w:val="ListParagraph"/>
        <w:numPr>
          <w:ilvl w:val="0"/>
          <w:numId w:val="6"/>
        </w:numPr>
        <w:spacing w:after="90" w:line="280"/>
        <w:jc w:val="both"/>
      </w:pPr>
      <w:r>
        <w:rPr>
          <w:rFonts w:ascii="Calibri" w:cs="Calibri" w:eastAsia="Calibri" w:hAnsi="Calibri"/>
          <w:sz w:val="22"/>
          <w:szCs w:val="22"/>
        </w:rPr>
        <w:t xml:space="preserve">Pregunta: ¿qué es exactamente lo que el lector necesita decidir o saber?</w:t>
      </w:r>
    </w:p>
    <w:p>
      <w:pPr>
        <w:spacing w:after="140" w:before="0" w:line="280"/>
        <w:jc w:val="both"/>
      </w:pPr>
      <w:r>
        <w:rPr>
          <w:rFonts w:ascii="Calibri" w:cs="Calibri" w:eastAsia="Calibri" w:hAnsi="Calibri"/>
          <w:b w:val="false"/>
          <w:bCs w:val="false"/>
          <w:i w:val="false"/>
          <w:iCs w:val="false"/>
          <w:color w:val="000000"/>
          <w:sz w:val="22"/>
          <w:szCs w:val="22"/>
        </w:rPr>
        <w:t xml:space="preserve">La distancia entre el resultado no deseado y el deseado es tu problema. Si no puedes medir esa distancia, el documento va a flotar. Y si el resultado deseado es "mejorar", no tienes un objetivo, tienes una aspiración.</w:t>
      </w:r>
    </w:p>
    <w:p>
      <w:pPr>
        <w:pStyle w:val="Heading2"/>
        <w:spacing w:after="120" w:before="260"/>
      </w:pPr>
      <w:r>
        <w:rPr>
          <w:rFonts w:ascii="Calibri" w:cs="Calibri" w:eastAsia="Calibri" w:hAnsi="Calibri"/>
          <w:b/>
          <w:bCs/>
          <w:color w:val="2E5090"/>
          <w:sz w:val="24"/>
          <w:szCs w:val="24"/>
        </w:rPr>
        <w:t xml:space="preserve">10.2 Árboles de diagnóstico</w:t>
      </w:r>
    </w:p>
    <w:p>
      <w:pPr>
        <w:spacing w:after="140" w:before="0" w:line="280"/>
        <w:jc w:val="both"/>
      </w:pPr>
      <w:r>
        <w:rPr>
          <w:rFonts w:ascii="Calibri" w:cs="Calibri" w:eastAsia="Calibri" w:hAnsi="Calibri"/>
          <w:b w:val="false"/>
          <w:bCs w:val="false"/>
          <w:i w:val="false"/>
          <w:iCs w:val="false"/>
          <w:color w:val="000000"/>
          <w:sz w:val="22"/>
          <w:szCs w:val="22"/>
        </w:rPr>
        <w:t xml:space="preserve">Cuando la pregunta es "por qué ocurre esto", conviene descomponer el problema en un árbol antes de investigar. Tres formas de construirlo:</w:t>
      </w:r>
    </w:p>
    <w:p>
      <w:pPr>
        <w:pStyle w:val="ListParagraph"/>
        <w:numPr>
          <w:ilvl w:val="0"/>
          <w:numId w:val="2"/>
        </w:numPr>
        <w:spacing w:after="90" w:line="280"/>
        <w:jc w:val="both"/>
      </w:pPr>
      <w:r>
        <w:rPr>
          <w:rFonts w:ascii="Calibri" w:cs="Calibri" w:eastAsia="Calibri" w:hAnsi="Calibri"/>
          <w:sz w:val="22"/>
          <w:szCs w:val="22"/>
        </w:rPr>
        <w:t xml:space="preserve">Por el mecanismo: reproduce cómo funciona realmente el proceso o el sistema y ubica en qué punto se rompe. Es el más potente y el que más conocimiento del negocio exige.</w:t>
      </w:r>
    </w:p>
    <w:p>
      <w:pPr>
        <w:pStyle w:val="ListParagraph"/>
        <w:numPr>
          <w:ilvl w:val="0"/>
          <w:numId w:val="2"/>
        </w:numPr>
        <w:spacing w:after="90" w:line="280"/>
        <w:jc w:val="both"/>
      </w:pPr>
      <w:r>
        <w:rPr>
          <w:rFonts w:ascii="Calibri" w:cs="Calibri" w:eastAsia="Calibri" w:hAnsi="Calibri"/>
          <w:sz w:val="22"/>
          <w:szCs w:val="22"/>
        </w:rPr>
        <w:t xml:space="preserve">Por causas posibles: enumera las categorías de causa que podrían producir el efecto observado, y descarta con evidencia. Útil cuando el mecanismo no está claro.</w:t>
      </w:r>
    </w:p>
    <w:p>
      <w:pPr>
        <w:pStyle w:val="ListParagraph"/>
        <w:numPr>
          <w:ilvl w:val="0"/>
          <w:numId w:val="2"/>
        </w:numPr>
        <w:spacing w:after="90" w:line="280"/>
        <w:jc w:val="both"/>
      </w:pPr>
      <w:r>
        <w:rPr>
          <w:rFonts w:ascii="Calibri" w:cs="Calibri" w:eastAsia="Calibri" w:hAnsi="Calibri"/>
          <w:sz w:val="22"/>
          <w:szCs w:val="22"/>
        </w:rPr>
        <w:t xml:space="preserve">Por elementos indeseados: lista lo que no debería estar pasando y rastrea cada uno hasta su origen. Útil en incidentes.</w:t>
      </w:r>
    </w:p>
    <w:p>
      <w:pPr>
        <w:pStyle w:val="Heading2"/>
        <w:spacing w:after="120" w:before="260"/>
      </w:pPr>
      <w:r>
        <w:rPr>
          <w:rFonts w:ascii="Calibri" w:cs="Calibri" w:eastAsia="Calibri" w:hAnsi="Calibri"/>
          <w:b/>
          <w:bCs/>
          <w:color w:val="2E5090"/>
          <w:sz w:val="24"/>
          <w:szCs w:val="24"/>
        </w:rPr>
        <w:t xml:space="preserve">10.3 Árboles de decisión lógica</w:t>
      </w:r>
    </w:p>
    <w:p>
      <w:pPr>
        <w:spacing w:after="140" w:before="0" w:line="280"/>
        <w:jc w:val="both"/>
      </w:pPr>
      <w:r>
        <w:rPr>
          <w:rFonts w:ascii="Calibri" w:cs="Calibri" w:eastAsia="Calibri" w:hAnsi="Calibri"/>
          <w:b w:val="false"/>
          <w:bCs w:val="false"/>
          <w:i w:val="false"/>
          <w:iCs w:val="false"/>
          <w:color w:val="000000"/>
          <w:sz w:val="22"/>
          <w:szCs w:val="22"/>
        </w:rPr>
        <w:t xml:space="preserve">Cuando la pregunta es "qué hacemos", el árbol no descompone causas sino opciones, con sus criterios de evaluación explícitos. La ventaja frente a un análisis narrativo es que obliga a declarar el criterio antes de conocer el resultado, que es la única forma honesta de comparar alternativas.</w:t>
      </w:r>
    </w:p>
    <w:p>
      <w:pPr>
        <w:pStyle w:val="Heading1"/>
        <w:pBdr>
          <w:bottom w:val="single" w:color="D0D3D9" w:sz="6" w:space="6"/>
        </w:pBdr>
        <w:spacing w:after="170" w:before="380"/>
      </w:pPr>
      <w:r>
        <w:rPr>
          <w:rFonts w:ascii="Calibri" w:cs="Calibri" w:eastAsia="Calibri" w:hAnsi="Calibri"/>
          <w:b/>
          <w:bCs/>
          <w:color w:val="1F3864"/>
          <w:sz w:val="30"/>
          <w:szCs w:val="30"/>
        </w:rPr>
        <w:t xml:space="preserve">11. Bajar la pirámide a la página</w:t>
      </w:r>
    </w:p>
    <w:p>
      <w:pPr>
        <w:spacing w:after="140" w:before="0" w:line="280"/>
        <w:jc w:val="both"/>
      </w:pPr>
      <w:r>
        <w:rPr>
          <w:rFonts w:ascii="Calibri" w:cs="Calibri" w:eastAsia="Calibri" w:hAnsi="Calibri"/>
          <w:b w:val="false"/>
          <w:bCs w:val="false"/>
          <w:i w:val="false"/>
          <w:iCs w:val="false"/>
          <w:color w:val="000000"/>
          <w:sz w:val="22"/>
          <w:szCs w:val="22"/>
        </w:rPr>
        <w:t xml:space="preserve">La estructura mental tiene que hacerse visible. Un documento bien pensado y mal maquetado se lee igual de mal que uno mal pensado.</w:t>
      </w:r>
    </w:p>
    <w:p>
      <w:pPr>
        <w:pStyle w:val="Heading2"/>
        <w:spacing w:after="120" w:before="260"/>
      </w:pPr>
      <w:r>
        <w:rPr>
          <w:rFonts w:ascii="Calibri" w:cs="Calibri" w:eastAsia="Calibri" w:hAnsi="Calibri"/>
          <w:b/>
          <w:bCs/>
          <w:color w:val="2E5090"/>
          <w:sz w:val="24"/>
          <w:szCs w:val="24"/>
        </w:rPr>
        <w:t xml:space="preserve">11.1 Encabezados que son ideas, no temas</w:t>
      </w:r>
    </w:p>
    <w:p>
      <w:pPr>
        <w:spacing w:after="140" w:before="0" w:line="280"/>
        <w:jc w:val="both"/>
      </w:pPr>
      <w:r>
        <w:rPr>
          <w:rFonts w:ascii="Calibri" w:cs="Calibri" w:eastAsia="Calibri" w:hAnsi="Calibri"/>
          <w:b w:val="false"/>
          <w:bCs w:val="false"/>
          <w:i w:val="false"/>
          <w:iCs w:val="false"/>
          <w:color w:val="000000"/>
          <w:sz w:val="22"/>
          <w:szCs w:val="22"/>
        </w:rPr>
        <w:t xml:space="preserve">Un encabezado debe poder leerse solo y comunicar algo. "Metodología" es un tema. "La recalibración usa una ventana ampliada a doce años" es una idea. Si el lector recorre únicamente tus encabezados, debería quedarse con el argumento completo. Ese es el estándar.</w:t>
      </w:r>
    </w:p>
    <w:p>
      <w:pPr>
        <w:spacing w:after="140" w:before="0" w:line="280"/>
        <w:jc w:val="both"/>
      </w:pPr>
      <w:r>
        <w:rPr>
          <w:rFonts w:ascii="Calibri" w:cs="Calibri" w:eastAsia="Calibri" w:hAnsi="Calibri"/>
          <w:b w:val="false"/>
          <w:bCs w:val="false"/>
          <w:i w:val="false"/>
          <w:iCs w:val="false"/>
          <w:color w:val="000000"/>
          <w:sz w:val="22"/>
          <w:szCs w:val="22"/>
        </w:rPr>
        <w:t xml:space="preserve">Corolario incómodo: eso significa que un documento de veinte páginas debería tener unos ocho a doce encabezados con contenido real, no cuarenta rótulos genéricos.</w:t>
      </w:r>
    </w:p>
    <w:p>
      <w:pPr>
        <w:pStyle w:val="Heading2"/>
        <w:spacing w:after="120" w:before="260"/>
      </w:pPr>
      <w:r>
        <w:rPr>
          <w:rFonts w:ascii="Calibri" w:cs="Calibri" w:eastAsia="Calibri" w:hAnsi="Calibri"/>
          <w:b/>
          <w:bCs/>
          <w:color w:val="2E5090"/>
          <w:sz w:val="24"/>
          <w:szCs w:val="24"/>
        </w:rPr>
        <w:t xml:space="preserve">11.2 Resumen ejecutivo</w:t>
      </w:r>
    </w:p>
    <w:p>
      <w:pPr>
        <w:spacing w:after="140" w:before="0" w:line="280"/>
        <w:jc w:val="both"/>
      </w:pPr>
      <w:r>
        <w:rPr>
          <w:rFonts w:ascii="Calibri" w:cs="Calibri" w:eastAsia="Calibri" w:hAnsi="Calibri"/>
          <w:b w:val="false"/>
          <w:bCs w:val="false"/>
          <w:i w:val="false"/>
          <w:iCs w:val="false"/>
          <w:color w:val="000000"/>
          <w:sz w:val="22"/>
          <w:szCs w:val="22"/>
        </w:rPr>
        <w:t xml:space="preserve">No es una versión abreviada del documento ni una lista de secciones. Es la punta de la pirámide más el primer nivel de soporte, en prosa. Cuatro a ocho renglones. Si el lector solo lee eso, debe poder tomar la decisión y explicarla a un tercero.</w:t>
      </w:r>
    </w:p>
    <w:p>
      <w:pPr>
        <w:spacing w:after="140" w:before="0" w:line="280"/>
        <w:jc w:val="both"/>
      </w:pPr>
      <w:r>
        <w:rPr>
          <w:rFonts w:ascii="Calibri" w:cs="Calibri" w:eastAsia="Calibri" w:hAnsi="Calibri"/>
          <w:b w:val="false"/>
          <w:bCs w:val="false"/>
          <w:i w:val="false"/>
          <w:iCs w:val="false"/>
          <w:color w:val="000000"/>
          <w:sz w:val="22"/>
          <w:szCs w:val="22"/>
        </w:rPr>
        <w:t xml:space="preserve">Prueba brutal: entrega solo el resumen ejecutivo a alguien que no conozca el tema y pídele que te diga qué decisión se está pidiendo y por qué. Si titubea, reescríbelo.</w:t>
      </w:r>
    </w:p>
    <w:p>
      <w:pPr>
        <w:pStyle w:val="Heading2"/>
        <w:spacing w:after="120" w:before="260"/>
      </w:pPr>
      <w:r>
        <w:rPr>
          <w:rFonts w:ascii="Calibri" w:cs="Calibri" w:eastAsia="Calibri" w:hAnsi="Calibri"/>
          <w:b/>
          <w:bCs/>
          <w:color w:val="2E5090"/>
          <w:sz w:val="24"/>
          <w:szCs w:val="24"/>
        </w:rPr>
        <w:t xml:space="preserve">11.3 Transiciones</w:t>
      </w:r>
    </w:p>
    <w:p>
      <w:pPr>
        <w:spacing w:after="140" w:before="0" w:line="280"/>
        <w:jc w:val="both"/>
      </w:pPr>
      <w:r>
        <w:rPr>
          <w:rFonts w:ascii="Calibri" w:cs="Calibri" w:eastAsia="Calibri" w:hAnsi="Calibri"/>
          <w:b w:val="false"/>
          <w:bCs w:val="false"/>
          <w:i w:val="false"/>
          <w:iCs w:val="false"/>
          <w:color w:val="000000"/>
          <w:sz w:val="22"/>
          <w:szCs w:val="22"/>
        </w:rPr>
        <w:t xml:space="preserve">Al pasar de un bloque a otro, el lector necesita saber dónde está parado. Una frase basta: retoma la idea que acabas de cerrar y anuncia la pregunta que abre la siguiente. Lo que no funciona es la transición decorativa que no dice nada ("A continuación se presenta la siguiente sección").</w:t>
      </w:r>
    </w:p>
    <w:p>
      <w:pPr>
        <w:pStyle w:val="Heading2"/>
        <w:spacing w:after="120" w:before="260"/>
      </w:pPr>
      <w:r>
        <w:rPr>
          <w:rFonts w:ascii="Calibri" w:cs="Calibri" w:eastAsia="Calibri" w:hAnsi="Calibri"/>
          <w:b/>
          <w:bCs/>
          <w:color w:val="2E5090"/>
          <w:sz w:val="24"/>
          <w:szCs w:val="24"/>
        </w:rPr>
        <w:t xml:space="preserve">11.4 Numeración y jerarquía visual</w:t>
      </w:r>
    </w:p>
    <w:p>
      <w:pPr>
        <w:pStyle w:val="ListParagraph"/>
        <w:numPr>
          <w:ilvl w:val="0"/>
          <w:numId w:val="2"/>
        </w:numPr>
        <w:spacing w:after="90" w:line="280"/>
        <w:jc w:val="both"/>
      </w:pPr>
      <w:r>
        <w:rPr>
          <w:rFonts w:ascii="Calibri" w:cs="Calibri" w:eastAsia="Calibri" w:hAnsi="Calibri"/>
          <w:sz w:val="22"/>
          <w:szCs w:val="22"/>
        </w:rPr>
        <w:t xml:space="preserve">La jerarquía visual debe corresponder a la jerarquía lógica. Dos ideas del mismo nivel se ven igual; una idea subordinada se ve subordinada.</w:t>
      </w:r>
    </w:p>
    <w:p>
      <w:pPr>
        <w:pStyle w:val="ListParagraph"/>
        <w:numPr>
          <w:ilvl w:val="0"/>
          <w:numId w:val="2"/>
        </w:numPr>
        <w:spacing w:after="90" w:line="280"/>
        <w:jc w:val="both"/>
      </w:pPr>
      <w:r>
        <w:rPr>
          <w:rFonts w:ascii="Calibri" w:cs="Calibri" w:eastAsia="Calibri" w:hAnsi="Calibri"/>
          <w:sz w:val="22"/>
          <w:szCs w:val="22"/>
        </w:rPr>
        <w:t xml:space="preserve">No pases de tres niveles de profundidad en un documento de negocio. Si necesitas un cuarto nivel, ese material es anexo.</w:t>
      </w:r>
    </w:p>
    <w:p>
      <w:pPr>
        <w:pStyle w:val="ListParagraph"/>
        <w:numPr>
          <w:ilvl w:val="0"/>
          <w:numId w:val="2"/>
        </w:numPr>
        <w:spacing w:after="90" w:line="280"/>
        <w:jc w:val="both"/>
      </w:pPr>
      <w:r>
        <w:rPr>
          <w:rFonts w:ascii="Calibri" w:cs="Calibri" w:eastAsia="Calibri" w:hAnsi="Calibri"/>
          <w:sz w:val="22"/>
          <w:szCs w:val="22"/>
        </w:rPr>
        <w:t xml:space="preserve">Los anexos existen para sacar del cuerpo lo que sostiene pero no argumenta: tablas de resultados, especificación técnica, pruebas de robustez. Que existan no te exime de resumir su mensaje en el cuerpo.</w:t>
      </w:r>
    </w:p>
    <w:p>
      <w:pPr>
        <w:pStyle w:val="Heading1"/>
        <w:pBdr>
          <w:bottom w:val="single" w:color="D0D3D9" w:sz="6" w:space="6"/>
        </w:pBdr>
        <w:spacing w:after="170" w:before="380"/>
      </w:pPr>
      <w:r>
        <w:rPr>
          <w:rFonts w:ascii="Calibri" w:cs="Calibri" w:eastAsia="Calibri" w:hAnsi="Calibri"/>
          <w:b/>
          <w:bCs/>
          <w:color w:val="1F3864"/>
          <w:sz w:val="30"/>
          <w:szCs w:val="30"/>
        </w:rPr>
        <w:t xml:space="preserve">12. La pirámide en presentaciones</w:t>
      </w:r>
    </w:p>
    <w:p>
      <w:pPr>
        <w:spacing w:after="140" w:before="0" w:line="280"/>
        <w:jc w:val="both"/>
      </w:pPr>
      <w:r>
        <w:rPr>
          <w:rFonts w:ascii="Calibri" w:cs="Calibri" w:eastAsia="Calibri" w:hAnsi="Calibri"/>
          <w:b w:val="false"/>
          <w:bCs w:val="false"/>
          <w:i w:val="false"/>
          <w:iCs w:val="false"/>
          <w:color w:val="000000"/>
          <w:sz w:val="22"/>
          <w:szCs w:val="22"/>
        </w:rPr>
        <w:t xml:space="preserve">La adaptación a láminas es donde el método rinde más en tu contexto, porque un comité no lee: escucha y ve.</w:t>
      </w:r>
    </w:p>
    <w:p>
      <w:pPr>
        <w:pStyle w:val="Heading2"/>
        <w:spacing w:after="120" w:before="260"/>
      </w:pPr>
      <w:r>
        <w:rPr>
          <w:rFonts w:ascii="Calibri" w:cs="Calibri" w:eastAsia="Calibri" w:hAnsi="Calibri"/>
          <w:b/>
          <w:bCs/>
          <w:color w:val="2E5090"/>
          <w:sz w:val="24"/>
          <w:szCs w:val="24"/>
        </w:rPr>
        <w:t xml:space="preserve">12.1 El título de la lámina es el mensaje</w:t>
      </w:r>
    </w:p>
    <w:p>
      <w:pPr>
        <w:spacing w:after="140" w:before="0" w:line="280"/>
        <w:jc w:val="both"/>
      </w:pPr>
      <w:r>
        <w:rPr>
          <w:rFonts w:ascii="Calibri" w:cs="Calibri" w:eastAsia="Calibri" w:hAnsi="Calibri"/>
          <w:b w:val="false"/>
          <w:bCs w:val="false"/>
          <w:i w:val="false"/>
          <w:iCs w:val="false"/>
          <w:color w:val="000000"/>
          <w:sz w:val="22"/>
          <w:szCs w:val="22"/>
        </w:rPr>
        <w:t xml:space="preserve">La regla es sencilla y casi nadie la aplica: el título de cada lámina es la conclusión de esa lámina, escrita como oración completa. El contenido de la lámina es la evidencia de ese título.</w:t>
      </w:r>
    </w:p>
    <w:p>
      <w:pPr>
        <w:pBdr>
          <w:left w:val="single" w:color="8B4513" w:sz="12" w:space="12"/>
        </w:pBdr>
        <w:spacing w:after="40" w:before="100" w:line="260"/>
        <w:ind w:left="340"/>
      </w:pPr>
      <w:r>
        <w:rPr>
          <w:rFonts w:ascii="Consolas" w:cs="Consolas" w:eastAsia="Consolas" w:hAnsi="Consolas"/>
          <w:color w:val="2B2B2B"/>
          <w:sz w:val="19"/>
          <w:szCs w:val="19"/>
        </w:rPr>
        <w:t xml:space="preserve">Título débil: "Evolución de la mora por cosecha"</w:t>
      </w:r>
    </w:p>
    <w:p>
      <w:pPr>
        <w:pBdr>
          <w:left w:val="single" w:color="8B4513" w:sz="12" w:space="12"/>
        </w:pBdr>
        <w:spacing w:after="160" w:before="0" w:line="260"/>
        <w:ind w:left="340"/>
      </w:pPr>
      <w:r>
        <w:rPr>
          <w:rFonts w:ascii="Consolas" w:cs="Consolas" w:eastAsia="Consolas" w:hAnsi="Consolas"/>
          <w:color w:val="2B2B2B"/>
          <w:sz w:val="19"/>
          <w:szCs w:val="19"/>
        </w:rPr>
        <w:t xml:space="preserve">Título correcto: "Las cosechas posteriores al cambio de política se deterioran 30% más rápido"</w:t>
      </w:r>
    </w:p>
    <w:p>
      <w:pPr>
        <w:spacing w:after="140" w:before="0" w:line="280"/>
        <w:jc w:val="both"/>
      </w:pPr>
      <w:r>
        <w:rPr>
          <w:rFonts w:ascii="Calibri" w:cs="Calibri" w:eastAsia="Calibri" w:hAnsi="Calibri"/>
          <w:b w:val="false"/>
          <w:bCs w:val="false"/>
          <w:i w:val="false"/>
          <w:iCs w:val="false"/>
          <w:color w:val="000000"/>
          <w:sz w:val="22"/>
          <w:szCs w:val="22"/>
        </w:rPr>
        <w:t xml:space="preserve">Consecuencia práctica: si lees en voz alta únicamente los títulos de tu presentación, en orden, debe salir un argumento completo y coherente. Ese es el mejor diagnóstico que existe de una baraja. Hazlo antes de cada comité; toma noventa segundos.</w:t>
      </w:r>
    </w:p>
    <w:p>
      <w:pPr>
        <w:pStyle w:val="Heading2"/>
        <w:spacing w:after="120" w:before="260"/>
      </w:pPr>
      <w:r>
        <w:rPr>
          <w:rFonts w:ascii="Calibri" w:cs="Calibri" w:eastAsia="Calibri" w:hAnsi="Calibri"/>
          <w:b/>
          <w:bCs/>
          <w:color w:val="2E5090"/>
          <w:sz w:val="24"/>
          <w:szCs w:val="24"/>
        </w:rPr>
        <w:t xml:space="preserve">12.2 Una idea por lámina</w:t>
      </w:r>
    </w:p>
    <w:p>
      <w:pPr>
        <w:spacing w:after="140" w:before="0" w:line="280"/>
        <w:jc w:val="both"/>
      </w:pPr>
      <w:r>
        <w:rPr>
          <w:rFonts w:ascii="Calibri" w:cs="Calibri" w:eastAsia="Calibri" w:hAnsi="Calibri"/>
          <w:b w:val="false"/>
          <w:bCs w:val="false"/>
          <w:i w:val="false"/>
          <w:iCs w:val="false"/>
          <w:color w:val="000000"/>
          <w:sz w:val="22"/>
          <w:szCs w:val="22"/>
        </w:rPr>
        <w:t xml:space="preserve">Si el título necesita una conjunción para ser cierto —"y además"—, son dos láminas. La tentación de comprimir viene de querer parecer eficiente; el efecto es que el comité se pierde y pregunta cosas que ya estaban contestadas.</w:t>
      </w:r>
    </w:p>
    <w:p>
      <w:pPr>
        <w:pStyle w:val="Heading2"/>
        <w:spacing w:after="120" w:before="260"/>
      </w:pPr>
      <w:r>
        <w:rPr>
          <w:rFonts w:ascii="Calibri" w:cs="Calibri" w:eastAsia="Calibri" w:hAnsi="Calibri"/>
          <w:b/>
          <w:bCs/>
          <w:color w:val="2E5090"/>
          <w:sz w:val="24"/>
          <w:szCs w:val="24"/>
        </w:rPr>
        <w:t xml:space="preserve">12.3 Gráficas</w:t>
      </w:r>
    </w:p>
    <w:p>
      <w:pPr>
        <w:pStyle w:val="ListParagraph"/>
        <w:numPr>
          <w:ilvl w:val="0"/>
          <w:numId w:val="2"/>
        </w:numPr>
        <w:spacing w:after="90" w:line="280"/>
        <w:jc w:val="both"/>
      </w:pPr>
      <w:r>
        <w:rPr>
          <w:rFonts w:ascii="Calibri" w:cs="Calibri" w:eastAsia="Calibri" w:hAnsi="Calibri"/>
          <w:sz w:val="22"/>
          <w:szCs w:val="22"/>
        </w:rPr>
        <w:t xml:space="preserve">El título de la gráfica dice el hallazgo, no la variable graficada.</w:t>
      </w:r>
    </w:p>
    <w:p>
      <w:pPr>
        <w:pStyle w:val="ListParagraph"/>
        <w:numPr>
          <w:ilvl w:val="0"/>
          <w:numId w:val="2"/>
        </w:numPr>
        <w:spacing w:after="90" w:line="280"/>
        <w:jc w:val="both"/>
      </w:pPr>
      <w:r>
        <w:rPr>
          <w:rFonts w:ascii="Calibri" w:cs="Calibri" w:eastAsia="Calibri" w:hAnsi="Calibri"/>
          <w:sz w:val="22"/>
          <w:szCs w:val="22"/>
        </w:rPr>
        <w:t xml:space="preserve">Marca visualmente lo que quieres que vean. Si todo tiene el mismo peso visual, el lector elige por su cuenta qué mirar.</w:t>
      </w:r>
    </w:p>
    <w:p>
      <w:pPr>
        <w:pStyle w:val="ListParagraph"/>
        <w:numPr>
          <w:ilvl w:val="0"/>
          <w:numId w:val="2"/>
        </w:numPr>
        <w:spacing w:after="90" w:line="280"/>
        <w:jc w:val="both"/>
      </w:pPr>
      <w:r>
        <w:rPr>
          <w:rFonts w:ascii="Calibri" w:cs="Calibri" w:eastAsia="Calibri" w:hAnsi="Calibri"/>
          <w:sz w:val="22"/>
          <w:szCs w:val="22"/>
        </w:rPr>
        <w:t xml:space="preserve">Una gráfica que necesita explicación oral para entenderse no sirve en un documento que va a circular sin ti. Y en un banco, todo circula sin ti.</w:t>
      </w:r>
    </w:p>
    <w:p>
      <w:pPr>
        <w:pStyle w:val="Heading1"/>
        <w:pBdr>
          <w:bottom w:val="single" w:color="D0D3D9" w:sz="6" w:space="6"/>
        </w:pBdr>
        <w:spacing w:after="170" w:before="380"/>
      </w:pPr>
      <w:r>
        <w:rPr>
          <w:rFonts w:ascii="Calibri" w:cs="Calibri" w:eastAsia="Calibri" w:hAnsi="Calibri"/>
          <w:b/>
          <w:bCs/>
          <w:color w:val="1F3864"/>
          <w:sz w:val="30"/>
          <w:szCs w:val="30"/>
        </w:rPr>
        <w:t xml:space="preserve">13. Adaptación al entorno bancario y regulatorio</w:t>
      </w:r>
    </w:p>
    <w:p>
      <w:pPr>
        <w:spacing w:after="140" w:before="0" w:line="280"/>
        <w:jc w:val="both"/>
      </w:pPr>
      <w:r>
        <w:rPr>
          <w:rFonts w:ascii="Calibri" w:cs="Calibri" w:eastAsia="Calibri" w:hAnsi="Calibri"/>
          <w:b w:val="false"/>
          <w:bCs w:val="false"/>
          <w:i w:val="false"/>
          <w:iCs w:val="false"/>
          <w:color w:val="000000"/>
          <w:sz w:val="22"/>
          <w:szCs w:val="22"/>
        </w:rPr>
        <w:t xml:space="preserve">El método fue diseñado para consultoría. Trasladarlo tal cual a un banco supervisado tiene fricciones reales que conviene anticipar.</w:t>
      </w:r>
    </w:p>
    <w:p>
      <w:pPr>
        <w:pStyle w:val="Heading2"/>
        <w:spacing w:after="120" w:before="260"/>
      </w:pPr>
      <w:r>
        <w:rPr>
          <w:rFonts w:ascii="Calibri" w:cs="Calibri" w:eastAsia="Calibri" w:hAnsi="Calibri"/>
          <w:b/>
          <w:bCs/>
          <w:color w:val="2E5090"/>
          <w:sz w:val="24"/>
          <w:szCs w:val="24"/>
        </w:rPr>
        <w:t xml:space="preserve">13.1 Cuando el destinatario es el regulador</w:t>
      </w:r>
    </w:p>
    <w:p>
      <w:pPr>
        <w:spacing w:after="140" w:before="0" w:line="280"/>
        <w:jc w:val="both"/>
      </w:pPr>
      <w:r>
        <w:rPr>
          <w:rFonts w:ascii="Calibri" w:cs="Calibri" w:eastAsia="Calibri" w:hAnsi="Calibri"/>
          <w:b w:val="false"/>
          <w:bCs w:val="false"/>
          <w:i w:val="false"/>
          <w:iCs w:val="false"/>
          <w:color w:val="000000"/>
          <w:sz w:val="22"/>
          <w:szCs w:val="22"/>
        </w:rPr>
        <w:t xml:space="preserve">Un supervisor no lee para decidir rápido: lee para verificar cumplimiento y trazabilidad, y muchas veces espera un orden expositivo prescrito. Ahí no puedes reordenar libremente.</w:t>
      </w:r>
    </w:p>
    <w:p>
      <w:pPr>
        <w:spacing w:after="140" w:before="0" w:line="280"/>
        <w:jc w:val="both"/>
      </w:pPr>
      <w:r>
        <w:rPr>
          <w:rFonts w:ascii="Calibri" w:cs="Calibri" w:eastAsia="Calibri" w:hAnsi="Calibri"/>
          <w:b w:val="false"/>
          <w:bCs w:val="false"/>
          <w:i w:val="false"/>
          <w:iCs w:val="false"/>
          <w:color w:val="000000"/>
          <w:sz w:val="22"/>
          <w:szCs w:val="22"/>
        </w:rPr>
        <w:t xml:space="preserve">La solución no es abandonar la pirámide sino duplicar la entrada: un resumen en formato pirámide al frente, y el cuerpo en el orden que el supervisor espera. El resumen te da claridad; el cuerpo te da cumplimiento. Ningún supervisor ha objetado nunca que le digan la conclusión primero.</w:t>
      </w:r>
    </w:p>
    <w:p>
      <w:pPr>
        <w:pStyle w:val="Heading2"/>
        <w:spacing w:after="120" w:before="260"/>
      </w:pPr>
      <w:r>
        <w:rPr>
          <w:rFonts w:ascii="Calibri" w:cs="Calibri" w:eastAsia="Calibri" w:hAnsi="Calibri"/>
          <w:b/>
          <w:bCs/>
          <w:color w:val="2E5090"/>
          <w:sz w:val="24"/>
          <w:szCs w:val="24"/>
        </w:rPr>
        <w:t xml:space="preserve">13.2 Cuando la conclusión es incómoda</w:t>
      </w:r>
    </w:p>
    <w:p>
      <w:pPr>
        <w:spacing w:after="140" w:before="0" w:line="280"/>
        <w:jc w:val="both"/>
      </w:pPr>
      <w:r>
        <w:rPr>
          <w:rFonts w:ascii="Calibri" w:cs="Calibri" w:eastAsia="Calibri" w:hAnsi="Calibri"/>
          <w:b w:val="false"/>
          <w:bCs w:val="false"/>
          <w:i w:val="false"/>
          <w:iCs w:val="false"/>
          <w:color w:val="000000"/>
          <w:sz w:val="22"/>
          <w:szCs w:val="22"/>
        </w:rPr>
        <w:t xml:space="preserve">La objeción más común a "conclusión primero" es política: si el mensaje es malo, decirlo en el renglón uno se siente brusco. La objeción es legítima y la respuesta es que el orden no cambia, cambia el encuadre: la conclusión sigue yendo primero, pero enunciada junto con la ruta de salida.</w:t>
      </w:r>
    </w:p>
    <w:p>
      <w:pPr>
        <w:pBdr>
          <w:left w:val="single" w:color="8B4513" w:sz="12" w:space="12"/>
        </w:pBdr>
        <w:spacing w:after="40" w:before="100" w:line="260"/>
        <w:ind w:left="340"/>
      </w:pPr>
      <w:r>
        <w:rPr>
          <w:rFonts w:ascii="Consolas" w:cs="Consolas" w:eastAsia="Consolas" w:hAnsi="Consolas"/>
          <w:color w:val="2B2B2B"/>
          <w:sz w:val="19"/>
          <w:szCs w:val="19"/>
        </w:rPr>
        <w:t xml:space="preserve">Brusco: "El modelo no pasará la validación."</w:t>
      </w:r>
    </w:p>
    <w:p>
      <w:pPr>
        <w:pBdr>
          <w:left w:val="single" w:color="8B4513" w:sz="12" w:space="12"/>
        </w:pBdr>
        <w:spacing w:after="160" w:before="0" w:line="260"/>
        <w:ind w:left="340"/>
      </w:pPr>
      <w:r>
        <w:rPr>
          <w:rFonts w:ascii="Consolas" w:cs="Consolas" w:eastAsia="Consolas" w:hAnsi="Consolas"/>
          <w:color w:val="2B2B2B"/>
          <w:sz w:val="19"/>
          <w:szCs w:val="19"/>
        </w:rPr>
        <w:t xml:space="preserve">Pirámide con encuadre: "El modelo no pasará la validación en su forma actual; un ajuste conservador transitorio preserva la fecha regulatoria mientras se recalibra."</w:t>
      </w:r>
    </w:p>
    <w:p>
      <w:pPr>
        <w:spacing w:after="140" w:before="0" w:line="280"/>
        <w:jc w:val="both"/>
      </w:pPr>
      <w:r>
        <w:rPr>
          <w:rFonts w:ascii="Calibri" w:cs="Calibri" w:eastAsia="Calibri" w:hAnsi="Calibri"/>
          <w:b w:val="false"/>
          <w:bCs w:val="false"/>
          <w:i w:val="false"/>
          <w:iCs w:val="false"/>
          <w:color w:val="000000"/>
          <w:sz w:val="22"/>
          <w:szCs w:val="22"/>
        </w:rPr>
        <w:t xml:space="preserve">Ambas dicen lo mismo. La segunda es igual de honesta y deja al lector con una decisión en la mano en vez de con un problema en la mano.</w:t>
      </w:r>
    </w:p>
    <w:p>
      <w:pPr>
        <w:pStyle w:val="Heading2"/>
        <w:spacing w:after="120" w:before="260"/>
      </w:pPr>
      <w:r>
        <w:rPr>
          <w:rFonts w:ascii="Calibri" w:cs="Calibri" w:eastAsia="Calibri" w:hAnsi="Calibri"/>
          <w:b/>
          <w:bCs/>
          <w:color w:val="2E5090"/>
          <w:sz w:val="24"/>
          <w:szCs w:val="24"/>
        </w:rPr>
        <w:t xml:space="preserve">13.3 El doble reporte</w:t>
      </w:r>
    </w:p>
    <w:p>
      <w:pPr>
        <w:spacing w:after="140" w:before="0" w:line="280"/>
        <w:jc w:val="both"/>
      </w:pPr>
      <w:r>
        <w:rPr>
          <w:rFonts w:ascii="Calibri" w:cs="Calibri" w:eastAsia="Calibri" w:hAnsi="Calibri"/>
          <w:b w:val="false"/>
          <w:bCs w:val="false"/>
          <w:i w:val="false"/>
          <w:iCs w:val="false"/>
          <w:color w:val="000000"/>
          <w:sz w:val="22"/>
          <w:szCs w:val="22"/>
        </w:rPr>
        <w:t xml:space="preserve">Cuando un mismo asunto va a dos jefaturas con intereses distintos, la tentación es escribir un documento neutro que no incomode a ninguna. El resultado suele ser un documento que no le sirve a ninguna.</w:t>
      </w:r>
    </w:p>
    <w:p>
      <w:pPr>
        <w:spacing w:after="140" w:before="0" w:line="280"/>
        <w:jc w:val="both"/>
      </w:pPr>
      <w:r>
        <w:rPr>
          <w:rFonts w:ascii="Calibri" w:cs="Calibri" w:eastAsia="Calibri" w:hAnsi="Calibri"/>
          <w:b w:val="false"/>
          <w:bCs w:val="false"/>
          <w:i w:val="false"/>
          <w:iCs w:val="false"/>
          <w:color w:val="000000"/>
          <w:sz w:val="22"/>
          <w:szCs w:val="22"/>
        </w:rPr>
        <w:t xml:space="preserve">La pirámide ayuda a hacerlo bien: la punta —el hecho y la recomendación— es la misma para ambos; lo que cambia es la introducción, porque la complicación relevante para cada uno es distinta. Un documento, dos entradas. Eso no es doble discurso: es reconocer que la pregunta que cada lector trae es distinta.</w:t>
      </w:r>
    </w:p>
    <w:p>
      <w:r>
        <w:br w:type="page"/>
      </w:r>
    </w:p>
    <w:p>
      <w:pPr>
        <w:spacing w:after="60" w:before="900"/>
      </w:pPr>
      <w:r>
        <w:rPr>
          <w:rFonts w:ascii="Calibri" w:cs="Calibri" w:eastAsia="Calibri" w:hAnsi="Calibri"/>
          <w:b/>
          <w:bCs/>
          <w:color w:val="8B4513"/>
          <w:spacing w:val="60"/>
          <w:sz w:val="20"/>
          <w:szCs w:val="20"/>
        </w:rPr>
        <w:t xml:space="preserve">PARTE II</w:t>
      </w:r>
    </w:p>
    <w:p>
      <w:pPr>
        <w:spacing w:after="120"/>
      </w:pPr>
      <w:r>
        <w:rPr>
          <w:rFonts w:ascii="Calibri" w:cs="Calibri" w:eastAsia="Calibri" w:hAnsi="Calibri"/>
          <w:b/>
          <w:bCs/>
          <w:color w:val="1F3864"/>
          <w:sz w:val="44"/>
          <w:szCs w:val="44"/>
        </w:rPr>
        <w:t xml:space="preserve">Casos aplicados</w:t>
      </w:r>
    </w:p>
    <w:p>
      <w:pPr>
        <w:pBdr>
          <w:top w:val="single" w:color="1F3864" w:sz="6" w:space="8"/>
        </w:pBdr>
        <w:spacing w:after="200"/>
      </w:pPr>
      <w:r>
        <w:rPr>
          <w:rFonts w:ascii="Calibri" w:cs="Calibri" w:eastAsia="Calibri" w:hAnsi="Calibri"/>
          <w:i/>
          <w:iCs/>
          <w:color w:val="595959"/>
          <w:sz w:val="22"/>
          <w:szCs w:val="22"/>
        </w:rPr>
        <w:t xml:space="preserve">Ocho situaciones que se repiten, con la estructura y el ejemplo trabajado de cada una.</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14. Tres ejemplos trabajados</w:t>
      </w:r>
    </w:p>
    <w:p>
      <w:pPr>
        <w:pStyle w:val="Heading2"/>
        <w:spacing w:after="120" w:before="260"/>
      </w:pPr>
      <w:r>
        <w:rPr>
          <w:rFonts w:ascii="Calibri" w:cs="Calibri" w:eastAsia="Calibri" w:hAnsi="Calibri"/>
          <w:b/>
          <w:bCs/>
          <w:color w:val="2E5090"/>
          <w:sz w:val="24"/>
          <w:szCs w:val="24"/>
        </w:rPr>
        <w:t xml:space="preserve">14.1 Memo de deterioro de portafolio</w:t>
      </w:r>
    </w:p>
    <w:p>
      <w:pPr>
        <w:spacing w:after="140" w:before="0" w:line="280"/>
        <w:jc w:val="both"/>
      </w:pPr>
      <w:r>
        <w:rPr>
          <w:rFonts w:ascii="Calibri" w:cs="Calibri" w:eastAsia="Calibri" w:hAnsi="Calibri"/>
          <w:b w:val="false"/>
          <w:bCs w:val="false"/>
          <w:i w:val="false"/>
          <w:iCs w:val="false"/>
          <w:color w:val="000000"/>
          <w:sz w:val="22"/>
          <w:szCs w:val="22"/>
        </w:rPr>
        <w:t xml:space="preserve">Versión típica, orden de trabajo:</w:t>
      </w:r>
    </w:p>
    <w:p>
      <w:pPr>
        <w:pBdr>
          <w:left w:val="single" w:color="8B4513" w:sz="12" w:space="12"/>
        </w:pBdr>
        <w:spacing w:after="160" w:before="100" w:line="260"/>
        <w:ind w:left="340"/>
      </w:pPr>
      <w:r>
        <w:rPr>
          <w:rFonts w:ascii="Consolas" w:cs="Consolas" w:eastAsia="Consolas" w:hAnsi="Consolas"/>
          <w:color w:val="2B2B2B"/>
          <w:sz w:val="19"/>
          <w:szCs w:val="19"/>
        </w:rPr>
        <w:t xml:space="preserve">"Se realizó el análisis trimestral de la cartera mayorista. Se revisaron 1,240 acreditados con corte a junio. La metodología consistió en el cálculo de tasas de migración por calificación y el análisis de cosechas. Los resultados muestran variaciones en varios segmentos. En la sección 4 se presentan las conclusiones y recomendaciones."</w:t>
      </w:r>
    </w:p>
    <w:p>
      <w:pPr>
        <w:spacing w:after="140" w:before="0" w:line="280"/>
        <w:jc w:val="both"/>
      </w:pPr>
      <w:r>
        <w:rPr>
          <w:rFonts w:ascii="Calibri" w:cs="Calibri" w:eastAsia="Calibri" w:hAnsi="Calibri"/>
          <w:b w:val="false"/>
          <w:bCs w:val="false"/>
          <w:i w:val="false"/>
          <w:iCs w:val="false"/>
          <w:color w:val="000000"/>
          <w:sz w:val="22"/>
          <w:szCs w:val="22"/>
        </w:rPr>
        <w:t xml:space="preserve">Versión en pirámide:</w:t>
      </w:r>
    </w:p>
    <w:p>
      <w:pPr>
        <w:pBdr>
          <w:left w:val="single" w:color="8B4513" w:sz="12" w:space="12"/>
        </w:pBdr>
        <w:spacing w:after="40" w:before="100" w:line="260"/>
        <w:ind w:left="340"/>
      </w:pPr>
      <w:r>
        <w:rPr>
          <w:rFonts w:ascii="Consolas" w:cs="Consolas" w:eastAsia="Consolas" w:hAnsi="Consolas"/>
          <w:color w:val="2B2B2B"/>
          <w:sz w:val="19"/>
          <w:szCs w:val="19"/>
        </w:rPr>
        <w:t xml:space="preserve">"El deterioro del trimestre se concentra en un solo sector y es reversible sin cambiar el apetito de riesgo.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Manufactura de exportación explica el 70% de las migraciones a la baja, en un contexto en el que el resto de la cartera se mantiene estable. El deterioro se origina en acreditados originados bajo el punto de corte anterior, no en el desempeño del modelo vigente. Un ajuste de límite sectorial y una revisión de los doce acreditados de mayor exposición contienen el efecto sin afectar originación en el resto de la cartera.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Se requiere aprobación del ajuste sectorial en el comité del 15 de septiembre."</w:t>
      </w:r>
    </w:p>
    <w:p>
      <w:pPr>
        <w:spacing w:after="140" w:before="0" w:line="280"/>
        <w:jc w:val="both"/>
      </w:pPr>
      <w:r>
        <w:rPr>
          <w:rFonts w:ascii="Calibri" w:cs="Calibri" w:eastAsia="Calibri" w:hAnsi="Calibri"/>
          <w:b w:val="false"/>
          <w:bCs w:val="false"/>
          <w:i w:val="false"/>
          <w:iCs w:val="false"/>
          <w:color w:val="000000"/>
          <w:sz w:val="22"/>
          <w:szCs w:val="22"/>
        </w:rPr>
        <w:t xml:space="preserve">Cambió el orden, no el contenido. La primera versión pide veinte minutos de lectura para llegar a lo mismo; la segunda deja al lector en condiciones de decidir en treinta segundos y de profundizar si quiere.</w:t>
      </w:r>
    </w:p>
    <w:p>
      <w:pPr>
        <w:pStyle w:val="Heading2"/>
        <w:spacing w:after="120" w:before="260"/>
      </w:pPr>
      <w:r>
        <w:rPr>
          <w:rFonts w:ascii="Calibri" w:cs="Calibri" w:eastAsia="Calibri" w:hAnsi="Calibri"/>
          <w:b/>
          <w:bCs/>
          <w:color w:val="2E5090"/>
          <w:sz w:val="24"/>
          <w:szCs w:val="24"/>
        </w:rPr>
        <w:t xml:space="preserve">14.2 Nota de propuesta de re-desarrollo de modelo</w:t>
      </w:r>
    </w:p>
    <w:p>
      <w:pPr>
        <w:spacing w:after="140" w:before="0" w:line="280"/>
        <w:jc w:val="both"/>
      </w:pPr>
      <w:r>
        <w:rPr>
          <w:rFonts w:ascii="Calibri" w:cs="Calibri" w:eastAsia="Calibri" w:hAnsi="Calibri"/>
          <w:b w:val="false"/>
          <w:bCs w:val="false"/>
          <w:i w:val="false"/>
          <w:iCs w:val="false"/>
          <w:color w:val="000000"/>
          <w:sz w:val="22"/>
          <w:szCs w:val="22"/>
        </w:rPr>
        <w:t xml:space="preserve">Introducción SCQA:</w:t>
      </w:r>
    </w:p>
    <w:p>
      <w:pPr>
        <w:pStyle w:val="ListParagraph"/>
        <w:numPr>
          <w:ilvl w:val="0"/>
          <w:numId w:val="2"/>
        </w:numPr>
        <w:spacing w:after="90" w:line="280"/>
        <w:jc w:val="both"/>
      </w:pPr>
      <w:r>
        <w:rPr>
          <w:rFonts w:ascii="Calibri" w:cs="Calibri" w:eastAsia="Calibri" w:hAnsi="Calibri"/>
          <w:sz w:val="22"/>
          <w:szCs w:val="22"/>
        </w:rPr>
        <w:t xml:space="preserve">Situación: el modelo vigente se aprobó hace cinco años y sostiene el cálculo de requerimiento de capital de la cartera mayorista.</w:t>
      </w:r>
    </w:p>
    <w:p>
      <w:pPr>
        <w:pStyle w:val="ListParagraph"/>
        <w:numPr>
          <w:ilvl w:val="0"/>
          <w:numId w:val="2"/>
        </w:numPr>
        <w:spacing w:after="90" w:line="280"/>
        <w:jc w:val="both"/>
      </w:pPr>
      <w:r>
        <w:rPr>
          <w:rFonts w:ascii="Calibri" w:cs="Calibri" w:eastAsia="Calibri" w:hAnsi="Calibri"/>
          <w:sz w:val="22"/>
          <w:szCs w:val="22"/>
        </w:rPr>
        <w:t xml:space="preserve">Complicación: la validación anual encontró subestimación en el segmento medio, y el calendario regulatorio no admite una reconstrucción completa antes de la fecha comprometida.</w:t>
      </w:r>
    </w:p>
    <w:p>
      <w:pPr>
        <w:pStyle w:val="ListParagraph"/>
        <w:numPr>
          <w:ilvl w:val="0"/>
          <w:numId w:val="2"/>
        </w:numPr>
        <w:spacing w:after="90" w:line="280"/>
        <w:jc w:val="both"/>
      </w:pPr>
      <w:r>
        <w:rPr>
          <w:rFonts w:ascii="Calibri" w:cs="Calibri" w:eastAsia="Calibri" w:hAnsi="Calibri"/>
          <w:sz w:val="22"/>
          <w:szCs w:val="22"/>
        </w:rPr>
        <w:t xml:space="preserve">Pregunta (implícita): ¿recalibrar, reconstruir o ajustar?</w:t>
      </w:r>
    </w:p>
    <w:p>
      <w:pPr>
        <w:pStyle w:val="ListParagraph"/>
        <w:numPr>
          <w:ilvl w:val="0"/>
          <w:numId w:val="2"/>
        </w:numPr>
        <w:spacing w:after="90" w:line="280"/>
        <w:jc w:val="both"/>
      </w:pPr>
      <w:r>
        <w:rPr>
          <w:rFonts w:ascii="Calibri" w:cs="Calibri" w:eastAsia="Calibri" w:hAnsi="Calibri"/>
          <w:sz w:val="22"/>
          <w:szCs w:val="22"/>
        </w:rPr>
        <w:t xml:space="preserve">Respuesta: recalibrar con margen de conservadurismo transitorio.</w:t>
      </w:r>
    </w:p>
    <w:p>
      <w:pPr>
        <w:spacing w:after="140" w:before="0" w:line="280"/>
        <w:jc w:val="both"/>
      </w:pPr>
      <w:r>
        <w:rPr>
          <w:rFonts w:ascii="Calibri" w:cs="Calibri" w:eastAsia="Calibri" w:hAnsi="Calibri"/>
          <w:b w:val="false"/>
          <w:bCs w:val="false"/>
          <w:i w:val="false"/>
          <w:iCs w:val="false"/>
          <w:color w:val="000000"/>
          <w:sz w:val="22"/>
          <w:szCs w:val="22"/>
        </w:rPr>
        <w:t xml:space="preserve">Primer nivel de soporte —tres razones, orden de grado, de mayor a menor peso en la decisión:</w:t>
      </w:r>
    </w:p>
    <w:p>
      <w:pPr>
        <w:pStyle w:val="ListParagraph"/>
        <w:numPr>
          <w:ilvl w:val="0"/>
          <w:numId w:val="7"/>
        </w:numPr>
        <w:spacing w:after="90" w:line="280"/>
        <w:jc w:val="both"/>
      </w:pPr>
      <w:r>
        <w:rPr>
          <w:rFonts w:ascii="Calibri" w:cs="Calibri" w:eastAsia="Calibri" w:hAnsi="Calibri"/>
          <w:sz w:val="22"/>
          <w:szCs w:val="22"/>
        </w:rPr>
        <w:t xml:space="preserve">Es la única de las tres rutas que cumple la fecha comprometida.</w:t>
      </w:r>
    </w:p>
    <w:p>
      <w:pPr>
        <w:pStyle w:val="ListParagraph"/>
        <w:numPr>
          <w:ilvl w:val="0"/>
          <w:numId w:val="7"/>
        </w:numPr>
        <w:spacing w:after="90" w:line="280"/>
        <w:jc w:val="both"/>
      </w:pPr>
      <w:r>
        <w:rPr>
          <w:rFonts w:ascii="Calibri" w:cs="Calibri" w:eastAsia="Calibri" w:hAnsi="Calibri"/>
          <w:sz w:val="22"/>
          <w:szCs w:val="22"/>
        </w:rPr>
        <w:t xml:space="preserve">El diagnóstico apunta a calibración, no a especificación: reconstruir atacaría un problema que no tenemos.</w:t>
      </w:r>
    </w:p>
    <w:p>
      <w:pPr>
        <w:pStyle w:val="ListParagraph"/>
        <w:numPr>
          <w:ilvl w:val="0"/>
          <w:numId w:val="7"/>
        </w:numPr>
        <w:spacing w:after="90" w:line="280"/>
        <w:jc w:val="both"/>
      </w:pPr>
      <w:r>
        <w:rPr>
          <w:rFonts w:ascii="Calibri" w:cs="Calibri" w:eastAsia="Calibri" w:hAnsi="Calibri"/>
          <w:sz w:val="22"/>
          <w:szCs w:val="22"/>
        </w:rPr>
        <w:t xml:space="preserve">El impacto en activos ponderados por riesgo es acotado y cuantificado, y el margen transitorio se retira con la recalibración completa del siguiente ciclo.</w:t>
      </w:r>
    </w:p>
    <w:p>
      <w:pPr>
        <w:spacing w:after="140" w:before="0" w:line="280"/>
        <w:jc w:val="both"/>
      </w:pPr>
      <w:r>
        <w:rPr>
          <w:rFonts w:ascii="Calibri" w:cs="Calibri" w:eastAsia="Calibri" w:hAnsi="Calibri"/>
          <w:b w:val="false"/>
          <w:bCs w:val="false"/>
          <w:i w:val="false"/>
          <w:iCs w:val="false"/>
          <w:color w:val="000000"/>
          <w:sz w:val="22"/>
          <w:szCs w:val="22"/>
        </w:rPr>
        <w:t xml:space="preserve">Fíjate en que las tres razones son del mismo tipo (razones), no se traslapan, y juntas cubren las tres dimensiones que un comité evalúa: tiempo, diagnóstico e impacto en capital. Eso es MECE hecho sobre algo que ya tenía sentido.</w:t>
      </w:r>
    </w:p>
    <w:p>
      <w:pPr>
        <w:pStyle w:val="Heading2"/>
        <w:spacing w:after="120" w:before="260"/>
      </w:pPr>
      <w:r>
        <w:rPr>
          <w:rFonts w:ascii="Calibri" w:cs="Calibri" w:eastAsia="Calibri" w:hAnsi="Calibri"/>
          <w:b/>
          <w:bCs/>
          <w:color w:val="2E5090"/>
          <w:sz w:val="24"/>
          <w:szCs w:val="24"/>
        </w:rPr>
        <w:t xml:space="preserve">14.3 Correo corto a un jefe funcional</w:t>
      </w:r>
    </w:p>
    <w:p>
      <w:pPr>
        <w:spacing w:after="140" w:before="0" w:line="280"/>
        <w:jc w:val="both"/>
      </w:pPr>
      <w:r>
        <w:rPr>
          <w:rFonts w:ascii="Calibri" w:cs="Calibri" w:eastAsia="Calibri" w:hAnsi="Calibri"/>
          <w:b w:val="false"/>
          <w:bCs w:val="false"/>
          <w:i w:val="false"/>
          <w:iCs w:val="false"/>
          <w:color w:val="000000"/>
          <w:sz w:val="22"/>
          <w:szCs w:val="22"/>
        </w:rPr>
        <w:t xml:space="preserve">El método aplica igual en cinco renglones. Un correo de escalamiento bien estructurado:</w:t>
      </w:r>
    </w:p>
    <w:p>
      <w:pPr>
        <w:pBdr>
          <w:left w:val="single" w:color="8B4513" w:sz="12" w:space="12"/>
        </w:pBdr>
        <w:spacing w:after="40" w:before="100" w:line="260"/>
        <w:ind w:left="340"/>
      </w:pPr>
      <w:r>
        <w:rPr>
          <w:rFonts w:ascii="Consolas" w:cs="Consolas" w:eastAsia="Consolas" w:hAnsi="Consolas"/>
          <w:color w:val="2B2B2B"/>
          <w:sz w:val="19"/>
          <w:szCs w:val="19"/>
        </w:rPr>
        <w:t xml:space="preserve">"Necesito tu decisión sobre el alcance de la extensión del modelo antes del viernes.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equipo de datos confirmó que la información del segmento medio solo está disponible desde 2019. Eso deja dos opciones: extender con la ventana corta y documentar la limitación, o esperar la reconstrucción del histórico y mover la fecha un trimestre.</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Mi recomendación es la primera: la limitación es documentable y el retraso no lo es. Si prefieres la segunda, necesito avisar al equipo de proyecto esta semana."</w:t>
      </w:r>
    </w:p>
    <w:p>
      <w:pPr>
        <w:spacing w:after="140" w:before="0" w:line="280"/>
        <w:jc w:val="both"/>
      </w:pPr>
      <w:r>
        <w:rPr>
          <w:rFonts w:ascii="Calibri" w:cs="Calibri" w:eastAsia="Calibri" w:hAnsi="Calibri"/>
          <w:b w:val="false"/>
          <w:bCs w:val="false"/>
          <w:i w:val="false"/>
          <w:iCs w:val="false"/>
          <w:color w:val="000000"/>
          <w:sz w:val="22"/>
          <w:szCs w:val="22"/>
        </w:rPr>
        <w:t xml:space="preserve">Petición primero, contexto después, recomendación explícita, y una consecuencia clara de cada rama. Ningún adorno.</w:t>
      </w:r>
    </w:p>
    <w:p>
      <w:pPr>
        <w:pStyle w:val="Heading1"/>
        <w:pBdr>
          <w:bottom w:val="single" w:color="D0D3D9" w:sz="6" w:space="6"/>
        </w:pBdr>
        <w:spacing w:after="170" w:before="380"/>
      </w:pPr>
      <w:r>
        <w:rPr>
          <w:rFonts w:ascii="Calibri" w:cs="Calibri" w:eastAsia="Calibri" w:hAnsi="Calibri"/>
          <w:b/>
          <w:bCs/>
          <w:color w:val="1F3864"/>
          <w:sz w:val="30"/>
          <w:szCs w:val="30"/>
        </w:rPr>
        <w:t xml:space="preserve">15. Calidad de información cuando el dueño del dato es otro</w:t>
      </w:r>
    </w:p>
    <w:p>
      <w:pPr>
        <w:spacing w:after="140" w:before="0" w:line="280"/>
        <w:jc w:val="both"/>
      </w:pPr>
      <w:r>
        <w:rPr>
          <w:rFonts w:ascii="Calibri" w:cs="Calibri" w:eastAsia="Calibri" w:hAnsi="Calibri"/>
          <w:b w:val="false"/>
          <w:bCs w:val="false"/>
          <w:i w:val="false"/>
          <w:iCs w:val="false"/>
          <w:color w:val="000000"/>
          <w:sz w:val="22"/>
          <w:szCs w:val="22"/>
        </w:rPr>
        <w:t xml:space="preserve">Es probablemente la situación más frecuente y peor resuelta en un área analítica: dependes de información que produce alguien más, la información llega mal, y tú no tienes autoridad sobre quien la genera. El resultado típico es un correo con una lista de defectos que el área dueña recibe como una acusación, contesta a la defensiva y nadie corrige nada.</w:t>
      </w:r>
    </w:p>
    <w:p>
      <w:pPr>
        <w:pStyle w:val="Heading2"/>
        <w:spacing w:after="120" w:before="260"/>
      </w:pPr>
      <w:r>
        <w:rPr>
          <w:rFonts w:ascii="Calibri" w:cs="Calibri" w:eastAsia="Calibri" w:hAnsi="Calibri"/>
          <w:b/>
          <w:bCs/>
          <w:color w:val="2E5090"/>
          <w:sz w:val="24"/>
          <w:szCs w:val="24"/>
        </w:rPr>
        <w:t xml:space="preserve">15.1 Por qué falla el enfoque intuitivo</w:t>
      </w:r>
    </w:p>
    <w:p>
      <w:pPr>
        <w:spacing w:after="140" w:before="0" w:line="280"/>
        <w:jc w:val="both"/>
      </w:pPr>
      <w:r>
        <w:rPr>
          <w:rFonts w:ascii="Calibri" w:cs="Calibri" w:eastAsia="Calibri" w:hAnsi="Calibri"/>
          <w:b w:val="false"/>
          <w:bCs w:val="false"/>
          <w:i w:val="false"/>
          <w:iCs w:val="false"/>
          <w:color w:val="000000"/>
          <w:sz w:val="22"/>
          <w:szCs w:val="22"/>
        </w:rPr>
        <w:t xml:space="preserve">El enfoque intuitivo pone en la punta el defecto: "encontramos 43 inconsistencias en el archivo de garantías". Esa punta convierte al receptor en acusado y a ti en auditor no solicitado. Además no contiene una petición: el lector no sabe qué se espera de él, así que archiva el correo.</w:t>
      </w:r>
    </w:p>
    <w:p>
      <w:pPr>
        <w:spacing w:after="140" w:before="0" w:line="280"/>
        <w:jc w:val="both"/>
      </w:pPr>
      <w:r>
        <w:rPr>
          <w:rFonts w:ascii="Calibri" w:cs="Calibri" w:eastAsia="Calibri" w:hAnsi="Calibri"/>
          <w:b w:val="false"/>
          <w:bCs w:val="false"/>
          <w:i w:val="false"/>
          <w:iCs w:val="false"/>
          <w:color w:val="000000"/>
          <w:sz w:val="22"/>
          <w:szCs w:val="22"/>
        </w:rPr>
        <w:t xml:space="preserve">La punta correcta no es el defecto. Es la decisión o el entregable que está en riesgo, y la acción acotada que lo destraba. El defecto pasa al segundo nivel, donde pertenece: es evidencia, no mensaje.</w:t>
      </w:r>
    </w:p>
    <w:p>
      <w:pPr>
        <w:pStyle w:val="Heading2"/>
        <w:spacing w:after="120" w:before="260"/>
      </w:pPr>
      <w:r>
        <w:rPr>
          <w:rFonts w:ascii="Calibri" w:cs="Calibri" w:eastAsia="Calibri" w:hAnsi="Calibri"/>
          <w:b/>
          <w:bCs/>
          <w:color w:val="2E5090"/>
          <w:sz w:val="24"/>
          <w:szCs w:val="24"/>
        </w:rPr>
        <w:t xml:space="preserve">15.2 Estructura recomendada</w:t>
      </w:r>
    </w:p>
    <w:p>
      <w:pPr>
        <w:pStyle w:val="ListParagraph"/>
        <w:numPr>
          <w:ilvl w:val="0"/>
          <w:numId w:val="2"/>
        </w:numPr>
        <w:spacing w:after="90" w:line="280"/>
        <w:jc w:val="both"/>
      </w:pPr>
      <w:r>
        <w:rPr>
          <w:rFonts w:ascii="Calibri" w:cs="Calibri" w:eastAsia="Calibri" w:hAnsi="Calibri"/>
          <w:sz w:val="22"/>
          <w:szCs w:val="22"/>
        </w:rPr>
        <w:t xml:space="preserve">Situación: nombra el proceso compartido en términos que el otro reconozca como suyos y como legítimo. "El archivo mensual de garantías alimenta el cálculo de severidad y el reporte regulatorio de septiembre."</w:t>
      </w:r>
    </w:p>
    <w:p>
      <w:pPr>
        <w:pStyle w:val="ListParagraph"/>
        <w:numPr>
          <w:ilvl w:val="0"/>
          <w:numId w:val="2"/>
        </w:numPr>
        <w:spacing w:after="90" w:line="280"/>
        <w:jc w:val="both"/>
      </w:pPr>
      <w:r>
        <w:rPr>
          <w:rFonts w:ascii="Calibri" w:cs="Calibri" w:eastAsia="Calibri" w:hAnsi="Calibri"/>
          <w:sz w:val="22"/>
          <w:szCs w:val="22"/>
        </w:rPr>
        <w:t xml:space="preserve">Complicación: el defecto medido más su consecuencia con fecha. Medido significa con tasa y volumen, no con adjetivos. "El 12% de los registros llega sin fecha de valuación; con ese nivel el cálculo no se puede firmar antes del 15 de septiembre."</w:t>
      </w:r>
    </w:p>
    <w:p>
      <w:pPr>
        <w:pStyle w:val="ListParagraph"/>
        <w:numPr>
          <w:ilvl w:val="0"/>
          <w:numId w:val="2"/>
        </w:numPr>
        <w:spacing w:after="90" w:line="280"/>
        <w:jc w:val="both"/>
      </w:pPr>
      <w:r>
        <w:rPr>
          <w:rFonts w:ascii="Calibri" w:cs="Calibri" w:eastAsia="Calibri" w:hAnsi="Calibri"/>
          <w:sz w:val="22"/>
          <w:szCs w:val="22"/>
        </w:rPr>
        <w:t xml:space="preserve">Respuesta: la petición más pequeña que resuelve el problema, dirigida a una sola persona, con fecha. No "mejorar la calidad del archivo", sino "poblar la fecha de valuación en los 340 registros del anexo antes del 5 de septiembre".</w:t>
      </w:r>
    </w:p>
    <w:p>
      <w:pPr>
        <w:pStyle w:val="ListParagraph"/>
        <w:numPr>
          <w:ilvl w:val="0"/>
          <w:numId w:val="2"/>
        </w:numPr>
        <w:spacing w:after="90" w:line="280"/>
        <w:jc w:val="both"/>
      </w:pPr>
      <w:r>
        <w:rPr>
          <w:rFonts w:ascii="Calibri" w:cs="Calibri" w:eastAsia="Calibri" w:hAnsi="Calibri"/>
          <w:sz w:val="22"/>
          <w:szCs w:val="22"/>
        </w:rPr>
        <w:t xml:space="preserve">Soporte: qué ya hiciste tú. Esto no es autobombo: es lo que evita que el otro sienta que le estás pasando tu trabajo. "Aplicamos un control temporal que imputa la fecha por promedio del segmento; sirve para el cierre interno, no para el reporte regulatorio."</w:t>
      </w:r>
    </w:p>
    <w:p>
      <w:pPr>
        <w:pStyle w:val="Heading2"/>
        <w:spacing w:after="120" w:before="260"/>
      </w:pPr>
      <w:r>
        <w:rPr>
          <w:rFonts w:ascii="Calibri" w:cs="Calibri" w:eastAsia="Calibri" w:hAnsi="Calibri"/>
          <w:b/>
          <w:bCs/>
          <w:color w:val="2E5090"/>
          <w:sz w:val="24"/>
          <w:szCs w:val="24"/>
        </w:rPr>
        <w:t xml:space="preserve">15.3 Reglas que cambian el resultado</w:t>
      </w:r>
    </w:p>
    <w:p>
      <w:pPr>
        <w:pStyle w:val="ListParagraph"/>
        <w:numPr>
          <w:ilvl w:val="0"/>
          <w:numId w:val="8"/>
        </w:numPr>
        <w:spacing w:after="90" w:line="280"/>
        <w:jc w:val="both"/>
      </w:pPr>
      <w:r>
        <w:rPr>
          <w:rFonts w:ascii="Calibri" w:cs="Calibri" w:eastAsia="Calibri" w:hAnsi="Calibri"/>
          <w:sz w:val="22"/>
          <w:szCs w:val="22"/>
        </w:rPr>
        <w:t xml:space="preserve">Cuantifica siempre. Un defecto sin tasa ni impacto es una opinión, y con opiniones el dueño del dato no mueve prioridades.</w:t>
      </w:r>
    </w:p>
    <w:p>
      <w:pPr>
        <w:pStyle w:val="ListParagraph"/>
        <w:numPr>
          <w:ilvl w:val="0"/>
          <w:numId w:val="8"/>
        </w:numPr>
        <w:spacing w:after="90" w:line="280"/>
        <w:jc w:val="both"/>
      </w:pPr>
      <w:r>
        <w:rPr>
          <w:rFonts w:ascii="Calibri" w:cs="Calibri" w:eastAsia="Calibri" w:hAnsi="Calibri"/>
          <w:sz w:val="22"/>
          <w:szCs w:val="22"/>
        </w:rPr>
        <w:t xml:space="preserve">Traduce el defecto a la consecuencia del otro, no a la tuya. "Tenemos que reprocesar" le importa poco; "el dato que tú firmas va a salir con salvedad" le importa mucho.</w:t>
      </w:r>
    </w:p>
    <w:p>
      <w:pPr>
        <w:pStyle w:val="ListParagraph"/>
        <w:numPr>
          <w:ilvl w:val="0"/>
          <w:numId w:val="8"/>
        </w:numPr>
        <w:spacing w:after="90" w:line="280"/>
        <w:jc w:val="both"/>
      </w:pPr>
      <w:r>
        <w:rPr>
          <w:rFonts w:ascii="Calibri" w:cs="Calibri" w:eastAsia="Calibri" w:hAnsi="Calibri"/>
          <w:sz w:val="22"/>
          <w:szCs w:val="22"/>
        </w:rPr>
        <w:t xml:space="preserve">Una petición por interlocutor. Un correo con nueve peticiones se convierte en cero peticiones atendidas.</w:t>
      </w:r>
    </w:p>
    <w:p>
      <w:pPr>
        <w:pStyle w:val="ListParagraph"/>
        <w:numPr>
          <w:ilvl w:val="0"/>
          <w:numId w:val="8"/>
        </w:numPr>
        <w:spacing w:after="90" w:line="280"/>
        <w:jc w:val="both"/>
      </w:pPr>
      <w:r>
        <w:rPr>
          <w:rFonts w:ascii="Calibri" w:cs="Calibri" w:eastAsia="Calibri" w:hAnsi="Calibri"/>
          <w:sz w:val="22"/>
          <w:szCs w:val="22"/>
        </w:rPr>
        <w:t xml:space="preserve">Prioriza y hazlo visible. Si tienes 43 defectos, agrúpalos por origen —captura, sistema, definición— y di cuáles bloquean y cuáles no. La mitad de las veces, tres defectos explican el ochenta por ciento del impacto.</w:t>
      </w:r>
    </w:p>
    <w:p>
      <w:pPr>
        <w:pStyle w:val="ListParagraph"/>
        <w:numPr>
          <w:ilvl w:val="0"/>
          <w:numId w:val="8"/>
        </w:numPr>
        <w:spacing w:after="90" w:line="280"/>
        <w:jc w:val="both"/>
      </w:pPr>
      <w:r>
        <w:rPr>
          <w:rFonts w:ascii="Calibri" w:cs="Calibri" w:eastAsia="Calibri" w:hAnsi="Calibri"/>
          <w:sz w:val="22"/>
          <w:szCs w:val="22"/>
        </w:rPr>
        <w:t xml:space="preserve">Ofrece la vía de menor esfuerzo. Si puedes entregarles el listado exacto de registros a corregir en vez de pedirles que lo busquen, hazlo. El costo de esa media hora tuya es menor que el de dos semanas de ida y vuelta.</w:t>
      </w:r>
    </w:p>
    <w:p>
      <w:pPr>
        <w:pStyle w:val="ListParagraph"/>
        <w:numPr>
          <w:ilvl w:val="0"/>
          <w:numId w:val="8"/>
        </w:numPr>
        <w:spacing w:after="90" w:line="280"/>
        <w:jc w:val="both"/>
      </w:pPr>
      <w:r>
        <w:rPr>
          <w:rFonts w:ascii="Calibri" w:cs="Calibri" w:eastAsia="Calibri" w:hAnsi="Calibri"/>
          <w:sz w:val="22"/>
          <w:szCs w:val="22"/>
        </w:rPr>
        <w:t xml:space="preserve">Deja rastro sin tono acusatorio. La documentación es necesaria y no requiere adjetivos: los hechos con fecha bastan, y envejecen mucho mejor si el asunto escala.</w:t>
      </w:r>
    </w:p>
    <w:p>
      <w:pPr>
        <w:pStyle w:val="Heading2"/>
        <w:spacing w:after="120" w:before="260"/>
      </w:pPr>
      <w:r>
        <w:rPr>
          <w:rFonts w:ascii="Calibri" w:cs="Calibri" w:eastAsia="Calibri" w:hAnsi="Calibri"/>
          <w:b/>
          <w:bCs/>
          <w:color w:val="2E5090"/>
          <w:sz w:val="24"/>
          <w:szCs w:val="24"/>
        </w:rPr>
        <w:t xml:space="preserve">15.4 La escalera del escalamiento</w:t>
      </w:r>
    </w:p>
    <w:p>
      <w:pPr>
        <w:spacing w:after="140" w:before="0" w:line="280"/>
        <w:jc w:val="both"/>
      </w:pPr>
      <w:r>
        <w:rPr>
          <w:rFonts w:ascii="Calibri" w:cs="Calibri" w:eastAsia="Calibri" w:hAnsi="Calibri"/>
          <w:b w:val="false"/>
          <w:bCs w:val="false"/>
          <w:i w:val="false"/>
          <w:iCs w:val="false"/>
          <w:color w:val="000000"/>
          <w:sz w:val="22"/>
          <w:szCs w:val="22"/>
        </w:rPr>
        <w:t xml:space="preserve">Escalar no es un castigo ni una traición; es un mecanismo normal cuando dos áreas tienen prioridades distintas. Lo que lo vuelve tóxico es hacerlo por sorpresa. La secuencia limpia tiene tres peldaños y en todos el receptor sabe qué sigue:</w:t>
      </w:r>
    </w:p>
    <w:p>
      <w:pPr>
        <w:pStyle w:val="ListParagraph"/>
        <w:numPr>
          <w:ilvl w:val="0"/>
          <w:numId w:val="9"/>
        </w:numPr>
        <w:spacing w:after="90" w:line="280"/>
        <w:jc w:val="both"/>
      </w:pPr>
      <w:r>
        <w:rPr>
          <w:rFonts w:ascii="Calibri" w:cs="Calibri" w:eastAsia="Calibri" w:hAnsi="Calibri"/>
          <w:sz w:val="22"/>
          <w:szCs w:val="22"/>
        </w:rPr>
        <w:t xml:space="preserve">Petición directa con fecha y consecuencia. Nada más.</w:t>
      </w:r>
    </w:p>
    <w:p>
      <w:pPr>
        <w:pStyle w:val="ListParagraph"/>
        <w:numPr>
          <w:ilvl w:val="0"/>
          <w:numId w:val="9"/>
        </w:numPr>
        <w:spacing w:after="90" w:line="280"/>
        <w:jc w:val="both"/>
      </w:pPr>
      <w:r>
        <w:rPr>
          <w:rFonts w:ascii="Calibri" w:cs="Calibri" w:eastAsia="Calibri" w:hAnsi="Calibri"/>
          <w:sz w:val="22"/>
          <w:szCs w:val="22"/>
        </w:rPr>
        <w:t xml:space="preserve">Recordatorio con el impacto actualizado y aviso explícito de que si no hay respuesta se llevará al foro correspondiente. Sin amenaza, como dato.</w:t>
      </w:r>
    </w:p>
    <w:p>
      <w:pPr>
        <w:pStyle w:val="ListParagraph"/>
        <w:numPr>
          <w:ilvl w:val="0"/>
          <w:numId w:val="9"/>
        </w:numPr>
        <w:spacing w:after="90" w:line="280"/>
        <w:jc w:val="both"/>
      </w:pPr>
      <w:r>
        <w:rPr>
          <w:rFonts w:ascii="Calibri" w:cs="Calibri" w:eastAsia="Calibri" w:hAnsi="Calibri"/>
          <w:sz w:val="22"/>
          <w:szCs w:val="22"/>
        </w:rPr>
        <w:t xml:space="preserve">Escalamiento con opciones. Al escalar no lleves el problema: lleva dos rutas con su costo. El escalamiento que solo denuncia deja al jefe con trabajo; el que propone deja al jefe con una decisión.</w:t>
      </w:r>
    </w:p>
    <w:p>
      <w:pPr>
        <w:pStyle w:val="Heading2"/>
        <w:spacing w:after="120" w:before="260"/>
      </w:pPr>
      <w:r>
        <w:rPr>
          <w:rFonts w:ascii="Calibri" w:cs="Calibri" w:eastAsia="Calibri" w:hAnsi="Calibri"/>
          <w:b/>
          <w:bCs/>
          <w:color w:val="2E5090"/>
          <w:sz w:val="24"/>
          <w:szCs w:val="24"/>
        </w:rPr>
        <w:t xml:space="preserve">15.5 Ejemplo trabajado</w:t>
      </w:r>
    </w:p>
    <w:p>
      <w:pPr>
        <w:spacing w:after="140" w:before="0" w:line="280"/>
        <w:jc w:val="both"/>
      </w:pPr>
      <w:r>
        <w:rPr>
          <w:rFonts w:ascii="Calibri" w:cs="Calibri" w:eastAsia="Calibri" w:hAnsi="Calibri"/>
          <w:b w:val="false"/>
          <w:bCs w:val="false"/>
          <w:i w:val="false"/>
          <w:iCs w:val="false"/>
          <w:color w:val="000000"/>
          <w:sz w:val="22"/>
          <w:szCs w:val="22"/>
        </w:rPr>
        <w:t xml:space="preserve">Versión típica:</w:t>
      </w:r>
    </w:p>
    <w:p>
      <w:pPr>
        <w:pBdr>
          <w:left w:val="single" w:color="8B4513" w:sz="12" w:space="12"/>
        </w:pBdr>
        <w:spacing w:after="160" w:before="100" w:line="260"/>
        <w:ind w:left="340"/>
      </w:pPr>
      <w:r>
        <w:rPr>
          <w:rFonts w:ascii="Consolas" w:cs="Consolas" w:eastAsia="Consolas" w:hAnsi="Consolas"/>
          <w:color w:val="2B2B2B"/>
          <w:sz w:val="19"/>
          <w:szCs w:val="19"/>
        </w:rPr>
        <w:t xml:space="preserve">"Buen día. Adjunto el resultado de la revisión de calidad del archivo de garantías de agosto. Se detectaron 43 incidencias de distintos tipos que se detallan en el anexo. Es importante mencionar que estas incidencias se han repetido en meses anteriores. Quedo al pendiente de sus comentarios."</w:t>
      </w:r>
    </w:p>
    <w:p>
      <w:pPr>
        <w:spacing w:after="140" w:before="0" w:line="280"/>
        <w:jc w:val="both"/>
      </w:pPr>
      <w:r>
        <w:rPr>
          <w:rFonts w:ascii="Calibri" w:cs="Calibri" w:eastAsia="Calibri" w:hAnsi="Calibri"/>
          <w:b w:val="false"/>
          <w:bCs w:val="false"/>
          <w:i w:val="false"/>
          <w:iCs w:val="false"/>
          <w:color w:val="000000"/>
          <w:sz w:val="22"/>
          <w:szCs w:val="22"/>
        </w:rPr>
        <w:t xml:space="preserve">Versión en pirámide:</w:t>
      </w:r>
    </w:p>
    <w:p>
      <w:pPr>
        <w:pBdr>
          <w:left w:val="single" w:color="8B4513" w:sz="12" w:space="12"/>
        </w:pBdr>
        <w:spacing w:after="40" w:before="100" w:line="260"/>
        <w:ind w:left="340"/>
      </w:pPr>
      <w:r>
        <w:rPr>
          <w:rFonts w:ascii="Consolas" w:cs="Consolas" w:eastAsia="Consolas" w:hAnsi="Consolas"/>
          <w:color w:val="2B2B2B"/>
          <w:sz w:val="19"/>
          <w:szCs w:val="19"/>
        </w:rPr>
        <w:t xml:space="preserve">"Necesito la fecha de valuación de 340 garantías antes del 5 de septiembre para poder firmar el cálculo de severidad del cierre regulatorio.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archivo de agosto llegó con esa fecha vacía en el 12% de los registros. Aplicamos una imputación por segmento que sirve para el seguimiento interno, pero no es admisible para el cálculo que se reporta.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anexo trae la lista exacta de los 340 registros, ordenada por exposición. Los primeros 60 concentran el 70% del impacto; si el tiempo aprieta, con esos avanzamos.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El resto de las incidencias del mes no bloquean el cierre; te las mando por separado la próxima semana para revisarlas con calma en el origen."</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Lo que cambió: la punta pasó del defecto a la decisión en riesgo, la petición quedó acotada y con fecha, el trabajo de búsqueda ya está hecho, se ofreció una ruta parcial si no alcanza el tiempo, y lo urgente quedó separado de lo importante. Mismo contenido, resultado distinto.</w:t>
      </w:r>
    </w:p>
    <w:p>
      <w:pPr>
        <w:pStyle w:val="Heading1"/>
        <w:pBdr>
          <w:bottom w:val="single" w:color="D0D3D9" w:sz="6" w:space="6"/>
        </w:pBdr>
        <w:spacing w:after="170" w:before="380"/>
      </w:pPr>
      <w:r>
        <w:rPr>
          <w:rFonts w:ascii="Calibri" w:cs="Calibri" w:eastAsia="Calibri" w:hAnsi="Calibri"/>
          <w:b/>
          <w:bCs/>
          <w:color w:val="1F3864"/>
          <w:sz w:val="30"/>
          <w:szCs w:val="30"/>
        </w:rPr>
        <w:t xml:space="preserve">16. Conseguir una decisión en una organización global centralizada</w:t>
      </w:r>
    </w:p>
    <w:p>
      <w:pPr>
        <w:spacing w:after="140" w:before="0" w:line="280"/>
        <w:jc w:val="both"/>
      </w:pPr>
      <w:r>
        <w:rPr>
          <w:rFonts w:ascii="Calibri" w:cs="Calibri" w:eastAsia="Calibri" w:hAnsi="Calibri"/>
          <w:b w:val="false"/>
          <w:bCs w:val="false"/>
          <w:i w:val="false"/>
          <w:iCs w:val="false"/>
          <w:color w:val="000000"/>
          <w:sz w:val="22"/>
          <w:szCs w:val="22"/>
        </w:rPr>
        <w:t xml:space="preserve">Cuando la decisión no se toma donde tú estás, el problema deja de ser técnico y pasa a ser de competencia por atención. Quien decide en el centro atiende veinte países, y tu solicitud compite con las otras diecinueve. La pirámide ayuda porque en ese contexto solo tienes un párrafo antes de que te clasifiquen.</w:t>
      </w:r>
    </w:p>
    <w:p>
      <w:pPr>
        <w:pStyle w:val="Heading2"/>
        <w:spacing w:after="120" w:before="260"/>
      </w:pPr>
      <w:r>
        <w:rPr>
          <w:rFonts w:ascii="Calibri" w:cs="Calibri" w:eastAsia="Calibri" w:hAnsi="Calibri"/>
          <w:b/>
          <w:bCs/>
          <w:color w:val="2E5090"/>
          <w:sz w:val="24"/>
          <w:szCs w:val="24"/>
        </w:rPr>
        <w:t xml:space="preserve">16.1 El cambio de punta</w:t>
      </w:r>
    </w:p>
    <w:p>
      <w:pPr>
        <w:spacing w:after="140" w:before="0" w:line="280"/>
        <w:jc w:val="both"/>
      </w:pPr>
      <w:r>
        <w:rPr>
          <w:rFonts w:ascii="Calibri" w:cs="Calibri" w:eastAsia="Calibri" w:hAnsi="Calibri"/>
          <w:b w:val="false"/>
          <w:bCs w:val="false"/>
          <w:i w:val="false"/>
          <w:iCs w:val="false"/>
          <w:color w:val="000000"/>
          <w:sz w:val="22"/>
          <w:szCs w:val="22"/>
        </w:rPr>
        <w:t xml:space="preserve">La punta intuitiva es "México necesita X". Desde el centro, esa frase se lee como una excepción local: costo para él, beneficio para ti. Es la categoría con menor tasa de aprobación que existe.</w:t>
      </w:r>
    </w:p>
    <w:p>
      <w:pPr>
        <w:spacing w:after="140" w:before="0" w:line="280"/>
        <w:jc w:val="both"/>
      </w:pPr>
      <w:r>
        <w:rPr>
          <w:rFonts w:ascii="Calibri" w:cs="Calibri" w:eastAsia="Calibri" w:hAnsi="Calibri"/>
          <w:b w:val="false"/>
          <w:bCs w:val="false"/>
          <w:i w:val="false"/>
          <w:iCs w:val="false"/>
          <w:color w:val="000000"/>
          <w:sz w:val="22"/>
          <w:szCs w:val="22"/>
        </w:rPr>
        <w:t xml:space="preserve">La punta que funciona reencuadra el mismo pedido como solución a un problema que el centro ya reconoce como suyo. No es manipulación: es elegir, entre varias verdades sobre tu solicitud, la que le es relevante a quien decide.</w:t>
      </w:r>
    </w:p>
    <w:p>
      <w:pPr>
        <w:pBdr>
          <w:left w:val="single" w:color="8B4513" w:sz="12" w:space="12"/>
        </w:pBdr>
        <w:spacing w:after="40" w:before="100" w:line="260"/>
        <w:ind w:left="340"/>
      </w:pPr>
      <w:r>
        <w:rPr>
          <w:rFonts w:ascii="Consolas" w:cs="Consolas" w:eastAsia="Consolas" w:hAnsi="Consolas"/>
          <w:color w:val="2B2B2B"/>
          <w:sz w:val="19"/>
          <w:szCs w:val="19"/>
        </w:rPr>
        <w:t xml:space="preserve">Local: "Necesitamos una excepción al estándar de modelos para el portafolio mexicano."</w:t>
      </w:r>
    </w:p>
    <w:p>
      <w:pPr>
        <w:pBdr>
          <w:left w:val="single" w:color="8B4513" w:sz="12" w:space="12"/>
        </w:pBdr>
        <w:spacing w:after="160" w:before="0" w:line="260"/>
        <w:ind w:left="340"/>
      </w:pPr>
      <w:r>
        <w:rPr>
          <w:rFonts w:ascii="Consolas" w:cs="Consolas" w:eastAsia="Consolas" w:hAnsi="Consolas"/>
          <w:color w:val="2B2B2B"/>
          <w:sz w:val="19"/>
          <w:szCs w:val="19"/>
        </w:rPr>
        <w:t xml:space="preserve">Central: "El estándar global no cubre el caso de mercados con historia corta; México puede ser el piloto que cierre ese hueco antes de que lo abran otros tres países."</w:t>
      </w:r>
    </w:p>
    <w:p>
      <w:pPr>
        <w:pStyle w:val="Heading2"/>
        <w:spacing w:after="120" w:before="260"/>
      </w:pPr>
      <w:r>
        <w:rPr>
          <w:rFonts w:ascii="Calibri" w:cs="Calibri" w:eastAsia="Calibri" w:hAnsi="Calibri"/>
          <w:b/>
          <w:bCs/>
          <w:color w:val="2E5090"/>
          <w:sz w:val="24"/>
          <w:szCs w:val="24"/>
        </w:rPr>
        <w:t xml:space="preserve">16.2 Los cinco elementos de un caso hacia el centro</w:t>
      </w:r>
    </w:p>
    <w:p>
      <w:pPr>
        <w:pStyle w:val="ListParagraph"/>
        <w:numPr>
          <w:ilvl w:val="0"/>
          <w:numId w:val="10"/>
        </w:numPr>
        <w:spacing w:after="90" w:line="280"/>
        <w:jc w:val="both"/>
      </w:pPr>
      <w:r>
        <w:rPr>
          <w:rFonts w:ascii="Calibri" w:cs="Calibri" w:eastAsia="Calibri" w:hAnsi="Calibri"/>
          <w:sz w:val="22"/>
          <w:szCs w:val="22"/>
        </w:rPr>
        <w:t xml:space="preserve">Anclaje en una prioridad ya declarada. Cita el objetivo, programa o política del grupo con el que tu propuesta se alinea. Si no existe ninguno, tu propuesta va a competir sin apoyo.</w:t>
      </w:r>
    </w:p>
    <w:p>
      <w:pPr>
        <w:pStyle w:val="ListParagraph"/>
        <w:numPr>
          <w:ilvl w:val="0"/>
          <w:numId w:val="10"/>
        </w:numPr>
        <w:spacing w:after="90" w:line="280"/>
        <w:jc w:val="both"/>
      </w:pPr>
      <w:r>
        <w:rPr>
          <w:rFonts w:ascii="Calibri" w:cs="Calibri" w:eastAsia="Calibri" w:hAnsi="Calibri"/>
          <w:sz w:val="22"/>
          <w:szCs w:val="22"/>
        </w:rPr>
        <w:t xml:space="preserve">Traducción a la métrica del centro. Lo que a ti te preocupa en pesos y en operación, a él le importa en capital, en riesgo regulatorio o en consistencia entre entidades. Traduce.</w:t>
      </w:r>
    </w:p>
    <w:p>
      <w:pPr>
        <w:pStyle w:val="ListParagraph"/>
        <w:numPr>
          <w:ilvl w:val="0"/>
          <w:numId w:val="10"/>
        </w:numPr>
        <w:spacing w:after="90" w:line="280"/>
        <w:jc w:val="both"/>
      </w:pPr>
      <w:r>
        <w:rPr>
          <w:rFonts w:ascii="Calibri" w:cs="Calibri" w:eastAsia="Calibri" w:hAnsi="Calibri"/>
          <w:sz w:val="22"/>
          <w:szCs w:val="22"/>
        </w:rPr>
        <w:t xml:space="preserve">La decisión más pequeña posible. No pidas la política nueva: pide el piloto, la excepción acotada con fecha de revisión, la exención temporal. Es mucho más fácil aprobar algo reversible.</w:t>
      </w:r>
    </w:p>
    <w:p>
      <w:pPr>
        <w:pStyle w:val="ListParagraph"/>
        <w:numPr>
          <w:ilvl w:val="0"/>
          <w:numId w:val="10"/>
        </w:numPr>
        <w:spacing w:after="90" w:line="280"/>
        <w:jc w:val="both"/>
      </w:pPr>
      <w:r>
        <w:rPr>
          <w:rFonts w:ascii="Calibri" w:cs="Calibri" w:eastAsia="Calibri" w:hAnsi="Calibri"/>
          <w:sz w:val="22"/>
          <w:szCs w:val="22"/>
        </w:rPr>
        <w:t xml:space="preserve">El manejo del precedente. Quien decide en el centro piensa siempre "si se lo doy a uno, me lo piden todos". Adelántate: define el criterio que hace de tu caso una categoría y no un favor. "Aplicable a entidades con menos de cinco años de historia en el segmento" es un criterio; "aplicable a México" es un favor.</w:t>
      </w:r>
    </w:p>
    <w:p>
      <w:pPr>
        <w:pStyle w:val="ListParagraph"/>
        <w:numPr>
          <w:ilvl w:val="0"/>
          <w:numId w:val="10"/>
        </w:numPr>
        <w:spacing w:after="90" w:line="280"/>
        <w:jc w:val="both"/>
      </w:pPr>
      <w:r>
        <w:rPr>
          <w:rFonts w:ascii="Calibri" w:cs="Calibri" w:eastAsia="Calibri" w:hAnsi="Calibri"/>
          <w:sz w:val="22"/>
          <w:szCs w:val="22"/>
        </w:rPr>
        <w:t xml:space="preserve">El costo de no decidir, en su moneda. El argumento que más se mueve en un grupo bancario es el riesgo regulatorio local, porque el centro sí responde por él. Úsalo cuando sea cierto, y no lo infles cuando no lo sea: el crédito que pierdes por exagerar una vez no se recupera.</w:t>
      </w:r>
    </w:p>
    <w:p>
      <w:pPr>
        <w:pStyle w:val="Heading2"/>
        <w:spacing w:after="120" w:before="260"/>
      </w:pPr>
      <w:r>
        <w:rPr>
          <w:rFonts w:ascii="Calibri" w:cs="Calibri" w:eastAsia="Calibri" w:hAnsi="Calibri"/>
          <w:b/>
          <w:bCs/>
          <w:color w:val="2E5090"/>
          <w:sz w:val="24"/>
          <w:szCs w:val="24"/>
        </w:rPr>
        <w:t xml:space="preserve">16.3 A quién le hablas</w:t>
      </w:r>
    </w:p>
    <w:p>
      <w:pPr>
        <w:spacing w:after="140" w:before="0" w:line="280"/>
        <w:jc w:val="both"/>
      </w:pPr>
      <w:r>
        <w:rPr>
          <w:rFonts w:ascii="Calibri" w:cs="Calibri" w:eastAsia="Calibri" w:hAnsi="Calibri"/>
          <w:b w:val="false"/>
          <w:bCs w:val="false"/>
          <w:i w:val="false"/>
          <w:iCs w:val="false"/>
          <w:color w:val="000000"/>
          <w:sz w:val="22"/>
          <w:szCs w:val="22"/>
        </w:rPr>
        <w:t xml:space="preserve">Antes de escribir, contesta tres preguntas por escrito: quién firma, quién puede vetar aunque no firme, y quién resulta afectado si esto se aprueba. La mayoría de las propuestas fracasa por el segundo grupo, que no fue consultado y se entera en el foro.</w:t>
      </w:r>
    </w:p>
    <w:p>
      <w:pPr>
        <w:spacing w:after="140" w:before="0" w:line="280"/>
        <w:jc w:val="both"/>
      </w:pPr>
      <w:r>
        <w:rPr>
          <w:rFonts w:ascii="Calibri" w:cs="Calibri" w:eastAsia="Calibri" w:hAnsi="Calibri"/>
          <w:b w:val="false"/>
          <w:bCs w:val="false"/>
          <w:i w:val="false"/>
          <w:iCs w:val="false"/>
          <w:color w:val="000000"/>
          <w:sz w:val="22"/>
          <w:szCs w:val="22"/>
        </w:rPr>
        <w:t xml:space="preserve">Cuando hay doble reporte —línea funcional en el centro y línea de entidad en el país— cuidar solo una de las dos es un error caro y muy común. La línea funcional te da viabilidad técnica; la de entidad te da respaldo político. Necesitas ambas, y necesitas que cada una escuche la versión que le corresponde antes del foro, nunca durante.</w:t>
      </w:r>
    </w:p>
    <w:p>
      <w:pPr>
        <w:pStyle w:val="Heading2"/>
        <w:spacing w:after="120" w:before="260"/>
      </w:pPr>
      <w:r>
        <w:rPr>
          <w:rFonts w:ascii="Calibri" w:cs="Calibri" w:eastAsia="Calibri" w:hAnsi="Calibri"/>
          <w:b/>
          <w:bCs/>
          <w:color w:val="2E5090"/>
          <w:sz w:val="24"/>
          <w:szCs w:val="24"/>
        </w:rPr>
        <w:t xml:space="preserve">16.4 El formato que sobrevive</w:t>
      </w:r>
    </w:p>
    <w:p>
      <w:pPr>
        <w:spacing w:after="140" w:before="0" w:line="280"/>
        <w:jc w:val="both"/>
      </w:pPr>
      <w:r>
        <w:rPr>
          <w:rFonts w:ascii="Calibri" w:cs="Calibri" w:eastAsia="Calibri" w:hAnsi="Calibri"/>
          <w:b w:val="false"/>
          <w:bCs w:val="false"/>
          <w:i w:val="false"/>
          <w:iCs w:val="false"/>
          <w:color w:val="000000"/>
          <w:sz w:val="22"/>
          <w:szCs w:val="22"/>
        </w:rPr>
        <w:t xml:space="preserve">Una página. Petición y decisión solicitada en el primer párrafo. Tres razones. Impacto cuantificado. Fecha en la que la decisión deja de ser útil. Anexos con todo lo demás. Si tu propuesta necesita quince láminas para entenderse, no está lista para el centro; está lista para tu equipo.</w:t>
      </w:r>
    </w:p>
    <w:p>
      <w:pPr>
        <w:pStyle w:val="Heading1"/>
        <w:pBdr>
          <w:bottom w:val="single" w:color="D0D3D9" w:sz="6" w:space="6"/>
        </w:pBdr>
        <w:spacing w:after="170" w:before="380"/>
      </w:pPr>
      <w:r>
        <w:rPr>
          <w:rFonts w:ascii="Calibri" w:cs="Calibri" w:eastAsia="Calibri" w:hAnsi="Calibri"/>
          <w:b/>
          <w:bCs/>
          <w:color w:val="1F3864"/>
          <w:sz w:val="30"/>
          <w:szCs w:val="30"/>
        </w:rPr>
        <w:t xml:space="preserve">17. Armar un business case para conseguir presupuesto</w:t>
      </w:r>
    </w:p>
    <w:p>
      <w:pPr>
        <w:spacing w:after="140" w:before="0" w:line="280"/>
        <w:jc w:val="both"/>
      </w:pPr>
      <w:r>
        <w:rPr>
          <w:rFonts w:ascii="Calibri" w:cs="Calibri" w:eastAsia="Calibri" w:hAnsi="Calibri"/>
          <w:b w:val="false"/>
          <w:bCs w:val="false"/>
          <w:i w:val="false"/>
          <w:iCs w:val="false"/>
          <w:color w:val="000000"/>
          <w:sz w:val="22"/>
          <w:szCs w:val="22"/>
        </w:rPr>
        <w:t xml:space="preserve">Un business case es un documento de venta con formato de documento técnico. Quien lo lee ya vio decenas y desarrolló un detector de beneficios inflados. La estructura piramidal ayuda, pero aquí la credibilidad importa tanto como el orden.</w:t>
      </w:r>
    </w:p>
    <w:p>
      <w:pPr>
        <w:pStyle w:val="Heading2"/>
        <w:spacing w:after="120" w:before="260"/>
      </w:pPr>
      <w:r>
        <w:rPr>
          <w:rFonts w:ascii="Calibri" w:cs="Calibri" w:eastAsia="Calibri" w:hAnsi="Calibri"/>
          <w:b/>
          <w:bCs/>
          <w:color w:val="2E5090"/>
          <w:sz w:val="24"/>
          <w:szCs w:val="24"/>
        </w:rPr>
        <w:t xml:space="preserve">17.1 La punta</w:t>
      </w:r>
    </w:p>
    <w:p>
      <w:pPr>
        <w:spacing w:after="140" w:before="0" w:line="280"/>
        <w:jc w:val="both"/>
      </w:pPr>
      <w:r>
        <w:rPr>
          <w:rFonts w:ascii="Calibri" w:cs="Calibri" w:eastAsia="Calibri" w:hAnsi="Calibri"/>
          <w:b w:val="false"/>
          <w:bCs w:val="false"/>
          <w:i w:val="false"/>
          <w:iCs w:val="false"/>
          <w:color w:val="000000"/>
          <w:sz w:val="22"/>
          <w:szCs w:val="22"/>
        </w:rPr>
        <w:t xml:space="preserve">La punta es la decisión que pides y su monto. Literalmente: qué apruebas, cuánto cuesta, qué obtienes, para cuándo. Un business case que abre con "antecedentes del proyecto" perdió al lector en el renglón uno.</w:t>
      </w:r>
    </w:p>
    <w:p>
      <w:pPr>
        <w:pBdr>
          <w:left w:val="single" w:color="8B4513" w:sz="12" w:space="12"/>
        </w:pBdr>
        <w:spacing w:after="160" w:before="100" w:line="260"/>
        <w:ind w:left="340"/>
      </w:pPr>
      <w:r>
        <w:rPr>
          <w:rFonts w:ascii="Consolas" w:cs="Consolas" w:eastAsia="Consolas" w:hAnsi="Consolas"/>
          <w:color w:val="2B2B2B"/>
          <w:sz w:val="19"/>
          <w:szCs w:val="19"/>
        </w:rPr>
        <w:t xml:space="preserve">"Solicito aprobación de un presupuesto de X para automatizar el proceso de conciliación regulatoria en doce meses. Libera el equivalente a dos posiciones de trabajo manual, elimina el hallazgo de auditoría abierto desde marzo, y se paga en menos de dos años."</w:t>
      </w:r>
    </w:p>
    <w:p>
      <w:pPr>
        <w:pStyle w:val="Heading2"/>
        <w:spacing w:after="120" w:before="260"/>
      </w:pPr>
      <w:r>
        <w:rPr>
          <w:rFonts w:ascii="Calibri" w:cs="Calibri" w:eastAsia="Calibri" w:hAnsi="Calibri"/>
          <w:b/>
          <w:bCs/>
          <w:color w:val="2E5090"/>
          <w:sz w:val="24"/>
          <w:szCs w:val="24"/>
        </w:rPr>
        <w:t xml:space="preserve">17.2 Estructura</w:t>
      </w:r>
    </w:p>
    <w:p>
      <w:pPr>
        <w:pStyle w:val="ListParagraph"/>
        <w:numPr>
          <w:ilvl w:val="0"/>
          <w:numId w:val="11"/>
        </w:numPr>
        <w:spacing w:after="90" w:line="280"/>
        <w:jc w:val="both"/>
      </w:pPr>
      <w:r>
        <w:rPr>
          <w:rFonts w:ascii="Calibri" w:cs="Calibri" w:eastAsia="Calibri" w:hAnsi="Calibri"/>
          <w:sz w:val="22"/>
          <w:szCs w:val="22"/>
        </w:rPr>
        <w:t xml:space="preserve">El costo de hoy, cuantificado. No el problema en abstracto: cuánto cuesta no hacer nada, en horas, en pérdidas, en riesgo abierto. Este es el número que sostiene todo el documento y es donde más se falla por pereza.</w:t>
      </w:r>
    </w:p>
    <w:p>
      <w:pPr>
        <w:pStyle w:val="ListParagraph"/>
        <w:numPr>
          <w:ilvl w:val="0"/>
          <w:numId w:val="11"/>
        </w:numPr>
        <w:spacing w:after="90" w:line="280"/>
        <w:jc w:val="both"/>
      </w:pPr>
      <w:r>
        <w:rPr>
          <w:rFonts w:ascii="Calibri" w:cs="Calibri" w:eastAsia="Calibri" w:hAnsi="Calibri"/>
          <w:sz w:val="22"/>
          <w:szCs w:val="22"/>
        </w:rPr>
        <w:t xml:space="preserve">Las opciones consideradas, incluida no hacer nada. Un business case con una sola opción se lee como una decisión ya tomada que busca sello. Tres opciones con criterios explícitos se lee como análisis.</w:t>
      </w:r>
    </w:p>
    <w:p>
      <w:pPr>
        <w:pStyle w:val="ListParagraph"/>
        <w:numPr>
          <w:ilvl w:val="0"/>
          <w:numId w:val="11"/>
        </w:numPr>
        <w:spacing w:after="90" w:line="280"/>
        <w:jc w:val="both"/>
      </w:pPr>
      <w:r>
        <w:rPr>
          <w:rFonts w:ascii="Calibri" w:cs="Calibri" w:eastAsia="Calibri" w:hAnsi="Calibri"/>
          <w:sz w:val="22"/>
          <w:szCs w:val="22"/>
        </w:rPr>
        <w:t xml:space="preserve">La opción recomendada y por qué gana bajo esos criterios.</w:t>
      </w:r>
    </w:p>
    <w:p>
      <w:pPr>
        <w:pStyle w:val="ListParagraph"/>
        <w:numPr>
          <w:ilvl w:val="0"/>
          <w:numId w:val="11"/>
        </w:numPr>
        <w:spacing w:after="90" w:line="280"/>
        <w:jc w:val="both"/>
      </w:pPr>
      <w:r>
        <w:rPr>
          <w:rFonts w:ascii="Calibri" w:cs="Calibri" w:eastAsia="Calibri" w:hAnsi="Calibri"/>
          <w:sz w:val="22"/>
          <w:szCs w:val="22"/>
        </w:rPr>
        <w:t xml:space="preserve">Costo y beneficio con supuestos visibles. Cada supuesto que sostiene el beneficio, escrito y atacable. Si el lector no puede ver los supuestos, asume que están inflados —y suele tener razón.</w:t>
      </w:r>
    </w:p>
    <w:p>
      <w:pPr>
        <w:pStyle w:val="ListParagraph"/>
        <w:numPr>
          <w:ilvl w:val="0"/>
          <w:numId w:val="11"/>
        </w:numPr>
        <w:spacing w:after="90" w:line="280"/>
        <w:jc w:val="both"/>
      </w:pPr>
      <w:r>
        <w:rPr>
          <w:rFonts w:ascii="Calibri" w:cs="Calibri" w:eastAsia="Calibri" w:hAnsi="Calibri"/>
          <w:sz w:val="22"/>
          <w:szCs w:val="22"/>
        </w:rPr>
        <w:t xml:space="preserve">Qué pasa si no se aprueba. Consecuencia concreta, no dramática.</w:t>
      </w:r>
    </w:p>
    <w:p>
      <w:pPr>
        <w:pStyle w:val="ListParagraph"/>
        <w:numPr>
          <w:ilvl w:val="0"/>
          <w:numId w:val="11"/>
        </w:numPr>
        <w:spacing w:after="90" w:line="280"/>
        <w:jc w:val="both"/>
      </w:pPr>
      <w:r>
        <w:rPr>
          <w:rFonts w:ascii="Calibri" w:cs="Calibri" w:eastAsia="Calibri" w:hAnsi="Calibri"/>
          <w:sz w:val="22"/>
          <w:szCs w:val="22"/>
        </w:rPr>
        <w:t xml:space="preserve">La petición y la fecha límite real de la decisión.</w:t>
      </w:r>
    </w:p>
    <w:p>
      <w:pPr>
        <w:pStyle w:val="Heading2"/>
        <w:spacing w:after="120" w:before="260"/>
      </w:pPr>
      <w:r>
        <w:rPr>
          <w:rFonts w:ascii="Calibri" w:cs="Calibri" w:eastAsia="Calibri" w:hAnsi="Calibri"/>
          <w:b/>
          <w:bCs/>
          <w:color w:val="2E5090"/>
          <w:sz w:val="24"/>
          <w:szCs w:val="24"/>
        </w:rPr>
        <w:t xml:space="preserve">17.3 Reglas de credibilidad</w:t>
      </w:r>
    </w:p>
    <w:p>
      <w:pPr>
        <w:pStyle w:val="ListParagraph"/>
        <w:numPr>
          <w:ilvl w:val="0"/>
          <w:numId w:val="2"/>
        </w:numPr>
        <w:spacing w:after="90" w:line="280"/>
        <w:jc w:val="both"/>
      </w:pPr>
      <w:r>
        <w:rPr>
          <w:rFonts w:ascii="Calibri" w:cs="Calibri" w:eastAsia="Calibri" w:hAnsi="Calibri"/>
          <w:sz w:val="22"/>
          <w:szCs w:val="22"/>
        </w:rPr>
        <w:t xml:space="preserve">Beneficio en la moneda de quien decide. Ahorro de horas convence a un jefe de operación; reducción de capital o de riesgo regulatorio convence a un comité. El mismo proyecto se argumenta distinto según quién firma, sin mentir en ninguna versión.</w:t>
      </w:r>
    </w:p>
    <w:p>
      <w:pPr>
        <w:pStyle w:val="ListParagraph"/>
        <w:numPr>
          <w:ilvl w:val="0"/>
          <w:numId w:val="2"/>
        </w:numPr>
        <w:spacing w:after="90" w:line="280"/>
        <w:jc w:val="both"/>
      </w:pPr>
      <w:r>
        <w:rPr>
          <w:rFonts w:ascii="Calibri" w:cs="Calibri" w:eastAsia="Calibri" w:hAnsi="Calibri"/>
          <w:sz w:val="22"/>
          <w:szCs w:val="22"/>
        </w:rPr>
        <w:t xml:space="preserve">Rangos honestos antes que un número falso. "Entre 1.5 y 2.5 posiciones equivalentes, según el alcance de la fase dos" es más creíble y más defendible que un número exacto que nadie puede sostener.</w:t>
      </w:r>
    </w:p>
    <w:p>
      <w:pPr>
        <w:pStyle w:val="ListParagraph"/>
        <w:numPr>
          <w:ilvl w:val="0"/>
          <w:numId w:val="2"/>
        </w:numPr>
        <w:spacing w:after="90" w:line="280"/>
        <w:jc w:val="both"/>
      </w:pPr>
      <w:r>
        <w:rPr>
          <w:rFonts w:ascii="Calibri" w:cs="Calibri" w:eastAsia="Calibri" w:hAnsi="Calibri"/>
          <w:sz w:val="22"/>
          <w:szCs w:val="22"/>
        </w:rPr>
        <w:t xml:space="preserve">Cuantifica el costo, no solo el beneficio. Incluye lo que se suele omitir: el tiempo del equipo que ya está ocupado, el mantenimiento del año dos, la curva de aprendizaje.</w:t>
      </w:r>
    </w:p>
    <w:p>
      <w:pPr>
        <w:pStyle w:val="ListParagraph"/>
        <w:numPr>
          <w:ilvl w:val="0"/>
          <w:numId w:val="2"/>
        </w:numPr>
        <w:spacing w:after="90" w:line="280"/>
        <w:jc w:val="both"/>
      </w:pPr>
      <w:r>
        <w:rPr>
          <w:rFonts w:ascii="Calibri" w:cs="Calibri" w:eastAsia="Calibri" w:hAnsi="Calibri"/>
          <w:sz w:val="22"/>
          <w:szCs w:val="22"/>
        </w:rPr>
        <w:t xml:space="preserve">Nombra el riesgo principal tú mismo. Si tú no lo pones, alguien lo pondrá en la sala y en peores términos. Ponerlo con su mitigación te da control del encuadre.</w:t>
      </w:r>
    </w:p>
    <w:p>
      <w:pPr>
        <w:pStyle w:val="ListParagraph"/>
        <w:numPr>
          <w:ilvl w:val="0"/>
          <w:numId w:val="2"/>
        </w:numPr>
        <w:spacing w:after="90" w:line="280"/>
        <w:jc w:val="both"/>
      </w:pPr>
      <w:r>
        <w:rPr>
          <w:rFonts w:ascii="Calibri" w:cs="Calibri" w:eastAsia="Calibri" w:hAnsi="Calibri"/>
          <w:sz w:val="22"/>
          <w:szCs w:val="22"/>
        </w:rPr>
        <w:t xml:space="preserve">Responde el "por qué ahora". Casi ningún business case se rechaza por malo; se rechaza por postergable. Si no puedes explicar por qué este trimestre y no el siguiente, prepárate para que se postergue.</w:t>
      </w:r>
    </w:p>
    <w:p>
      <w:pPr>
        <w:pStyle w:val="Heading1"/>
        <w:pBdr>
          <w:bottom w:val="single" w:color="D0D3D9" w:sz="6" w:space="6"/>
        </w:pBdr>
        <w:spacing w:after="170" w:before="380"/>
      </w:pPr>
      <w:r>
        <w:rPr>
          <w:rFonts w:ascii="Calibri" w:cs="Calibri" w:eastAsia="Calibri" w:hAnsi="Calibri"/>
          <w:b/>
          <w:bCs/>
          <w:color w:val="1F3864"/>
          <w:sz w:val="30"/>
          <w:szCs w:val="30"/>
        </w:rPr>
        <w:t xml:space="preserve">18. Conversación difícil hacia abajo: pedir a alguien de tu equipo que cambie una actitud</w:t>
      </w:r>
    </w:p>
    <w:p>
      <w:pPr>
        <w:spacing w:after="140" w:before="0" w:line="280"/>
        <w:jc w:val="both"/>
      </w:pPr>
      <w:r>
        <w:rPr>
          <w:rFonts w:ascii="Calibri" w:cs="Calibri" w:eastAsia="Calibri" w:hAnsi="Calibri"/>
          <w:b w:val="false"/>
          <w:bCs w:val="false"/>
          <w:i w:val="false"/>
          <w:iCs w:val="false"/>
          <w:color w:val="000000"/>
          <w:sz w:val="22"/>
          <w:szCs w:val="22"/>
        </w:rPr>
        <w:t xml:space="preserve">Cuando la conducta de una persona daña al equipo, el costo de no tener la conversación siempre lo paga el resto del equipo, y lo paga en silencio. Postergarla no es amabilidad: es transferirle el problema a quien no lo causó.</w:t>
      </w:r>
    </w:p>
    <w:p>
      <w:pPr>
        <w:pStyle w:val="Heading2"/>
        <w:spacing w:after="120" w:before="260"/>
      </w:pPr>
      <w:r>
        <w:rPr>
          <w:rFonts w:ascii="Calibri" w:cs="Calibri" w:eastAsia="Calibri" w:hAnsi="Calibri"/>
          <w:b/>
          <w:bCs/>
          <w:color w:val="2E5090"/>
          <w:sz w:val="24"/>
          <w:szCs w:val="24"/>
        </w:rPr>
        <w:t xml:space="preserve">18.1 Preparación: tres columnas antes de hablar</w:t>
      </w:r>
    </w:p>
    <w:p>
      <w:pPr>
        <w:pStyle w:val="ListParagraph"/>
        <w:numPr>
          <w:ilvl w:val="0"/>
          <w:numId w:val="2"/>
        </w:numPr>
        <w:spacing w:after="90" w:line="280"/>
        <w:jc w:val="both"/>
      </w:pPr>
      <w:r>
        <w:rPr>
          <w:rFonts w:ascii="Calibri" w:cs="Calibri" w:eastAsia="Calibri" w:hAnsi="Calibri"/>
          <w:sz w:val="22"/>
          <w:szCs w:val="22"/>
        </w:rPr>
        <w:t xml:space="preserve">Hecho observable. Qué pasó, cuándo, en qué contexto. Verificable, específico y sin adjetivos: algo que un tercero que estuvo ahí describiría igual.</w:t>
      </w:r>
    </w:p>
    <w:p>
      <w:pPr>
        <w:pStyle w:val="ListParagraph"/>
        <w:numPr>
          <w:ilvl w:val="0"/>
          <w:numId w:val="2"/>
        </w:numPr>
        <w:spacing w:after="90" w:line="280"/>
        <w:jc w:val="both"/>
      </w:pPr>
      <w:r>
        <w:rPr>
          <w:rFonts w:ascii="Calibri" w:cs="Calibri" w:eastAsia="Calibri" w:hAnsi="Calibri"/>
          <w:sz w:val="22"/>
          <w:szCs w:val="22"/>
        </w:rPr>
        <w:t xml:space="preserve">Impacto. Qué consecuencia tuvo en el trabajo o en el equipo. No en tus sentimientos: en el trabajo. "Dos personas dejaron de traer temas a la sesión" es impacto; "me incomoda" no lo es.</w:t>
      </w:r>
    </w:p>
    <w:p>
      <w:pPr>
        <w:pStyle w:val="ListParagraph"/>
        <w:numPr>
          <w:ilvl w:val="0"/>
          <w:numId w:val="2"/>
        </w:numPr>
        <w:spacing w:after="90" w:line="280"/>
        <w:jc w:val="both"/>
      </w:pPr>
      <w:r>
        <w:rPr>
          <w:rFonts w:ascii="Calibri" w:cs="Calibri" w:eastAsia="Calibri" w:hAnsi="Calibri"/>
          <w:sz w:val="22"/>
          <w:szCs w:val="22"/>
        </w:rPr>
        <w:t xml:space="preserve">Cambio esperado. Qué específicamente debe ser distinto y cómo se vería el éxito en cuatro semanas. Si no puedes describirlo, todavía no estás listo para la conversación.</w:t>
      </w:r>
    </w:p>
    <w:p>
      <w:pPr>
        <w:spacing w:after="140" w:before="0" w:line="280"/>
        <w:jc w:val="both"/>
      </w:pPr>
      <w:r>
        <w:rPr>
          <w:rFonts w:ascii="Calibri" w:cs="Calibri" w:eastAsia="Calibri" w:hAnsi="Calibri"/>
          <w:b w:val="false"/>
          <w:bCs w:val="false"/>
          <w:i w:val="false"/>
          <w:iCs w:val="false"/>
          <w:color w:val="000000"/>
          <w:sz w:val="22"/>
          <w:szCs w:val="22"/>
        </w:rPr>
        <w:t xml:space="preserve">Si al llenar las tres columnas descubres que solo tienes impresiones y ningún hecho, el problema puede ser real de todos modos —pero necesitas observar primero. Una conversación basada en percepciones se convierte en discusión sobre si la percepción es justa, y ahí no se llega a nada.</w:t>
      </w:r>
    </w:p>
    <w:p>
      <w:pPr>
        <w:pStyle w:val="Heading2"/>
        <w:spacing w:after="120" w:before="260"/>
      </w:pPr>
      <w:r>
        <w:rPr>
          <w:rFonts w:ascii="Calibri" w:cs="Calibri" w:eastAsia="Calibri" w:hAnsi="Calibri"/>
          <w:b/>
          <w:bCs/>
          <w:color w:val="2E5090"/>
          <w:sz w:val="24"/>
          <w:szCs w:val="24"/>
        </w:rPr>
        <w:t xml:space="preserve">18.2 Conducta, no identidad</w:t>
      </w:r>
    </w:p>
    <w:p>
      <w:pPr>
        <w:spacing w:after="140" w:before="0" w:line="280"/>
        <w:jc w:val="both"/>
      </w:pPr>
      <w:r>
        <w:rPr>
          <w:rFonts w:ascii="Calibri" w:cs="Calibri" w:eastAsia="Calibri" w:hAnsi="Calibri"/>
          <w:b w:val="false"/>
          <w:bCs w:val="false"/>
          <w:i w:val="false"/>
          <w:iCs w:val="false"/>
          <w:color w:val="000000"/>
          <w:sz w:val="22"/>
          <w:szCs w:val="22"/>
        </w:rPr>
        <w:t xml:space="preserve">La distinción es la que decide el resultado. Una crítica a la conducta admite corrección; una crítica a la identidad solo admite defensa, porque estás diciéndole a la persona quién es.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460"/>
      </w:tblGrid>
      <w:tr>
        <w:trPr>
          <w:tblHeader/>
        </w:trPr>
        <w:tc>
          <w:tcPr>
            <w:tcW w:type="dxa" w:w="3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Identidad (cierra)</w:t>
            </w:r>
          </w:p>
        </w:tc>
        <w:tc>
          <w:tcPr>
            <w:tcW w:type="dxa" w:w="54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Conducta (abre)</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Eres arrogante con el equipo.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En las últimas tres sesiones interrumpiste a los analistas antes de que terminaran de plantear.</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No eres colaborativo.</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Los últimos dos entregables compartidos los cerraste sin avisar a las dos personas que dependían de ellos.</w:t>
            </w:r>
          </w:p>
        </w:tc>
      </w:tr>
      <w:tr>
        <w:tc>
          <w:tcPr>
            <w:tcW w:type="dxa" w:w="3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Tienes mala actitud.</w:t>
            </w:r>
          </w:p>
        </w:tc>
        <w:tc>
          <w:tcPr>
            <w:tcW w:type="dxa" w:w="54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Cuando se te pidió el ajuste del reporte respondiste en el chat del equipo que era una pérdida de tiempo.</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18.3 El guion, en cinco tiempos</w:t>
      </w:r>
    </w:p>
    <w:p>
      <w:pPr>
        <w:pStyle w:val="ListParagraph"/>
        <w:numPr>
          <w:ilvl w:val="0"/>
          <w:numId w:val="12"/>
        </w:numPr>
        <w:spacing w:after="90" w:line="280"/>
        <w:jc w:val="both"/>
      </w:pPr>
      <w:r>
        <w:rPr>
          <w:rFonts w:ascii="Calibri" w:cs="Calibri" w:eastAsia="Calibri" w:hAnsi="Calibri"/>
          <w:sz w:val="22"/>
          <w:szCs w:val="22"/>
        </w:rPr>
        <w:t xml:space="preserve">Apertura directa, sin rodeo y sin elogio de relleno. "Quiero hablar de algo que está afectando cómo trabaja el equipo." El elogio previo hace que la persona espere el golpe y devalúa cualquier elogio futuro tuyo.</w:t>
      </w:r>
    </w:p>
    <w:p>
      <w:pPr>
        <w:pStyle w:val="ListParagraph"/>
        <w:numPr>
          <w:ilvl w:val="0"/>
          <w:numId w:val="12"/>
        </w:numPr>
        <w:spacing w:after="90" w:line="280"/>
        <w:jc w:val="both"/>
      </w:pPr>
      <w:r>
        <w:rPr>
          <w:rFonts w:ascii="Calibri" w:cs="Calibri" w:eastAsia="Calibri" w:hAnsi="Calibri"/>
          <w:sz w:val="22"/>
          <w:szCs w:val="22"/>
        </w:rPr>
        <w:t xml:space="preserve">El hecho. Uno o dos, los más claros. No la lista completa: una lista larga se siente como expediente y desplaza la conversación hacia la defensa.</w:t>
      </w:r>
    </w:p>
    <w:p>
      <w:pPr>
        <w:pStyle w:val="ListParagraph"/>
        <w:numPr>
          <w:ilvl w:val="0"/>
          <w:numId w:val="12"/>
        </w:numPr>
        <w:spacing w:after="90" w:line="280"/>
        <w:jc w:val="both"/>
      </w:pPr>
      <w:r>
        <w:rPr>
          <w:rFonts w:ascii="Calibri" w:cs="Calibri" w:eastAsia="Calibri" w:hAnsi="Calibri"/>
          <w:sz w:val="22"/>
          <w:szCs w:val="22"/>
        </w:rPr>
        <w:t xml:space="preserve">El impacto. Concreto y en términos de trabajo.</w:t>
      </w:r>
    </w:p>
    <w:p>
      <w:pPr>
        <w:pStyle w:val="ListParagraph"/>
        <w:numPr>
          <w:ilvl w:val="0"/>
          <w:numId w:val="12"/>
        </w:numPr>
        <w:spacing w:after="90" w:line="280"/>
        <w:jc w:val="both"/>
      </w:pPr>
      <w:r>
        <w:rPr>
          <w:rFonts w:ascii="Calibri" w:cs="Calibri" w:eastAsia="Calibri" w:hAnsi="Calibri"/>
          <w:sz w:val="22"/>
          <w:szCs w:val="22"/>
        </w:rPr>
        <w:t xml:space="preserve">Escucha real. Preguntas y silencio. Aquí es donde el material de coaching se cruza con esto: pregunta y aguanta la pausa. Puede aparecer información que cambie tu lectura del asunto, y si aparece, hay que incorporarla de verdad, no fingir que la incorporas.</w:t>
      </w:r>
    </w:p>
    <w:p>
      <w:pPr>
        <w:pStyle w:val="ListParagraph"/>
        <w:numPr>
          <w:ilvl w:val="0"/>
          <w:numId w:val="12"/>
        </w:numPr>
        <w:spacing w:after="90" w:line="280"/>
        <w:jc w:val="both"/>
      </w:pPr>
      <w:r>
        <w:rPr>
          <w:rFonts w:ascii="Calibri" w:cs="Calibri" w:eastAsia="Calibri" w:hAnsi="Calibri"/>
          <w:sz w:val="22"/>
          <w:szCs w:val="22"/>
        </w:rPr>
        <w:t xml:space="preserve">Acuerdo verificable y seguimiento. Qué cambia, cómo lo vamos a notar, cuándo lo revisamos. Sin fecha de revisión, la conversación no ocurrió.</w:t>
      </w:r>
    </w:p>
    <w:p>
      <w:pPr>
        <w:pStyle w:val="Heading2"/>
        <w:spacing w:after="120" w:before="260"/>
      </w:pPr>
      <w:r>
        <w:rPr>
          <w:rFonts w:ascii="Calibri" w:cs="Calibri" w:eastAsia="Calibri" w:hAnsi="Calibri"/>
          <w:b/>
          <w:bCs/>
          <w:color w:val="2E5090"/>
          <w:sz w:val="24"/>
          <w:szCs w:val="24"/>
        </w:rPr>
        <w:t xml:space="preserve">18.4 Las tres reacciones y qué hacer</w:t>
      </w:r>
    </w:p>
    <w:p>
      <w:pPr>
        <w:pStyle w:val="ListParagraph"/>
        <w:numPr>
          <w:ilvl w:val="0"/>
          <w:numId w:val="2"/>
        </w:numPr>
        <w:spacing w:after="90" w:line="280"/>
        <w:jc w:val="both"/>
      </w:pPr>
      <w:r>
        <w:rPr>
          <w:rFonts w:ascii="Calibri" w:cs="Calibri" w:eastAsia="Calibri" w:hAnsi="Calibri"/>
          <w:sz w:val="22"/>
          <w:szCs w:val="22"/>
        </w:rPr>
        <w:t xml:space="preserve">Niega el hecho. Vuelve al hecho, no al juicio. Si el desacuerdo es sobre lo que ocurrió, ese es el tema a resolver antes que cualquier otro.</w:t>
      </w:r>
    </w:p>
    <w:p>
      <w:pPr>
        <w:pStyle w:val="ListParagraph"/>
        <w:numPr>
          <w:ilvl w:val="0"/>
          <w:numId w:val="2"/>
        </w:numPr>
        <w:spacing w:after="90" w:line="280"/>
        <w:jc w:val="both"/>
      </w:pPr>
      <w:r>
        <w:rPr>
          <w:rFonts w:ascii="Calibri" w:cs="Calibri" w:eastAsia="Calibri" w:hAnsi="Calibri"/>
          <w:sz w:val="22"/>
          <w:szCs w:val="22"/>
        </w:rPr>
        <w:t xml:space="preserve">Se derrumba. Baja el ritmo, sostén el mensaje. Retirarlo por incomodidad es el error más común y garantiza tener que repetir la conversación en peores condiciones. Se puede ser firme y considerado a la vez.</w:t>
      </w:r>
    </w:p>
    <w:p>
      <w:pPr>
        <w:pStyle w:val="ListParagraph"/>
        <w:numPr>
          <w:ilvl w:val="0"/>
          <w:numId w:val="2"/>
        </w:numPr>
        <w:spacing w:after="90" w:line="280"/>
        <w:jc w:val="both"/>
      </w:pPr>
      <w:r>
        <w:rPr>
          <w:rFonts w:ascii="Calibri" w:cs="Calibri" w:eastAsia="Calibri" w:hAnsi="Calibri"/>
          <w:sz w:val="22"/>
          <w:szCs w:val="22"/>
        </w:rPr>
        <w:t xml:space="preserve">Contraataca con quejas propias. Reconoce lo que sea legítimo, agéndalo aparte con fecha, y regresa. Fusionar los dos temas termina con ambos sin resolver.</w:t>
      </w:r>
    </w:p>
    <w:p>
      <w:pPr>
        <w:pStyle w:val="Heading2"/>
        <w:spacing w:after="120" w:before="260"/>
      </w:pPr>
      <w:r>
        <w:rPr>
          <w:rFonts w:ascii="Calibri" w:cs="Calibri" w:eastAsia="Calibri" w:hAnsi="Calibri"/>
          <w:b/>
          <w:bCs/>
          <w:color w:val="2E5090"/>
          <w:sz w:val="24"/>
          <w:szCs w:val="24"/>
        </w:rPr>
        <w:t xml:space="preserve">18.5 Documentación</w:t>
      </w:r>
    </w:p>
    <w:p>
      <w:pPr>
        <w:spacing w:after="140" w:before="0" w:line="280"/>
        <w:jc w:val="both"/>
      </w:pPr>
      <w:r>
        <w:rPr>
          <w:rFonts w:ascii="Calibri" w:cs="Calibri" w:eastAsia="Calibri" w:hAnsi="Calibri"/>
          <w:b w:val="false"/>
          <w:bCs w:val="false"/>
          <w:i w:val="false"/>
          <w:iCs w:val="false"/>
          <w:color w:val="000000"/>
          <w:sz w:val="22"/>
          <w:szCs w:val="22"/>
        </w:rPr>
        <w:t xml:space="preserve">Un correo breve después de la conversación —lo acordado, la fecha de revisión, nada más— protege a ambas partes y evita la discusión posterior sobre qué se dijo. No es un expediente ni lleva tono formal; es memoria compartida. Si más adelante la situación escala, ese registro es lo que hace la diferencia entre un proceso ordenado y la palabra de uno contra la del otro.</w:t>
      </w:r>
    </w:p>
    <w:p>
      <w:pPr>
        <w:pStyle w:val="Heading1"/>
        <w:pBdr>
          <w:bottom w:val="single" w:color="D0D3D9" w:sz="6" w:space="6"/>
        </w:pBdr>
        <w:spacing w:after="170" w:before="380"/>
      </w:pPr>
      <w:r>
        <w:rPr>
          <w:rFonts w:ascii="Calibri" w:cs="Calibri" w:eastAsia="Calibri" w:hAnsi="Calibri"/>
          <w:b/>
          <w:bCs/>
          <w:color w:val="1F3864"/>
          <w:sz w:val="30"/>
          <w:szCs w:val="30"/>
        </w:rPr>
        <w:t xml:space="preserve">19. Conversación difícil hacia arriba: cuando la conducta problemática es la de tu jefe</w:t>
      </w:r>
    </w:p>
    <w:p>
      <w:pPr>
        <w:spacing w:after="140" w:before="0" w:line="280"/>
        <w:jc w:val="both"/>
      </w:pPr>
      <w:r>
        <w:rPr>
          <w:rFonts w:ascii="Calibri" w:cs="Calibri" w:eastAsia="Calibri" w:hAnsi="Calibri"/>
          <w:b w:val="false"/>
          <w:bCs w:val="false"/>
          <w:i w:val="false"/>
          <w:iCs w:val="false"/>
          <w:color w:val="000000"/>
          <w:sz w:val="22"/>
          <w:szCs w:val="22"/>
        </w:rPr>
        <w:t xml:space="preserve">Es un caso distinto y conviene no tratarlo como el anterior con los papeles invertidos. Hacia abajo pides un cambio con autoridad; hacia arriba no tienes esa palanca y el costo del error es asimétrico. Eso no significa callarse: significa preparar mejor.</w:t>
      </w:r>
    </w:p>
    <w:p>
      <w:pPr>
        <w:pStyle w:val="Heading2"/>
        <w:spacing w:after="120" w:before="260"/>
      </w:pPr>
      <w:r>
        <w:rPr>
          <w:rFonts w:ascii="Calibri" w:cs="Calibri" w:eastAsia="Calibri" w:hAnsi="Calibri"/>
          <w:b/>
          <w:bCs/>
          <w:color w:val="2E5090"/>
          <w:sz w:val="24"/>
          <w:szCs w:val="24"/>
        </w:rPr>
        <w:t xml:space="preserve">19.1 Qué cambia respecto al caso anterior</w:t>
      </w:r>
    </w:p>
    <w:p>
      <w:pPr>
        <w:pStyle w:val="ListParagraph"/>
        <w:numPr>
          <w:ilvl w:val="0"/>
          <w:numId w:val="2"/>
        </w:numPr>
        <w:spacing w:after="90" w:line="280"/>
        <w:jc w:val="both"/>
      </w:pPr>
      <w:r>
        <w:rPr>
          <w:rFonts w:ascii="Calibri" w:cs="Calibri" w:eastAsia="Calibri" w:hAnsi="Calibri"/>
          <w:sz w:val="22"/>
          <w:szCs w:val="22"/>
        </w:rPr>
        <w:t xml:space="preserve">No pides cambio de conducta: expones un efecto y haces una petición pequeña. La conclusión sigue yendo primero, pero la conclusión es la petición, no el diagnóstico de su carácter.</w:t>
      </w:r>
    </w:p>
    <w:p>
      <w:pPr>
        <w:pStyle w:val="ListParagraph"/>
        <w:numPr>
          <w:ilvl w:val="0"/>
          <w:numId w:val="2"/>
        </w:numPr>
        <w:spacing w:after="90" w:line="280"/>
        <w:jc w:val="both"/>
      </w:pPr>
      <w:r>
        <w:rPr>
          <w:rFonts w:ascii="Calibri" w:cs="Calibri" w:eastAsia="Calibri" w:hAnsi="Calibri"/>
          <w:sz w:val="22"/>
          <w:szCs w:val="22"/>
        </w:rPr>
        <w:t xml:space="preserve">El impacto se mide en resultados, no en clima. "Cuando la prioridad cambia a mitad de semana sin avisar, dos entregables se caen" se puede discutir. "El equipo se siente desmotivado" invita a que se cuestione tu lectura del equipo.</w:t>
      </w:r>
    </w:p>
    <w:p>
      <w:pPr>
        <w:pStyle w:val="ListParagraph"/>
        <w:numPr>
          <w:ilvl w:val="0"/>
          <w:numId w:val="2"/>
        </w:numPr>
        <w:spacing w:after="90" w:line="280"/>
        <w:jc w:val="both"/>
      </w:pPr>
      <w:r>
        <w:rPr>
          <w:rFonts w:ascii="Calibri" w:cs="Calibri" w:eastAsia="Calibri" w:hAnsi="Calibri"/>
          <w:sz w:val="22"/>
          <w:szCs w:val="22"/>
        </w:rPr>
        <w:t xml:space="preserve">Pides permiso para la conversación. Una frase basta y cambia el tono completo: "¿Puedo comentarte algo sobre cómo estamos trabajando? Es incómodo pero creo que te sirve saberlo."</w:t>
      </w:r>
    </w:p>
    <w:p>
      <w:pPr>
        <w:pStyle w:val="ListParagraph"/>
        <w:numPr>
          <w:ilvl w:val="0"/>
          <w:numId w:val="2"/>
        </w:numPr>
        <w:spacing w:after="90" w:line="280"/>
        <w:jc w:val="both"/>
      </w:pPr>
      <w:r>
        <w:rPr>
          <w:rFonts w:ascii="Calibri" w:cs="Calibri" w:eastAsia="Calibri" w:hAnsi="Calibri"/>
          <w:sz w:val="22"/>
          <w:szCs w:val="22"/>
        </w:rPr>
        <w:t xml:space="preserve">Ofreces salida. Una propuesta concreta que le facilite hacerlo distinto, no solo el señalamiento. Sin propuesta, la conversación se reduce a una queja bien redactada.</w:t>
      </w:r>
    </w:p>
    <w:p>
      <w:pPr>
        <w:pStyle w:val="Heading2"/>
        <w:spacing w:after="120" w:before="260"/>
      </w:pPr>
      <w:r>
        <w:rPr>
          <w:rFonts w:ascii="Calibri" w:cs="Calibri" w:eastAsia="Calibri" w:hAnsi="Calibri"/>
          <w:b/>
          <w:bCs/>
          <w:color w:val="2E5090"/>
          <w:sz w:val="24"/>
          <w:szCs w:val="24"/>
        </w:rPr>
        <w:t xml:space="preserve">19.2 Estructura</w:t>
      </w:r>
    </w:p>
    <w:p>
      <w:pPr>
        <w:pBdr>
          <w:left w:val="single" w:color="8B4513" w:sz="12" w:space="12"/>
        </w:pBdr>
        <w:spacing w:after="40" w:before="100" w:line="260"/>
        <w:ind w:left="340"/>
      </w:pPr>
      <w:r>
        <w:rPr>
          <w:rFonts w:ascii="Consolas" w:cs="Consolas" w:eastAsia="Consolas" w:hAnsi="Consolas"/>
          <w:color w:val="2B2B2B"/>
          <w:sz w:val="19"/>
          <w:szCs w:val="19"/>
        </w:rPr>
        <w:t xml:space="preserve">"¿Tienes diez minutos? Quiero proponerte un ajuste en cómo llegan los cambios de prioridad al equipo.</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En las últimas tres semanas, dos de los entregables comprometidos se recorrieron porque el foco cambió a media semana. El equipo alcanzó a cubrir lo urgente, pero llegamos tarde con el área de finanzas dos veces.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Mi propuesta es acordar los cambios de prioridad los lunes, y que lo que entre después espere salvo que sea regulatorio. Si algo entra fuera de esa ventana, yo te digo qué se cae, tú decides, y quedamos los dos cubiertos.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¿Lo probamos un mes?"</w:t>
      </w:r>
    </w:p>
    <w:p>
      <w:pPr>
        <w:spacing w:after="140" w:before="0" w:line="280"/>
        <w:jc w:val="both"/>
      </w:pPr>
      <w:r>
        <w:rPr>
          <w:rFonts w:ascii="Calibri" w:cs="Calibri" w:eastAsia="Calibri" w:hAnsi="Calibri"/>
          <w:b w:val="false"/>
          <w:bCs w:val="false"/>
          <w:i w:val="false"/>
          <w:iCs w:val="false"/>
          <w:color w:val="000000"/>
          <w:sz w:val="22"/>
          <w:szCs w:val="22"/>
        </w:rPr>
        <w:t xml:space="preserve">Fíjate en lo que no tiene: ningún adjetivo sobre él, ninguna generalización, ninguna acumulación de agravios. Un efecto medido, una propuesta y un plazo de prueba. Es difícil discutir con eso, y si aun así lo rechaza, obtuviste información valiosa sobre el margen real que tienes.</w:t>
      </w:r>
    </w:p>
    <w:p>
      <w:pPr>
        <w:pStyle w:val="Heading2"/>
        <w:spacing w:after="120" w:before="260"/>
      </w:pPr>
      <w:r>
        <w:rPr>
          <w:rFonts w:ascii="Calibri" w:cs="Calibri" w:eastAsia="Calibri" w:hAnsi="Calibri"/>
          <w:b/>
          <w:bCs/>
          <w:color w:val="2E5090"/>
          <w:sz w:val="24"/>
          <w:szCs w:val="24"/>
        </w:rPr>
        <w:t xml:space="preserve">19.3 Calibrar el riesgo</w:t>
      </w:r>
    </w:p>
    <w:p>
      <w:pPr>
        <w:pStyle w:val="ListParagraph"/>
        <w:numPr>
          <w:ilvl w:val="0"/>
          <w:numId w:val="2"/>
        </w:numPr>
        <w:spacing w:after="90" w:line="280"/>
        <w:jc w:val="both"/>
      </w:pPr>
      <w:r>
        <w:rPr>
          <w:rFonts w:ascii="Calibri" w:cs="Calibri" w:eastAsia="Calibri" w:hAnsi="Calibri"/>
          <w:sz w:val="22"/>
          <w:szCs w:val="22"/>
        </w:rPr>
        <w:t xml:space="preserve">Canal y momento: nunca en público, nunca en caliente, nunca por escrito como primer contacto. El correo cierra opciones porque queda; la conversación deja espacio para rectificar a ambos.</w:t>
      </w:r>
    </w:p>
    <w:p>
      <w:pPr>
        <w:pStyle w:val="ListParagraph"/>
        <w:numPr>
          <w:ilvl w:val="0"/>
          <w:numId w:val="2"/>
        </w:numPr>
        <w:spacing w:after="90" w:line="280"/>
        <w:jc w:val="both"/>
      </w:pPr>
      <w:r>
        <w:rPr>
          <w:rFonts w:ascii="Calibri" w:cs="Calibri" w:eastAsia="Calibri" w:hAnsi="Calibri"/>
          <w:sz w:val="22"/>
          <w:szCs w:val="22"/>
        </w:rPr>
        <w:t xml:space="preserve">Una sola cosa por conversación. La tentación de aprovechar el momento para sacar todo lo acumulado es lo que convierte una petición razonable en un reclamo.</w:t>
      </w:r>
    </w:p>
    <w:p>
      <w:pPr>
        <w:pStyle w:val="ListParagraph"/>
        <w:numPr>
          <w:ilvl w:val="0"/>
          <w:numId w:val="2"/>
        </w:numPr>
        <w:spacing w:after="90" w:line="280"/>
        <w:jc w:val="both"/>
      </w:pPr>
      <w:r>
        <w:rPr>
          <w:rFonts w:ascii="Calibri" w:cs="Calibri" w:eastAsia="Calibri" w:hAnsi="Calibri"/>
          <w:sz w:val="22"/>
          <w:szCs w:val="22"/>
        </w:rPr>
        <w:t xml:space="preserve">Cuándo no vale la pena: cuando el patrón es estructural y sostenido, cuando ya lo intentaste con este método y no hubo movimiento, o cuando el costo personal supera el beneficio esperable. Reconocerlo no es cobardía; es cálculo. Lo que no es válido es no intentarlo nunca y quejarse siempre.</w:t>
      </w:r>
    </w:p>
    <w:p>
      <w:pPr>
        <w:pStyle w:val="ListParagraph"/>
        <w:numPr>
          <w:ilvl w:val="0"/>
          <w:numId w:val="2"/>
        </w:numPr>
        <w:spacing w:after="90" w:line="280"/>
        <w:jc w:val="both"/>
      </w:pPr>
      <w:r>
        <w:rPr>
          <w:rFonts w:ascii="Calibri" w:cs="Calibri" w:eastAsia="Calibri" w:hAnsi="Calibri"/>
          <w:sz w:val="22"/>
          <w:szCs w:val="22"/>
        </w:rPr>
        <w:t xml:space="preserve">Escalar por encima de tu jefe o ir a recursos humanos tiene un costo real y a menudo irreversible en la relación. Es la ruta correcta ante conductas que cruzan una línea de ética o de trato, y es una ruta cara para problemas de estilo de gestión. Distinguir cuál es cuál, antes de actuar, es parte del trabajo.</w:t>
      </w:r>
    </w:p>
    <w:p>
      <w:pPr>
        <w:pStyle w:val="Heading1"/>
        <w:pBdr>
          <w:bottom w:val="single" w:color="D0D3D9" w:sz="6" w:space="6"/>
        </w:pBdr>
        <w:spacing w:after="170" w:before="380"/>
      </w:pPr>
      <w:r>
        <w:rPr>
          <w:rFonts w:ascii="Calibri" w:cs="Calibri" w:eastAsia="Calibri" w:hAnsi="Calibri"/>
          <w:b/>
          <w:bCs/>
          <w:color w:val="1F3864"/>
          <w:sz w:val="30"/>
          <w:szCs w:val="30"/>
        </w:rPr>
        <w:t xml:space="preserve">20. Estructurar un no</w:t>
      </w:r>
    </w:p>
    <w:p>
      <w:pPr>
        <w:spacing w:after="140" w:before="0" w:line="280"/>
        <w:jc w:val="both"/>
      </w:pPr>
      <w:r>
        <w:rPr>
          <w:rFonts w:ascii="Calibri" w:cs="Calibri" w:eastAsia="Calibri" w:hAnsi="Calibri"/>
          <w:b w:val="false"/>
          <w:bCs w:val="false"/>
          <w:i w:val="false"/>
          <w:iCs w:val="false"/>
          <w:color w:val="000000"/>
          <w:sz w:val="22"/>
          <w:szCs w:val="22"/>
        </w:rPr>
        <w:t xml:space="preserve">Decir que no mal es una de las fuentes más constantes de sobrecarga. Un no envuelto en tres párrafos de contexto se lee como un "déjame ver" y regresa la semana siguiente convertido en compromiso.</w:t>
      </w:r>
    </w:p>
    <w:p>
      <w:pPr>
        <w:pStyle w:val="Heading2"/>
        <w:spacing w:after="120" w:before="260"/>
      </w:pPr>
      <w:r>
        <w:rPr>
          <w:rFonts w:ascii="Calibri" w:cs="Calibri" w:eastAsia="Calibri" w:hAnsi="Calibri"/>
          <w:b/>
          <w:bCs/>
          <w:color w:val="2E5090"/>
          <w:sz w:val="24"/>
          <w:szCs w:val="24"/>
        </w:rPr>
        <w:t xml:space="preserve">20.1 La regla</w:t>
      </w:r>
    </w:p>
    <w:p>
      <w:pPr>
        <w:spacing w:after="140" w:before="0" w:line="280"/>
        <w:jc w:val="both"/>
      </w:pPr>
      <w:r>
        <w:rPr>
          <w:rFonts w:ascii="Calibri" w:cs="Calibri" w:eastAsia="Calibri" w:hAnsi="Calibri"/>
          <w:b w:val="false"/>
          <w:bCs w:val="false"/>
          <w:i w:val="false"/>
          <w:iCs w:val="false"/>
          <w:color w:val="000000"/>
          <w:sz w:val="22"/>
          <w:szCs w:val="22"/>
        </w:rPr>
        <w:t xml:space="preserve">El no va primero, en la primera oración, sin adornos previos. Después la razón, después la alternativa. Ese orden respeta más al otro que la versión larga: le permite dejar de leer y buscar otra ruta de inmediato en lugar de esperar una respuesta que ya está decidida.</w:t>
      </w:r>
    </w:p>
    <w:p>
      <w:pPr>
        <w:pStyle w:val="Heading2"/>
        <w:spacing w:after="120" w:before="260"/>
      </w:pPr>
      <w:r>
        <w:rPr>
          <w:rFonts w:ascii="Calibri" w:cs="Calibri" w:eastAsia="Calibri" w:hAnsi="Calibri"/>
          <w:b/>
          <w:bCs/>
          <w:color w:val="2E5090"/>
          <w:sz w:val="24"/>
          <w:szCs w:val="24"/>
        </w:rPr>
        <w:t xml:space="preserve">20.2 Tres tipos de no, y el error de confundirlos</w:t>
      </w:r>
    </w:p>
    <w:p>
      <w:pPr>
        <w:pStyle w:val="ListParagraph"/>
        <w:numPr>
          <w:ilvl w:val="0"/>
          <w:numId w:val="2"/>
        </w:numPr>
        <w:spacing w:after="90" w:line="280"/>
        <w:jc w:val="both"/>
      </w:pPr>
      <w:r>
        <w:rPr>
          <w:rFonts w:ascii="Calibri" w:cs="Calibri" w:eastAsia="Calibri" w:hAnsi="Calibri"/>
          <w:sz w:val="22"/>
          <w:szCs w:val="22"/>
        </w:rPr>
        <w:t xml:space="preserve">No de capacidad. Puedes hacerlo, pero algo se cae. Nunca lo enuncies como "no puedo": enúncialo como un intercambio explícito. "Sí, si desplazamos la entrega de X dos semanas. ¿Lo hacemos?" Esto devuelve la decisión a quien tiene la autoridad para priorizar, que es donde debe estar.</w:t>
      </w:r>
    </w:p>
    <w:p>
      <w:pPr>
        <w:pStyle w:val="ListParagraph"/>
        <w:numPr>
          <w:ilvl w:val="0"/>
          <w:numId w:val="2"/>
        </w:numPr>
        <w:spacing w:after="90" w:line="280"/>
        <w:jc w:val="both"/>
      </w:pPr>
      <w:r>
        <w:rPr>
          <w:rFonts w:ascii="Calibri" w:cs="Calibri" w:eastAsia="Calibri" w:hAnsi="Calibri"/>
          <w:sz w:val="22"/>
          <w:szCs w:val="22"/>
        </w:rPr>
        <w:t xml:space="preserve">No de alcance. No corresponde a tu equipo, o corresponde a otro que lo hará mejor. Aquí importa nombrar a quién sí, porque un no sin destino se percibe como esquive.</w:t>
      </w:r>
    </w:p>
    <w:p>
      <w:pPr>
        <w:pStyle w:val="ListParagraph"/>
        <w:numPr>
          <w:ilvl w:val="0"/>
          <w:numId w:val="2"/>
        </w:numPr>
        <w:spacing w:after="90" w:line="280"/>
        <w:jc w:val="both"/>
      </w:pPr>
      <w:r>
        <w:rPr>
          <w:rFonts w:ascii="Calibri" w:cs="Calibri" w:eastAsia="Calibri" w:hAnsi="Calibri"/>
          <w:sz w:val="22"/>
          <w:szCs w:val="22"/>
        </w:rPr>
        <w:t xml:space="preserve">No de criterio. Puede hacerse y no debe hacerse. Es el más incómodo y el que más te define profesionalmente. Requiere razón técnica explícita y disposición a sostenerla. Es también el único que no admite alternativa suave: si crees que algo no debe hacerse, ofrecer una versión reducida es abandonar tu propio argumento.</w:t>
      </w:r>
    </w:p>
    <w:p>
      <w:pPr>
        <w:pStyle w:val="Heading2"/>
        <w:spacing w:after="120" w:before="260"/>
      </w:pPr>
      <w:r>
        <w:rPr>
          <w:rFonts w:ascii="Calibri" w:cs="Calibri" w:eastAsia="Calibri" w:hAnsi="Calibri"/>
          <w:b/>
          <w:bCs/>
          <w:color w:val="2E5090"/>
          <w:sz w:val="24"/>
          <w:szCs w:val="24"/>
        </w:rPr>
        <w:t xml:space="preserve">20.3 Estructura</w:t>
      </w:r>
    </w:p>
    <w:p>
      <w:pPr>
        <w:pStyle w:val="ListParagraph"/>
        <w:numPr>
          <w:ilvl w:val="0"/>
          <w:numId w:val="13"/>
        </w:numPr>
        <w:spacing w:after="90" w:line="280"/>
        <w:jc w:val="both"/>
      </w:pPr>
      <w:r>
        <w:rPr>
          <w:rFonts w:ascii="Calibri" w:cs="Calibri" w:eastAsia="Calibri" w:hAnsi="Calibri"/>
          <w:sz w:val="22"/>
          <w:szCs w:val="22"/>
        </w:rPr>
        <w:t xml:space="preserve">El no, explícito, en la primera línea.</w:t>
      </w:r>
    </w:p>
    <w:p>
      <w:pPr>
        <w:pStyle w:val="ListParagraph"/>
        <w:numPr>
          <w:ilvl w:val="0"/>
          <w:numId w:val="13"/>
        </w:numPr>
        <w:spacing w:after="90" w:line="280"/>
        <w:jc w:val="both"/>
      </w:pPr>
      <w:r>
        <w:rPr>
          <w:rFonts w:ascii="Calibri" w:cs="Calibri" w:eastAsia="Calibri" w:hAnsi="Calibri"/>
          <w:sz w:val="22"/>
          <w:szCs w:val="22"/>
        </w:rPr>
        <w:t xml:space="preserve">Una razón, la verdadera, verificable. Una sola: tres razones se leen como excusas acumuladas y el otro solo tiene que derribar una para reabrir el tema.</w:t>
      </w:r>
    </w:p>
    <w:p>
      <w:pPr>
        <w:pStyle w:val="ListParagraph"/>
        <w:numPr>
          <w:ilvl w:val="0"/>
          <w:numId w:val="13"/>
        </w:numPr>
        <w:spacing w:after="90" w:line="280"/>
        <w:jc w:val="both"/>
      </w:pPr>
      <w:r>
        <w:rPr>
          <w:rFonts w:ascii="Calibri" w:cs="Calibri" w:eastAsia="Calibri" w:hAnsi="Calibri"/>
          <w:sz w:val="22"/>
          <w:szCs w:val="22"/>
        </w:rPr>
        <w:t xml:space="preserve">La alternativa, si existe: otra ruta, otro responsable, otra fecha, un alcance menor.</w:t>
      </w:r>
    </w:p>
    <w:p>
      <w:pPr>
        <w:pStyle w:val="ListParagraph"/>
        <w:numPr>
          <w:ilvl w:val="0"/>
          <w:numId w:val="13"/>
        </w:numPr>
        <w:spacing w:after="90" w:line="280"/>
        <w:jc w:val="both"/>
      </w:pPr>
      <w:r>
        <w:rPr>
          <w:rFonts w:ascii="Calibri" w:cs="Calibri" w:eastAsia="Calibri" w:hAnsi="Calibri"/>
          <w:sz w:val="22"/>
          <w:szCs w:val="22"/>
        </w:rPr>
        <w:t xml:space="preserve">Qué haría que fuera un sí. Esto es lo que separa un no colaborativo de un portazo, y muchas veces destraba la conversación real.</w:t>
      </w:r>
    </w:p>
    <w:p>
      <w:pPr>
        <w:pStyle w:val="Heading2"/>
        <w:spacing w:after="120" w:before="260"/>
      </w:pPr>
      <w:r>
        <w:rPr>
          <w:rFonts w:ascii="Calibri" w:cs="Calibri" w:eastAsia="Calibri" w:hAnsi="Calibri"/>
          <w:b/>
          <w:bCs/>
          <w:color w:val="2E5090"/>
          <w:sz w:val="24"/>
          <w:szCs w:val="24"/>
        </w:rPr>
        <w:t xml:space="preserve">20.4 Ejemplo</w:t>
      </w:r>
    </w:p>
    <w:p>
      <w:pPr>
        <w:pBdr>
          <w:left w:val="single" w:color="8B4513" w:sz="12" w:space="12"/>
        </w:pBdr>
        <w:spacing w:after="40" w:before="100" w:line="260"/>
        <w:ind w:left="340"/>
      </w:pPr>
      <w:r>
        <w:rPr>
          <w:rFonts w:ascii="Consolas" w:cs="Consolas" w:eastAsia="Consolas" w:hAnsi="Consolas"/>
          <w:color w:val="2B2B2B"/>
          <w:sz w:val="19"/>
          <w:szCs w:val="19"/>
        </w:rPr>
        <w:t xml:space="preserve">"No vamos a alcanzar a incluir el análisis de sensibilidad en la versión del jueves.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El equipo está cerrando el ejercicio regulatorio esa misma semana y no hay margen sin poner en riesgo esa fecha.</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Dos opciones: lo entregamos completo el 12, o el jueves va la versión sin sensibilidad y el anexo llega después. Mi recomendación es la segunda porque el comité puede decidir sin ese análisis.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Si la sensibilidad es indispensable para el jueves, necesitaríamos mover el ejercicio regulatorio, y eso sí requiere tu visto bueno."</w:t>
      </w:r>
    </w:p>
    <w:p>
      <w:pPr>
        <w:pStyle w:val="Heading1"/>
        <w:pBdr>
          <w:bottom w:val="single" w:color="D0D3D9" w:sz="6" w:space="6"/>
        </w:pBdr>
        <w:spacing w:after="170" w:before="380"/>
      </w:pPr>
      <w:r>
        <w:rPr>
          <w:rFonts w:ascii="Calibri" w:cs="Calibri" w:eastAsia="Calibri" w:hAnsi="Calibri"/>
          <w:b/>
          <w:bCs/>
          <w:color w:val="1F3864"/>
          <w:sz w:val="30"/>
          <w:szCs w:val="30"/>
        </w:rPr>
        <w:t xml:space="preserve">21. Traspasar un proyecto o un sistema</w:t>
      </w:r>
    </w:p>
    <w:p>
      <w:pPr>
        <w:spacing w:after="140" w:before="0" w:line="280"/>
        <w:jc w:val="both"/>
      </w:pPr>
      <w:r>
        <w:rPr>
          <w:rFonts w:ascii="Calibri" w:cs="Calibri" w:eastAsia="Calibri" w:hAnsi="Calibri"/>
          <w:b w:val="false"/>
          <w:bCs w:val="false"/>
          <w:i w:val="false"/>
          <w:iCs w:val="false"/>
          <w:color w:val="000000"/>
          <w:sz w:val="22"/>
          <w:szCs w:val="22"/>
        </w:rPr>
        <w:t xml:space="preserve">Casi todos los traspasos se documentan mal por la misma razón: quien entrega documenta lo que sabe, no lo que el otro va a necesitar. Y lo que el otro va a necesitar es, sobre todo, lo que tú ya no notas porque lo tienes automatizado en la cabeza.</w:t>
      </w:r>
    </w:p>
    <w:p>
      <w:pPr>
        <w:pStyle w:val="Heading2"/>
        <w:spacing w:after="120" w:before="260"/>
      </w:pPr>
      <w:r>
        <w:rPr>
          <w:rFonts w:ascii="Calibri" w:cs="Calibri" w:eastAsia="Calibri" w:hAnsi="Calibri"/>
          <w:b/>
          <w:bCs/>
          <w:color w:val="2E5090"/>
          <w:sz w:val="24"/>
          <w:szCs w:val="24"/>
        </w:rPr>
        <w:t xml:space="preserve">21.1 La punta</w:t>
      </w:r>
    </w:p>
    <w:p>
      <w:pPr>
        <w:spacing w:after="140" w:before="0" w:line="280"/>
        <w:jc w:val="both"/>
      </w:pPr>
      <w:r>
        <w:rPr>
          <w:rFonts w:ascii="Calibri" w:cs="Calibri" w:eastAsia="Calibri" w:hAnsi="Calibri"/>
          <w:b w:val="false"/>
          <w:bCs w:val="false"/>
          <w:i w:val="false"/>
          <w:iCs w:val="false"/>
          <w:color w:val="000000"/>
          <w:sz w:val="22"/>
          <w:szCs w:val="22"/>
        </w:rPr>
        <w:t xml:space="preserve">Un traspaso no termina cuando entregas la carpeta. Termina cuando el receptor ejecuta un ciclo completo sin ti y sale bien. Definirlo así cambia todo lo demás: el entregable central no es un documento, es una secuencia de acompañamiento con fecha de corte.</w:t>
      </w:r>
    </w:p>
    <w:p>
      <w:pPr>
        <w:pStyle w:val="Heading2"/>
        <w:spacing w:after="120" w:before="260"/>
      </w:pPr>
      <w:r>
        <w:rPr>
          <w:rFonts w:ascii="Calibri" w:cs="Calibri" w:eastAsia="Calibri" w:hAnsi="Calibri"/>
          <w:b/>
          <w:bCs/>
          <w:color w:val="2E5090"/>
          <w:sz w:val="24"/>
          <w:szCs w:val="24"/>
        </w:rPr>
        <w:t xml:space="preserve">21.2 Qué debe contener el documento</w:t>
      </w:r>
    </w:p>
    <w:p>
      <w:pPr>
        <w:pStyle w:val="ListParagraph"/>
        <w:numPr>
          <w:ilvl w:val="0"/>
          <w:numId w:val="14"/>
        </w:numPr>
        <w:spacing w:after="90" w:line="280"/>
        <w:jc w:val="both"/>
      </w:pPr>
      <w:r>
        <w:rPr>
          <w:rFonts w:ascii="Calibri" w:cs="Calibri" w:eastAsia="Calibri" w:hAnsi="Calibri"/>
          <w:sz w:val="22"/>
          <w:szCs w:val="22"/>
        </w:rPr>
        <w:t xml:space="preserve">Qué es y para qué existe, en un párrafo. Quién lo usa y qué decisión depende de él.</w:t>
      </w:r>
    </w:p>
    <w:p>
      <w:pPr>
        <w:pStyle w:val="ListParagraph"/>
        <w:numPr>
          <w:ilvl w:val="0"/>
          <w:numId w:val="14"/>
        </w:numPr>
        <w:spacing w:after="90" w:line="280"/>
        <w:jc w:val="both"/>
      </w:pPr>
      <w:r>
        <w:rPr>
          <w:rFonts w:ascii="Calibri" w:cs="Calibri" w:eastAsia="Calibri" w:hAnsi="Calibri"/>
          <w:sz w:val="22"/>
          <w:szCs w:val="22"/>
        </w:rPr>
        <w:t xml:space="preserve">Estado actual honesto. Lo que funciona, lo que está a medias y lo que está roto y se opera con parche. Ocultar la deuda técnica no la elimina: solo garantiza que el receptor la descubra en el peor momento y con tu nombre encima.</w:t>
      </w:r>
    </w:p>
    <w:p>
      <w:pPr>
        <w:pStyle w:val="ListParagraph"/>
        <w:numPr>
          <w:ilvl w:val="0"/>
          <w:numId w:val="14"/>
        </w:numPr>
        <w:spacing w:after="90" w:line="280"/>
        <w:jc w:val="both"/>
      </w:pPr>
      <w:r>
        <w:rPr>
          <w:rFonts w:ascii="Calibri" w:cs="Calibri" w:eastAsia="Calibri" w:hAnsi="Calibri"/>
          <w:sz w:val="22"/>
          <w:szCs w:val="22"/>
        </w:rPr>
        <w:t xml:space="preserve">Cómo se opera. Rutinas, calendario, insumos, dependencias, quién entrega qué y cuándo. Con nombres y días concretos.</w:t>
      </w:r>
    </w:p>
    <w:p>
      <w:pPr>
        <w:pStyle w:val="ListParagraph"/>
        <w:numPr>
          <w:ilvl w:val="0"/>
          <w:numId w:val="14"/>
        </w:numPr>
        <w:spacing w:after="90" w:line="280"/>
        <w:jc w:val="both"/>
      </w:pPr>
      <w:r>
        <w:rPr>
          <w:rFonts w:ascii="Calibri" w:cs="Calibri" w:eastAsia="Calibri" w:hAnsi="Calibri"/>
          <w:sz w:val="22"/>
          <w:szCs w:val="22"/>
        </w:rPr>
        <w:t xml:space="preserve">Quién es quién. No solo contactos: qué le interesa a cada uno y con quién hay historia. Esto es lo que nunca se escribe y lo que más se necesita.</w:t>
      </w:r>
    </w:p>
    <w:p>
      <w:pPr>
        <w:pStyle w:val="ListParagraph"/>
        <w:numPr>
          <w:ilvl w:val="0"/>
          <w:numId w:val="14"/>
        </w:numPr>
        <w:spacing w:after="90" w:line="280"/>
        <w:jc w:val="both"/>
      </w:pPr>
      <w:r>
        <w:rPr>
          <w:rFonts w:ascii="Calibri" w:cs="Calibri" w:eastAsia="Calibri" w:hAnsi="Calibri"/>
          <w:sz w:val="22"/>
          <w:szCs w:val="22"/>
        </w:rPr>
        <w:t xml:space="preserve">Supuestos tácitos. Los tres a cinco "esto siempre se hace así porque..." que solo viven en tu cabeza. Es el apartado más valioso del documento y el que exige más esfuerzo de recuperación.</w:t>
      </w:r>
    </w:p>
    <w:p>
      <w:pPr>
        <w:pStyle w:val="ListParagraph"/>
        <w:numPr>
          <w:ilvl w:val="0"/>
          <w:numId w:val="14"/>
        </w:numPr>
        <w:spacing w:after="90" w:line="280"/>
        <w:jc w:val="both"/>
      </w:pPr>
      <w:r>
        <w:rPr>
          <w:rFonts w:ascii="Calibri" w:cs="Calibri" w:eastAsia="Calibri" w:hAnsi="Calibri"/>
          <w:sz w:val="22"/>
          <w:szCs w:val="22"/>
        </w:rPr>
        <w:t xml:space="preserve">Riesgos conocidos y decisiones pendientes, con tu recomendación en cada una.</w:t>
      </w:r>
    </w:p>
    <w:p>
      <w:pPr>
        <w:pStyle w:val="ListParagraph"/>
        <w:numPr>
          <w:ilvl w:val="0"/>
          <w:numId w:val="14"/>
        </w:numPr>
        <w:spacing w:after="90" w:line="280"/>
        <w:jc w:val="both"/>
      </w:pPr>
      <w:r>
        <w:rPr>
          <w:rFonts w:ascii="Calibri" w:cs="Calibri" w:eastAsia="Calibri" w:hAnsi="Calibri"/>
          <w:sz w:val="22"/>
          <w:szCs w:val="22"/>
        </w:rPr>
        <w:t xml:space="preserve">Qué hacer cuando falla. Los tres o cuatro modos de falla frecuentes y su solución, en formato de instrucciones ejecutables.</w:t>
      </w:r>
    </w:p>
    <w:p>
      <w:pPr>
        <w:pStyle w:val="Heading2"/>
        <w:spacing w:after="120" w:before="260"/>
      </w:pPr>
      <w:r>
        <w:rPr>
          <w:rFonts w:ascii="Calibri" w:cs="Calibri" w:eastAsia="Calibri" w:hAnsi="Calibri"/>
          <w:b/>
          <w:bCs/>
          <w:color w:val="2E5090"/>
          <w:sz w:val="24"/>
          <w:szCs w:val="24"/>
        </w:rPr>
        <w:t xml:space="preserve">21.3 La secuencia de transferencia</w:t>
      </w:r>
    </w:p>
    <w:p>
      <w:pPr>
        <w:spacing w:after="140" w:before="0" w:line="280"/>
        <w:jc w:val="both"/>
      </w:pPr>
      <w:r>
        <w:rPr>
          <w:rFonts w:ascii="Calibri" w:cs="Calibri" w:eastAsia="Calibri" w:hAnsi="Calibri"/>
          <w:b w:val="false"/>
          <w:bCs w:val="false"/>
          <w:i w:val="false"/>
          <w:iCs w:val="false"/>
          <w:color w:val="000000"/>
          <w:sz w:val="22"/>
          <w:szCs w:val="22"/>
        </w:rPr>
        <w:t xml:space="preserve">Cuatro etapas, cada una con al menos un ciclo real. Ninguna se salta aunque el receptor sea experimentado, porque lo que se transfiere no es capacidad técnica sino contexto.</w:t>
      </w:r>
    </w:p>
    <w:p>
      <w:pPr>
        <w:pStyle w:val="ListParagraph"/>
        <w:numPr>
          <w:ilvl w:val="0"/>
          <w:numId w:val="15"/>
        </w:numPr>
        <w:spacing w:after="90" w:line="280"/>
        <w:jc w:val="both"/>
      </w:pPr>
      <w:r>
        <w:rPr>
          <w:rFonts w:ascii="Calibri" w:cs="Calibri" w:eastAsia="Calibri" w:hAnsi="Calibri"/>
          <w:sz w:val="22"/>
          <w:szCs w:val="22"/>
        </w:rPr>
        <w:t xml:space="preserve">Tú lo haces, él observa.</w:t>
      </w:r>
    </w:p>
    <w:p>
      <w:pPr>
        <w:pStyle w:val="ListParagraph"/>
        <w:numPr>
          <w:ilvl w:val="0"/>
          <w:numId w:val="15"/>
        </w:numPr>
        <w:spacing w:after="90" w:line="280"/>
        <w:jc w:val="both"/>
      </w:pPr>
      <w:r>
        <w:rPr>
          <w:rFonts w:ascii="Calibri" w:cs="Calibri" w:eastAsia="Calibri" w:hAnsi="Calibri"/>
          <w:sz w:val="22"/>
          <w:szCs w:val="22"/>
        </w:rPr>
        <w:t xml:space="preserve">Él lo hace, tú observas y no intervienes salvo error material.</w:t>
      </w:r>
    </w:p>
    <w:p>
      <w:pPr>
        <w:pStyle w:val="ListParagraph"/>
        <w:numPr>
          <w:ilvl w:val="0"/>
          <w:numId w:val="15"/>
        </w:numPr>
        <w:spacing w:after="90" w:line="280"/>
        <w:jc w:val="both"/>
      </w:pPr>
      <w:r>
        <w:rPr>
          <w:rFonts w:ascii="Calibri" w:cs="Calibri" w:eastAsia="Calibri" w:hAnsi="Calibri"/>
          <w:sz w:val="22"/>
          <w:szCs w:val="22"/>
        </w:rPr>
        <w:t xml:space="preserve">Él lo hace, tú estás disponible pero no presente.</w:t>
      </w:r>
    </w:p>
    <w:p>
      <w:pPr>
        <w:pStyle w:val="ListParagraph"/>
        <w:numPr>
          <w:ilvl w:val="0"/>
          <w:numId w:val="15"/>
        </w:numPr>
        <w:spacing w:after="90" w:line="280"/>
        <w:jc w:val="both"/>
      </w:pPr>
      <w:r>
        <w:rPr>
          <w:rFonts w:ascii="Calibri" w:cs="Calibri" w:eastAsia="Calibri" w:hAnsi="Calibri"/>
          <w:sz w:val="22"/>
          <w:szCs w:val="22"/>
        </w:rPr>
        <w:t xml:space="preserve">Él lo hace. Fecha de corte declarada y un periodo corto de garantía —dos o tres semanas— en el que respondes dudas pero no ejecutas.</w:t>
      </w:r>
    </w:p>
    <w:p>
      <w:pPr>
        <w:pBdr>
          <w:top w:val="single" w:color="1F3864" w:sz="4" w:space="10"/>
          <w:bottom w:val="single" w:color="1F3864" w:sz="4" w:space="10"/>
          <w:left w:val="single" w:color="1F3864" w:sz="4" w:space="10"/>
          <w:right w:val="single" w:color="1F3864" w:sz="4" w:space="10"/>
        </w:pBdr>
        <w:shd w:fill="EAEEF6" w:color="auto" w:val="clear"/>
        <w:spacing w:after="200" w:before="180" w:line="280"/>
        <w:ind w:left="170" w:right="170"/>
        <w:jc w:val="left"/>
      </w:pPr>
      <w:r>
        <w:rPr>
          <w:rFonts w:ascii="Calibri" w:cs="Calibri" w:eastAsia="Calibri" w:hAnsi="Calibri"/>
          <w:b/>
          <w:bCs/>
          <w:color w:val="1F3864"/>
          <w:sz w:val="21"/>
          <w:szCs w:val="21"/>
        </w:rPr>
        <w:t xml:space="preserve">La fecha de corte tiene que existir y ser pública. Sin ella, los traspasos se vuelven permanentes: el receptor sigue preguntando, tú sigues resolviendo, y seis meses después el sistema sigue siendo tuyo en la práctica y de él en el organigrama.</w:t>
      </w:r>
    </w:p>
    <w:p>
      <w:pPr>
        <w:pStyle w:val="Heading2"/>
        <w:spacing w:after="120" w:before="260"/>
      </w:pPr>
      <w:r>
        <w:rPr>
          <w:rFonts w:ascii="Calibri" w:cs="Calibri" w:eastAsia="Calibri" w:hAnsi="Calibri"/>
          <w:b/>
          <w:bCs/>
          <w:color w:val="2E5090"/>
          <w:sz w:val="24"/>
          <w:szCs w:val="24"/>
        </w:rPr>
        <w:t xml:space="preserve">21.4 Documento vivo, no monumento</w:t>
      </w:r>
    </w:p>
    <w:p>
      <w:pPr>
        <w:spacing w:after="140" w:before="0" w:line="280"/>
        <w:jc w:val="both"/>
      </w:pPr>
      <w:r>
        <w:rPr>
          <w:rFonts w:ascii="Calibri" w:cs="Calibri" w:eastAsia="Calibri" w:hAnsi="Calibri"/>
          <w:b w:val="false"/>
          <w:bCs w:val="false"/>
          <w:i w:val="false"/>
          <w:iCs w:val="false"/>
          <w:color w:val="000000"/>
          <w:sz w:val="22"/>
          <w:szCs w:val="22"/>
        </w:rPr>
        <w:t xml:space="preserve">Un manual de ochenta páginas no se lee. Lo que se usa es un documento de operación corto —cinco a diez páginas— más los archivos técnicos donde estén. Si tienes poco tiempo, escribe primero el apartado de supuestos tácitos y el de fallas frecuentes: son los que nadie más puede escribir.</w:t>
      </w:r>
    </w:p>
    <w:p>
      <w:pPr>
        <w:pStyle w:val="Heading1"/>
        <w:pBdr>
          <w:bottom w:val="single" w:color="D0D3D9" w:sz="6" w:space="6"/>
        </w:pBdr>
        <w:spacing w:after="170" w:before="380"/>
      </w:pPr>
      <w:r>
        <w:rPr>
          <w:rFonts w:ascii="Calibri" w:cs="Calibri" w:eastAsia="Calibri" w:hAnsi="Calibri"/>
          <w:b/>
          <w:bCs/>
          <w:color w:val="1F3864"/>
          <w:sz w:val="30"/>
          <w:szCs w:val="30"/>
        </w:rPr>
        <w:t xml:space="preserve">22. Explicar un tema técnico de forma aterrizada</w:t>
      </w:r>
    </w:p>
    <w:p>
      <w:pPr>
        <w:spacing w:after="140" w:before="0" w:line="280"/>
        <w:jc w:val="both"/>
      </w:pPr>
      <w:r>
        <w:rPr>
          <w:rFonts w:ascii="Calibri" w:cs="Calibri" w:eastAsia="Calibri" w:hAnsi="Calibri"/>
          <w:b w:val="false"/>
          <w:bCs w:val="false"/>
          <w:i w:val="false"/>
          <w:iCs w:val="false"/>
          <w:color w:val="000000"/>
          <w:sz w:val="22"/>
          <w:szCs w:val="22"/>
        </w:rPr>
        <w:t xml:space="preserve">El malentendido de fondo es creer que simplificar es quitar rigor. No lo es. Simplificar bien es cambiar el nivel de abstracción sin decir nada falso, y es más difícil que explicar en detalle porque exige entender qué parte del detalle es prescindible para esa audiencia.</w:t>
      </w:r>
    </w:p>
    <w:p>
      <w:pPr>
        <w:pStyle w:val="Heading2"/>
        <w:spacing w:after="120" w:before="260"/>
      </w:pPr>
      <w:r>
        <w:rPr>
          <w:rFonts w:ascii="Calibri" w:cs="Calibri" w:eastAsia="Calibri" w:hAnsi="Calibri"/>
          <w:b/>
          <w:bCs/>
          <w:color w:val="2E5090"/>
          <w:sz w:val="24"/>
          <w:szCs w:val="24"/>
        </w:rPr>
        <w:t xml:space="preserve">22.1 Las tres capas</w:t>
      </w:r>
    </w:p>
    <w:p>
      <w:pPr>
        <w:pStyle w:val="ListParagraph"/>
        <w:numPr>
          <w:ilvl w:val="0"/>
          <w:numId w:val="16"/>
        </w:numPr>
        <w:spacing w:after="90" w:line="280"/>
        <w:jc w:val="both"/>
      </w:pPr>
      <w:r>
        <w:rPr>
          <w:rFonts w:ascii="Calibri" w:cs="Calibri" w:eastAsia="Calibri" w:hAnsi="Calibri"/>
          <w:sz w:val="22"/>
          <w:szCs w:val="22"/>
        </w:rPr>
        <w:t xml:space="preserve">Qué decide esto. La consecuencia práctica para quien te escucha. Es lo primero y muchas veces es lo único que necesita.</w:t>
      </w:r>
    </w:p>
    <w:p>
      <w:pPr>
        <w:pStyle w:val="ListParagraph"/>
        <w:numPr>
          <w:ilvl w:val="0"/>
          <w:numId w:val="16"/>
        </w:numPr>
        <w:spacing w:after="90" w:line="280"/>
        <w:jc w:val="both"/>
      </w:pPr>
      <w:r>
        <w:rPr>
          <w:rFonts w:ascii="Calibri" w:cs="Calibri" w:eastAsia="Calibri" w:hAnsi="Calibri"/>
          <w:sz w:val="22"/>
          <w:szCs w:val="22"/>
        </w:rPr>
        <w:t xml:space="preserve">Cómo funciona, en una frase. El mecanismo en su nivel más grueso, con una analogía si ayuda.</w:t>
      </w:r>
    </w:p>
    <w:p>
      <w:pPr>
        <w:pStyle w:val="ListParagraph"/>
        <w:numPr>
          <w:ilvl w:val="0"/>
          <w:numId w:val="16"/>
        </w:numPr>
        <w:spacing w:after="90" w:line="280"/>
        <w:jc w:val="both"/>
      </w:pPr>
      <w:r>
        <w:rPr>
          <w:rFonts w:ascii="Calibri" w:cs="Calibri" w:eastAsia="Calibri" w:hAnsi="Calibri"/>
          <w:sz w:val="22"/>
          <w:szCs w:val="22"/>
        </w:rPr>
        <w:t xml:space="preserve">El detalle, disponible pero no impuesto. Ofrécelo, no lo desembuches. "Si quieres, te muestro cómo se calcula" es mejor que calcularlo en voz alta sin que nadie lo pidiera.</w:t>
      </w:r>
    </w:p>
    <w:p>
      <w:pPr>
        <w:pStyle w:val="Heading2"/>
        <w:spacing w:after="120" w:before="260"/>
      </w:pPr>
      <w:r>
        <w:rPr>
          <w:rFonts w:ascii="Calibri" w:cs="Calibri" w:eastAsia="Calibri" w:hAnsi="Calibri"/>
          <w:b/>
          <w:bCs/>
          <w:color w:val="2E5090"/>
          <w:sz w:val="24"/>
          <w:szCs w:val="24"/>
        </w:rPr>
        <w:t xml:space="preserve">22.2 Reglas</w:t>
      </w:r>
    </w:p>
    <w:p>
      <w:pPr>
        <w:pStyle w:val="ListParagraph"/>
        <w:numPr>
          <w:ilvl w:val="0"/>
          <w:numId w:val="2"/>
        </w:numPr>
        <w:spacing w:after="90" w:line="280"/>
        <w:jc w:val="both"/>
      </w:pPr>
      <w:r>
        <w:rPr>
          <w:rFonts w:ascii="Calibri" w:cs="Calibri" w:eastAsia="Calibri" w:hAnsi="Calibri"/>
          <w:sz w:val="22"/>
          <w:szCs w:val="22"/>
        </w:rPr>
        <w:t xml:space="preserve">Empieza por la consecuencia. "Este cambio hace que aprobemos menos clientes en el segmento medio" antes que cualquier cosa sobre la metodología.</w:t>
      </w:r>
    </w:p>
    <w:p>
      <w:pPr>
        <w:pStyle w:val="ListParagraph"/>
        <w:numPr>
          <w:ilvl w:val="0"/>
          <w:numId w:val="2"/>
        </w:numPr>
        <w:spacing w:after="90" w:line="280"/>
        <w:jc w:val="both"/>
      </w:pPr>
      <w:r>
        <w:rPr>
          <w:rFonts w:ascii="Calibri" w:cs="Calibri" w:eastAsia="Calibri" w:hAnsi="Calibri"/>
          <w:sz w:val="22"/>
          <w:szCs w:val="22"/>
        </w:rPr>
        <w:t xml:space="preserve">Una analogía, y di dónde se rompe. Toda analogía es falsa en algún punto; señalarlo tú mantiene el rigor y evita que alguien construya una conclusión errónea sobre ella.</w:t>
      </w:r>
    </w:p>
    <w:p>
      <w:pPr>
        <w:pStyle w:val="ListParagraph"/>
        <w:numPr>
          <w:ilvl w:val="0"/>
          <w:numId w:val="2"/>
        </w:numPr>
        <w:spacing w:after="90" w:line="280"/>
        <w:jc w:val="both"/>
      </w:pPr>
      <w:r>
        <w:rPr>
          <w:rFonts w:ascii="Calibri" w:cs="Calibri" w:eastAsia="Calibri" w:hAnsi="Calibri"/>
          <w:sz w:val="22"/>
          <w:szCs w:val="22"/>
        </w:rPr>
        <w:t xml:space="preserve">Sustituye la jerga por el efecto, no por un sinónimo. En vez de explicar qué es la calibración, di: "el modelo ordena bien a los clientes de mejor a peor, pero el nivel absoluto de riesgo que asigna está bajo".</w:t>
      </w:r>
    </w:p>
    <w:p>
      <w:pPr>
        <w:pStyle w:val="ListParagraph"/>
        <w:numPr>
          <w:ilvl w:val="0"/>
          <w:numId w:val="2"/>
        </w:numPr>
        <w:spacing w:after="90" w:line="280"/>
        <w:jc w:val="both"/>
      </w:pPr>
      <w:r>
        <w:rPr>
          <w:rFonts w:ascii="Calibri" w:cs="Calibri" w:eastAsia="Calibri" w:hAnsi="Calibri"/>
          <w:sz w:val="22"/>
          <w:szCs w:val="22"/>
        </w:rPr>
        <w:t xml:space="preserve">Ancla los números a algo conocido. "Cuatro de cada mil créditos" comunica más que "0.4%", y "el equivalente a dos semanas del equipo" más que "80 horas".</w:t>
      </w:r>
    </w:p>
    <w:p>
      <w:pPr>
        <w:pStyle w:val="ListParagraph"/>
        <w:numPr>
          <w:ilvl w:val="0"/>
          <w:numId w:val="2"/>
        </w:numPr>
        <w:spacing w:after="90" w:line="280"/>
        <w:jc w:val="both"/>
      </w:pPr>
      <w:r>
        <w:rPr>
          <w:rFonts w:ascii="Calibri" w:cs="Calibri" w:eastAsia="Calibri" w:hAnsi="Calibri"/>
          <w:sz w:val="22"/>
          <w:szCs w:val="22"/>
        </w:rPr>
        <w:t xml:space="preserve">Nunca digas "es complicado". Lee como condescendencia y como excusa. Si de verdad no cabe en el tiempo disponible, di qué parte sí cabe.</w:t>
      </w:r>
    </w:p>
    <w:p>
      <w:pPr>
        <w:pStyle w:val="ListParagraph"/>
        <w:numPr>
          <w:ilvl w:val="0"/>
          <w:numId w:val="2"/>
        </w:numPr>
        <w:spacing w:after="90" w:line="280"/>
        <w:jc w:val="both"/>
      </w:pPr>
      <w:r>
        <w:rPr>
          <w:rFonts w:ascii="Calibri" w:cs="Calibri" w:eastAsia="Calibri" w:hAnsi="Calibri"/>
          <w:sz w:val="22"/>
          <w:szCs w:val="22"/>
        </w:rPr>
        <w:t xml:space="preserve">Prohibido el detalle defensivo. Mucha explicación técnica larga no busca que el otro entienda, sino demostrar que tú sí sabes. Se nota, y cuesta credibilidad en vez de darla.</w:t>
      </w:r>
    </w:p>
    <w:p>
      <w:pPr>
        <w:pStyle w:val="Heading2"/>
        <w:spacing w:after="120" w:before="260"/>
      </w:pPr>
      <w:r>
        <w:rPr>
          <w:rFonts w:ascii="Calibri" w:cs="Calibri" w:eastAsia="Calibri" w:hAnsi="Calibri"/>
          <w:b/>
          <w:bCs/>
          <w:color w:val="2E5090"/>
          <w:sz w:val="24"/>
          <w:szCs w:val="24"/>
        </w:rPr>
        <w:t xml:space="preserve">22.3 Ejemplo</w:t>
      </w:r>
    </w:p>
    <w:p>
      <w:pPr>
        <w:spacing w:after="140" w:before="0" w:line="280"/>
        <w:jc w:val="both"/>
      </w:pPr>
      <w:r>
        <w:rPr>
          <w:rFonts w:ascii="Calibri" w:cs="Calibri" w:eastAsia="Calibri" w:hAnsi="Calibri"/>
          <w:b w:val="false"/>
          <w:bCs w:val="false"/>
          <w:i w:val="false"/>
          <w:iCs w:val="false"/>
          <w:color w:val="000000"/>
          <w:sz w:val="22"/>
          <w:szCs w:val="22"/>
        </w:rPr>
        <w:t xml:space="preserve">Versión técnica, dirigida a la audiencia equivocada:</w:t>
      </w:r>
    </w:p>
    <w:p>
      <w:pPr>
        <w:pBdr>
          <w:left w:val="single" w:color="8B4513" w:sz="12" w:space="12"/>
        </w:pBdr>
        <w:spacing w:after="160" w:before="100" w:line="260"/>
        <w:ind w:left="340"/>
      </w:pPr>
      <w:r>
        <w:rPr>
          <w:rFonts w:ascii="Consolas" w:cs="Consolas" w:eastAsia="Consolas" w:hAnsi="Consolas"/>
          <w:color w:val="2B2B2B"/>
          <w:sz w:val="19"/>
          <w:szCs w:val="19"/>
        </w:rPr>
        <w:t xml:space="preserve">"La recalibración ajusta el intercepto de la función de vínculo para alinear la probabilidad de incumplimiento promedio de largo plazo con la tasa observada del ciclo completo, sin modificar los coeficientes ni el poder discriminante del modelo."</w:t>
      </w:r>
    </w:p>
    <w:p>
      <w:pPr>
        <w:spacing w:after="140" w:before="0" w:line="280"/>
        <w:jc w:val="both"/>
      </w:pPr>
      <w:r>
        <w:rPr>
          <w:rFonts w:ascii="Calibri" w:cs="Calibri" w:eastAsia="Calibri" w:hAnsi="Calibri"/>
          <w:b w:val="false"/>
          <w:bCs w:val="false"/>
          <w:i w:val="false"/>
          <w:iCs w:val="false"/>
          <w:color w:val="000000"/>
          <w:sz w:val="22"/>
          <w:szCs w:val="22"/>
        </w:rPr>
        <w:t xml:space="preserve">Misma verdad, para un director de negocio:</w:t>
      </w:r>
    </w:p>
    <w:p>
      <w:pPr>
        <w:pBdr>
          <w:left w:val="single" w:color="8B4513" w:sz="12" w:space="12"/>
        </w:pBdr>
        <w:spacing w:after="40" w:before="100" w:line="260"/>
        <w:ind w:left="340"/>
      </w:pPr>
      <w:r>
        <w:rPr>
          <w:rFonts w:ascii="Consolas" w:cs="Consolas" w:eastAsia="Consolas" w:hAnsi="Consolas"/>
          <w:color w:val="2B2B2B"/>
          <w:sz w:val="19"/>
          <w:szCs w:val="19"/>
        </w:rPr>
        <w:t xml:space="preserve">"El modelo sigue ordenando igual de bien a los clientes: los que señala como buenos, son buenos. Lo que estaba mal es el nivel: decía 2% de incumplimiento donde la realidad ha sido 3%. Lo estamos subiendo a 3%.</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40" w:before="0" w:line="260"/>
        <w:ind w:left="340"/>
      </w:pPr>
      <w:r>
        <w:rPr>
          <w:rFonts w:ascii="Consolas" w:cs="Consolas" w:eastAsia="Consolas" w:hAnsi="Consolas"/>
          <w:color w:val="2B2B2B"/>
          <w:sz w:val="19"/>
          <w:szCs w:val="19"/>
        </w:rPr>
        <w:t xml:space="preserve">Para ti eso significa que algunos clientes que hoy pasan el corte van a dejar de pasarlo, sobre todo en el segmento medio. Traigo el estimado de cuántos.</w:t>
      </w:r>
    </w:p>
    <w:p>
      <w:pPr>
        <w:pBdr>
          <w:left w:val="single" w:color="8B4513" w:sz="12" w:space="12"/>
        </w:pBdr>
        <w:spacing w:after="40" w:before="0" w:line="260"/>
        <w:ind w:left="340"/>
      </w:pPr>
      <w:r>
        <w:rPr>
          <w:rFonts w:ascii="Consolas" w:cs="Consolas" w:eastAsia="Consolas" w:hAnsi="Consolas"/>
          <w:color w:val="2B2B2B"/>
          <w:sz w:val="19"/>
          <w:szCs w:val="19"/>
        </w:rPr>
        <w:t xml:space="preserve"/>
      </w:r>
    </w:p>
    <w:p>
      <w:pPr>
        <w:pBdr>
          <w:left w:val="single" w:color="8B4513" w:sz="12" w:space="12"/>
        </w:pBdr>
        <w:spacing w:after="160" w:before="0" w:line="260"/>
        <w:ind w:left="340"/>
      </w:pPr>
      <w:r>
        <w:rPr>
          <w:rFonts w:ascii="Consolas" w:cs="Consolas" w:eastAsia="Consolas" w:hAnsi="Consolas"/>
          <w:color w:val="2B2B2B"/>
          <w:sz w:val="19"/>
          <w:szCs w:val="19"/>
        </w:rPr>
        <w:t xml:space="preserve">Lo que no cambia es el ordenamiento, así que las decisiones comerciales relativas —a quién le ofreces más línea— se mantienen."</w:t>
      </w:r>
    </w:p>
    <w:p>
      <w:pPr>
        <w:pStyle w:val="Heading2"/>
        <w:spacing w:after="120" w:before="260"/>
      </w:pPr>
      <w:r>
        <w:rPr>
          <w:rFonts w:ascii="Calibri" w:cs="Calibri" w:eastAsia="Calibri" w:hAnsi="Calibri"/>
          <w:b/>
          <w:bCs/>
          <w:color w:val="2E5090"/>
          <w:sz w:val="24"/>
          <w:szCs w:val="24"/>
        </w:rPr>
        <w:t xml:space="preserve">22.4 La prueba</w:t>
      </w:r>
    </w:p>
    <w:p>
      <w:pPr>
        <w:spacing w:after="140" w:before="0" w:line="280"/>
        <w:jc w:val="both"/>
      </w:pPr>
      <w:r>
        <w:rPr>
          <w:rFonts w:ascii="Calibri" w:cs="Calibri" w:eastAsia="Calibri" w:hAnsi="Calibri"/>
          <w:b w:val="false"/>
          <w:bCs w:val="false"/>
          <w:i w:val="false"/>
          <w:iCs w:val="false"/>
          <w:color w:val="000000"/>
          <w:sz w:val="22"/>
          <w:szCs w:val="22"/>
        </w:rPr>
        <w:t xml:space="preserve">Pídele a la persona que te lo explique de regreso, con naturalidad: "¿cómo se lo contarías a tu equipo?". Lo que devuelva es exactamente lo que entendió. Es incómodo la primera vez y es el único diagnóstico confiable que existe; todo lo demás —asentir, no preguntar— es ruido.</w:t>
      </w:r>
    </w:p>
    <w:p>
      <w:r>
        <w:br w:type="page"/>
      </w:r>
    </w:p>
    <w:p>
      <w:pPr>
        <w:spacing w:after="60" w:before="900"/>
      </w:pPr>
      <w:r>
        <w:rPr>
          <w:rFonts w:ascii="Calibri" w:cs="Calibri" w:eastAsia="Calibri" w:hAnsi="Calibri"/>
          <w:b/>
          <w:bCs/>
          <w:color w:val="8B4513"/>
          <w:spacing w:val="60"/>
          <w:sz w:val="20"/>
          <w:szCs w:val="20"/>
        </w:rPr>
        <w:t xml:space="preserve">PARTE III</w:t>
      </w:r>
    </w:p>
    <w:p>
      <w:pPr>
        <w:spacing w:after="120"/>
      </w:pPr>
      <w:r>
        <w:rPr>
          <w:rFonts w:ascii="Calibri" w:cs="Calibri" w:eastAsia="Calibri" w:hAnsi="Calibri"/>
          <w:b/>
          <w:bCs/>
          <w:color w:val="1F3864"/>
          <w:sz w:val="44"/>
          <w:szCs w:val="44"/>
        </w:rPr>
        <w:t xml:space="preserve">Práctica</w:t>
      </w:r>
    </w:p>
    <w:p>
      <w:pPr>
        <w:pBdr>
          <w:top w:val="single" w:color="1F3864" w:sz="6" w:space="8"/>
        </w:pBdr>
        <w:spacing w:after="200"/>
      </w:pPr>
      <w:r>
        <w:rPr>
          <w:rFonts w:ascii="Calibri" w:cs="Calibri" w:eastAsia="Calibri" w:hAnsi="Calibri"/>
          <w:i/>
          <w:iCs/>
          <w:color w:val="595959"/>
          <w:sz w:val="22"/>
          <w:szCs w:val="22"/>
        </w:rPr>
        <w:t xml:space="preserve">Cómo instalar el hábito, en uno mismo y en un equipo.</w:t>
      </w:r>
    </w:p>
    <w:p>
      <w:r>
        <w:br w:type="page"/>
      </w:r>
    </w:p>
    <w:p>
      <w:pPr>
        <w:pStyle w:val="Heading1"/>
        <w:pBdr>
          <w:bottom w:val="single" w:color="D0D3D9" w:sz="6" w:space="6"/>
        </w:pBdr>
        <w:spacing w:after="170" w:before="380"/>
      </w:pPr>
      <w:r>
        <w:rPr>
          <w:rFonts w:ascii="Calibri" w:cs="Calibri" w:eastAsia="Calibri" w:hAnsi="Calibri"/>
          <w:b/>
          <w:bCs/>
          <w:color w:val="1F3864"/>
          <w:sz w:val="30"/>
          <w:szCs w:val="30"/>
        </w:rPr>
        <w:t xml:space="preserve">23. Errores frecuentes del perfil cuantitativo</w:t>
      </w:r>
    </w:p>
    <w:p>
      <w:pPr>
        <w:pStyle w:val="ListParagraph"/>
        <w:numPr>
          <w:ilvl w:val="0"/>
          <w:numId w:val="17"/>
        </w:numPr>
        <w:spacing w:after="90" w:line="280"/>
        <w:jc w:val="both"/>
      </w:pPr>
      <w:r>
        <w:rPr>
          <w:rFonts w:ascii="Calibri" w:cs="Calibri" w:eastAsia="Calibri" w:hAnsi="Calibri"/>
          <w:sz w:val="22"/>
          <w:szCs w:val="22"/>
        </w:rPr>
        <w:t xml:space="preserve">Reproducir el orden del análisis en lugar del orden de la decisión.</w:t>
      </w:r>
    </w:p>
    <w:p>
      <w:pPr>
        <w:pStyle w:val="ListParagraph"/>
        <w:numPr>
          <w:ilvl w:val="0"/>
          <w:numId w:val="17"/>
        </w:numPr>
        <w:spacing w:after="90" w:line="280"/>
        <w:jc w:val="both"/>
      </w:pPr>
      <w:r>
        <w:rPr>
          <w:rFonts w:ascii="Calibri" w:cs="Calibri" w:eastAsia="Calibri" w:hAnsi="Calibri"/>
          <w:sz w:val="22"/>
          <w:szCs w:val="22"/>
        </w:rPr>
        <w:t xml:space="preserve">Confundir precisión con relevancia: incluir el intervalo de confianza en el resumen ejecutivo y omitir la recomendación.</w:t>
      </w:r>
    </w:p>
    <w:p>
      <w:pPr>
        <w:pStyle w:val="ListParagraph"/>
        <w:numPr>
          <w:ilvl w:val="0"/>
          <w:numId w:val="17"/>
        </w:numPr>
        <w:spacing w:after="90" w:line="280"/>
        <w:jc w:val="both"/>
      </w:pPr>
      <w:r>
        <w:rPr>
          <w:rFonts w:ascii="Calibri" w:cs="Calibri" w:eastAsia="Calibri" w:hAnsi="Calibri"/>
          <w:sz w:val="22"/>
          <w:szCs w:val="22"/>
        </w:rPr>
        <w:t xml:space="preserve">Encabezados-tema en lugar de encabezados-idea.</w:t>
      </w:r>
    </w:p>
    <w:p>
      <w:pPr>
        <w:pStyle w:val="ListParagraph"/>
        <w:numPr>
          <w:ilvl w:val="0"/>
          <w:numId w:val="17"/>
        </w:numPr>
        <w:spacing w:after="90" w:line="280"/>
        <w:jc w:val="both"/>
      </w:pPr>
      <w:r>
        <w:rPr>
          <w:rFonts w:ascii="Calibri" w:cs="Calibri" w:eastAsia="Calibri" w:hAnsi="Calibri"/>
          <w:sz w:val="22"/>
          <w:szCs w:val="22"/>
        </w:rPr>
        <w:t xml:space="preserve">Listas de hallazgos sin idea de resumen: la estructura existe pero no comunica.</w:t>
      </w:r>
    </w:p>
    <w:p>
      <w:pPr>
        <w:pStyle w:val="ListParagraph"/>
        <w:numPr>
          <w:ilvl w:val="0"/>
          <w:numId w:val="17"/>
        </w:numPr>
        <w:spacing w:after="90" w:line="280"/>
        <w:jc w:val="both"/>
      </w:pPr>
      <w:r>
        <w:rPr>
          <w:rFonts w:ascii="Calibri" w:cs="Calibri" w:eastAsia="Calibri" w:hAnsi="Calibri"/>
          <w:sz w:val="22"/>
          <w:szCs w:val="22"/>
        </w:rPr>
        <w:t xml:space="preserve">Cadenas deductivas largas en el nivel más alto, que obligan a leer todo antes de entender algo.</w:t>
      </w:r>
    </w:p>
    <w:p>
      <w:pPr>
        <w:pStyle w:val="ListParagraph"/>
        <w:numPr>
          <w:ilvl w:val="0"/>
          <w:numId w:val="17"/>
        </w:numPr>
        <w:spacing w:after="90" w:line="280"/>
        <w:jc w:val="both"/>
      </w:pPr>
      <w:r>
        <w:rPr>
          <w:rFonts w:ascii="Calibri" w:cs="Calibri" w:eastAsia="Calibri" w:hAnsi="Calibri"/>
          <w:sz w:val="22"/>
          <w:szCs w:val="22"/>
        </w:rPr>
        <w:t xml:space="preserve">Agrupamientos por conveniencia de datos —lo que estaba en la misma consulta— en lugar de por lógica del argumento.</w:t>
      </w:r>
    </w:p>
    <w:p>
      <w:pPr>
        <w:pStyle w:val="ListParagraph"/>
        <w:numPr>
          <w:ilvl w:val="0"/>
          <w:numId w:val="17"/>
        </w:numPr>
        <w:spacing w:after="90" w:line="280"/>
        <w:jc w:val="both"/>
      </w:pPr>
      <w:r>
        <w:rPr>
          <w:rFonts w:ascii="Calibri" w:cs="Calibri" w:eastAsia="Calibri" w:hAnsi="Calibri"/>
          <w:sz w:val="22"/>
          <w:szCs w:val="22"/>
        </w:rPr>
        <w:t xml:space="preserve">Anexos que cargan la conclusión: el mensaje clave escondido en la tabla 7 del apéndice B.</w:t>
      </w:r>
    </w:p>
    <w:p>
      <w:pPr>
        <w:pStyle w:val="ListParagraph"/>
        <w:numPr>
          <w:ilvl w:val="0"/>
          <w:numId w:val="17"/>
        </w:numPr>
        <w:spacing w:after="90" w:line="280"/>
        <w:jc w:val="both"/>
      </w:pPr>
      <w:r>
        <w:rPr>
          <w:rFonts w:ascii="Calibri" w:cs="Calibri" w:eastAsia="Calibri" w:hAnsi="Calibri"/>
          <w:sz w:val="22"/>
          <w:szCs w:val="22"/>
        </w:rPr>
        <w:t xml:space="preserve">Evitar la conclusión por prudencia política, y entregar un documento que no dice nada verificable.</w:t>
      </w:r>
    </w:p>
    <w:p>
      <w:pPr>
        <w:pStyle w:val="ListParagraph"/>
        <w:numPr>
          <w:ilvl w:val="0"/>
          <w:numId w:val="17"/>
        </w:numPr>
        <w:spacing w:after="90" w:line="280"/>
        <w:jc w:val="both"/>
      </w:pPr>
      <w:r>
        <w:rPr>
          <w:rFonts w:ascii="Calibri" w:cs="Calibri" w:eastAsia="Calibri" w:hAnsi="Calibri"/>
          <w:sz w:val="22"/>
          <w:szCs w:val="22"/>
        </w:rPr>
        <w:t xml:space="preserve">Suponer que el lector conoce la jerga. Toda sigla se presenta completa la primera vez, incluso las obvias del área.</w:t>
      </w:r>
    </w:p>
    <w:p>
      <w:pPr>
        <w:pStyle w:val="ListParagraph"/>
        <w:numPr>
          <w:ilvl w:val="0"/>
          <w:numId w:val="17"/>
        </w:numPr>
        <w:spacing w:after="90" w:line="280"/>
        <w:jc w:val="both"/>
      </w:pPr>
      <w:r>
        <w:rPr>
          <w:rFonts w:ascii="Calibri" w:cs="Calibri" w:eastAsia="Calibri" w:hAnsi="Calibri"/>
          <w:sz w:val="22"/>
          <w:szCs w:val="22"/>
        </w:rPr>
        <w:t xml:space="preserve">Corregir la redacción cuando el problema es de pensamiento. Si el "¿y qué?" no produce respuesta, ninguna reescritura lo va a arreglar.</w:t>
      </w:r>
    </w:p>
    <w:p>
      <w:pPr>
        <w:pStyle w:val="Heading1"/>
        <w:pBdr>
          <w:bottom w:val="single" w:color="D0D3D9" w:sz="6" w:space="6"/>
        </w:pBdr>
        <w:spacing w:after="170" w:before="380"/>
      </w:pPr>
      <w:r>
        <w:rPr>
          <w:rFonts w:ascii="Calibri" w:cs="Calibri" w:eastAsia="Calibri" w:hAnsi="Calibri"/>
          <w:b/>
          <w:bCs/>
          <w:color w:val="1F3864"/>
          <w:sz w:val="30"/>
          <w:szCs w:val="30"/>
        </w:rPr>
        <w:t xml:space="preserve">24. Lista de verificación</w:t>
      </w:r>
    </w:p>
    <w:p>
      <w:pPr>
        <w:spacing w:after="140" w:before="0" w:line="280"/>
        <w:jc w:val="both"/>
      </w:pPr>
      <w:r>
        <w:rPr>
          <w:rFonts w:ascii="Calibri" w:cs="Calibri" w:eastAsia="Calibri" w:hAnsi="Calibri"/>
          <w:b w:val="false"/>
          <w:bCs w:val="false"/>
          <w:i w:val="false"/>
          <w:iCs w:val="false"/>
          <w:color w:val="000000"/>
          <w:sz w:val="22"/>
          <w:szCs w:val="22"/>
        </w:rPr>
        <w:t xml:space="preserve">Úsala antes de enviar cualquier documento o baraja. Diez preguntas, cinco minutos.</w:t>
      </w:r>
    </w:p>
    <w:p>
      <w:pPr>
        <w:pStyle w:val="ListParagraph"/>
        <w:numPr>
          <w:ilvl w:val="0"/>
          <w:numId w:val="18"/>
        </w:numPr>
        <w:spacing w:after="90" w:line="280"/>
        <w:jc w:val="both"/>
      </w:pPr>
      <w:r>
        <w:rPr>
          <w:rFonts w:ascii="Calibri" w:cs="Calibri" w:eastAsia="Calibri" w:hAnsi="Calibri"/>
          <w:sz w:val="22"/>
          <w:szCs w:val="22"/>
        </w:rPr>
        <w:t xml:space="preserve">¿La primera oración sustantiva es mi conclusión, no un anuncio de que habrá una?</w:t>
      </w:r>
    </w:p>
    <w:p>
      <w:pPr>
        <w:pStyle w:val="ListParagraph"/>
        <w:numPr>
          <w:ilvl w:val="0"/>
          <w:numId w:val="18"/>
        </w:numPr>
        <w:spacing w:after="90" w:line="280"/>
        <w:jc w:val="both"/>
      </w:pPr>
      <w:r>
        <w:rPr>
          <w:rFonts w:ascii="Calibri" w:cs="Calibri" w:eastAsia="Calibri" w:hAnsi="Calibri"/>
          <w:sz w:val="22"/>
          <w:szCs w:val="22"/>
        </w:rPr>
        <w:t xml:space="preserve">¿Puedo enunciar la situación y la complicación en dos renglones cada una?</w:t>
      </w:r>
    </w:p>
    <w:p>
      <w:pPr>
        <w:pStyle w:val="ListParagraph"/>
        <w:numPr>
          <w:ilvl w:val="0"/>
          <w:numId w:val="18"/>
        </w:numPr>
        <w:spacing w:after="90" w:line="280"/>
        <w:jc w:val="both"/>
      </w:pPr>
      <w:r>
        <w:rPr>
          <w:rFonts w:ascii="Calibri" w:cs="Calibri" w:eastAsia="Calibri" w:hAnsi="Calibri"/>
          <w:sz w:val="22"/>
          <w:szCs w:val="22"/>
        </w:rPr>
        <w:t xml:space="preserve">¿La pregunta que genera mi introducción es la que mi documento responde?</w:t>
      </w:r>
    </w:p>
    <w:p>
      <w:pPr>
        <w:pStyle w:val="ListParagraph"/>
        <w:numPr>
          <w:ilvl w:val="0"/>
          <w:numId w:val="18"/>
        </w:numPr>
        <w:spacing w:after="90" w:line="280"/>
        <w:jc w:val="both"/>
      </w:pPr>
      <w:r>
        <w:rPr>
          <w:rFonts w:ascii="Calibri" w:cs="Calibri" w:eastAsia="Calibri" w:hAnsi="Calibri"/>
          <w:sz w:val="22"/>
          <w:szCs w:val="22"/>
        </w:rPr>
        <w:t xml:space="preserve">¿Cada grupo tiene entre dos y cinco elementos del mismo tipo?</w:t>
      </w:r>
    </w:p>
    <w:p>
      <w:pPr>
        <w:pStyle w:val="ListParagraph"/>
        <w:numPr>
          <w:ilvl w:val="0"/>
          <w:numId w:val="18"/>
        </w:numPr>
        <w:spacing w:after="90" w:line="280"/>
        <w:jc w:val="both"/>
      </w:pPr>
      <w:r>
        <w:rPr>
          <w:rFonts w:ascii="Calibri" w:cs="Calibri" w:eastAsia="Calibri" w:hAnsi="Calibri"/>
          <w:sz w:val="22"/>
          <w:szCs w:val="22"/>
        </w:rPr>
        <w:t xml:space="preserve">¿Cada idea de resumen sobrevive el test del "¿y qué?"?</w:t>
      </w:r>
    </w:p>
    <w:p>
      <w:pPr>
        <w:pStyle w:val="ListParagraph"/>
        <w:numPr>
          <w:ilvl w:val="0"/>
          <w:numId w:val="18"/>
        </w:numPr>
        <w:spacing w:after="90" w:line="280"/>
        <w:jc w:val="both"/>
      </w:pPr>
      <w:r>
        <w:rPr>
          <w:rFonts w:ascii="Calibri" w:cs="Calibri" w:eastAsia="Calibri" w:hAnsi="Calibri"/>
          <w:sz w:val="22"/>
          <w:szCs w:val="22"/>
        </w:rPr>
        <w:t xml:space="preserve">¿Cada grupo sigue un orden de proceso, estructura o grado, y puedo nombrar cuál?</w:t>
      </w:r>
    </w:p>
    <w:p>
      <w:pPr>
        <w:pStyle w:val="ListParagraph"/>
        <w:numPr>
          <w:ilvl w:val="0"/>
          <w:numId w:val="18"/>
        </w:numPr>
        <w:spacing w:after="90" w:line="280"/>
        <w:jc w:val="both"/>
      </w:pPr>
      <w:r>
        <w:rPr>
          <w:rFonts w:ascii="Calibri" w:cs="Calibri" w:eastAsia="Calibri" w:hAnsi="Calibri"/>
          <w:sz w:val="22"/>
          <w:szCs w:val="22"/>
        </w:rPr>
        <w:t xml:space="preserve">¿Los grupos son mutuamente excluyentes, y qué diría el escéptico más informado que falta?</w:t>
      </w:r>
    </w:p>
    <w:p>
      <w:pPr>
        <w:pStyle w:val="ListParagraph"/>
        <w:numPr>
          <w:ilvl w:val="0"/>
          <w:numId w:val="18"/>
        </w:numPr>
        <w:spacing w:after="90" w:line="280"/>
        <w:jc w:val="both"/>
      </w:pPr>
      <w:r>
        <w:rPr>
          <w:rFonts w:ascii="Calibri" w:cs="Calibri" w:eastAsia="Calibri" w:hAnsi="Calibri"/>
          <w:sz w:val="22"/>
          <w:szCs w:val="22"/>
        </w:rPr>
        <w:t xml:space="preserve">¿Leyendo solo los encabezados se entiende el argumento completo?</w:t>
      </w:r>
    </w:p>
    <w:p>
      <w:pPr>
        <w:pStyle w:val="ListParagraph"/>
        <w:numPr>
          <w:ilvl w:val="0"/>
          <w:numId w:val="18"/>
        </w:numPr>
        <w:spacing w:after="90" w:line="280"/>
        <w:jc w:val="both"/>
      </w:pPr>
      <w:r>
        <w:rPr>
          <w:rFonts w:ascii="Calibri" w:cs="Calibri" w:eastAsia="Calibri" w:hAnsi="Calibri"/>
          <w:sz w:val="22"/>
          <w:szCs w:val="22"/>
        </w:rPr>
        <w:t xml:space="preserve">¿El resumen ejecutivo basta para decidir sin leer el resto?</w:t>
      </w:r>
    </w:p>
    <w:p>
      <w:pPr>
        <w:pStyle w:val="ListParagraph"/>
        <w:numPr>
          <w:ilvl w:val="0"/>
          <w:numId w:val="18"/>
        </w:numPr>
        <w:spacing w:after="90" w:line="280"/>
        <w:jc w:val="both"/>
      </w:pPr>
      <w:r>
        <w:rPr>
          <w:rFonts w:ascii="Calibri" w:cs="Calibri" w:eastAsia="Calibri" w:hAnsi="Calibri"/>
          <w:sz w:val="22"/>
          <w:szCs w:val="22"/>
        </w:rPr>
        <w:t xml:space="preserve">¿Toda sigla aparece desarrollada la primera vez que se usa?</w:t>
      </w:r>
    </w:p>
    <w:p>
      <w:pPr>
        <w:pStyle w:val="Heading1"/>
        <w:pBdr>
          <w:bottom w:val="single" w:color="D0D3D9" w:sz="6" w:space="6"/>
        </w:pBdr>
        <w:spacing w:after="170" w:before="380"/>
      </w:pPr>
      <w:r>
        <w:rPr>
          <w:rFonts w:ascii="Calibri" w:cs="Calibri" w:eastAsia="Calibri" w:hAnsi="Calibri"/>
          <w:b/>
          <w:bCs/>
          <w:color w:val="1F3864"/>
          <w:sz w:val="30"/>
          <w:szCs w:val="30"/>
        </w:rPr>
        <w:t xml:space="preserve">25. Plan de práctica de 30 días</w:t>
      </w:r>
    </w:p>
    <w:p>
      <w:pPr>
        <w:spacing w:after="140" w:before="0" w:line="280"/>
        <w:jc w:val="both"/>
      </w:pPr>
      <w:r>
        <w:rPr>
          <w:rFonts w:ascii="Calibri" w:cs="Calibri" w:eastAsia="Calibri" w:hAnsi="Calibri"/>
          <w:b w:val="false"/>
          <w:bCs w:val="false"/>
          <w:i w:val="false"/>
          <w:iCs w:val="false"/>
          <w:color w:val="000000"/>
          <w:sz w:val="22"/>
          <w:szCs w:val="22"/>
        </w:rPr>
        <w:t xml:space="preserve">La estructura piramidal no se instala leyendo. Estas cuatro semanas están diseñadas para trabajar sobre material que ya tienes que producir de todos modos, sin tiempo adicional significativo.</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100"/>
        <w:gridCol w:w="7060"/>
        <w:gridCol w:w="1200"/>
      </w:tblGrid>
      <w:tr>
        <w:trPr>
          <w:tblHeader/>
        </w:trPr>
        <w:tc>
          <w:tcPr>
            <w:tcW w:type="dxa" w:w="11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Semana</w:t>
            </w:r>
          </w:p>
        </w:tc>
        <w:tc>
          <w:tcPr>
            <w:tcW w:type="dxa" w:w="7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Ejercicio</w:t>
            </w:r>
          </w:p>
        </w:tc>
        <w:tc>
          <w:tcPr>
            <w:tcW w:type="dxa" w:w="12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Tiempo</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Toma tres documentos tuyos ya enviados. Escribe para cada uno la introducción SCQA que debió tener y la conclusión en una oración. No los reescribas completos.</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 min c/u</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Todo correo de más de cinco renglones que envíes: petición o conclusión en el primer renglón, sin excepción. Antes de enviar, aplica el "¿y qué?" al primer renglón.</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0 min extra</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3</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Toma tu última presentación. Reescribe todos los títulos como oraciones completas con conclusión. Léelos en voz alta en orden y detecta dónde se rompe el argumento.</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 hora</w:t>
            </w:r>
          </w:p>
        </w:tc>
      </w:tr>
      <w:tr>
        <w:tc>
          <w:tcPr>
            <w:tcW w:type="dxa" w:w="11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4</w:t>
            </w:r>
          </w:p>
        </w:tc>
        <w:tc>
          <w:tcPr>
            <w:tcW w:type="dxa" w:w="7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Escribe un documento nuevo íntegramente con el método, de arriba hacia abajo. Antes de enviarlo, dale solo el resumen ejecutivo a un colega y pídele que te diga qué decisión se pide.</w:t>
            </w:r>
          </w:p>
        </w:tc>
        <w:tc>
          <w:tcPr>
            <w:tcW w:type="dxa" w:w="12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 horas</w:t>
            </w:r>
          </w:p>
        </w:tc>
      </w:tr>
    </w:tbl>
    <w:p>
      <w:pPr>
        <w:spacing w:after="200"/>
      </w:pPr>
      <w:r>
        <w:rPr>
          <w:sz w:val="10"/>
          <w:szCs w:val="10"/>
        </w:rPr>
        <w:t xml:space="preserve"/>
      </w:r>
    </w:p>
    <w:p>
      <w:pPr>
        <w:spacing w:after="140" w:before="0" w:line="280"/>
        <w:jc w:val="both"/>
      </w:pPr>
      <w:r>
        <w:rPr>
          <w:rFonts w:ascii="Calibri" w:cs="Calibri" w:eastAsia="Calibri" w:hAnsi="Calibri"/>
          <w:b w:val="false"/>
          <w:bCs w:val="false"/>
          <w:i w:val="false"/>
          <w:iCs w:val="false"/>
          <w:color w:val="000000"/>
          <w:sz w:val="22"/>
          <w:szCs w:val="22"/>
        </w:rPr>
        <w:t xml:space="preserve">A partir del segundo mes, el único hábito que hay que sostener es el del test del "¿y qué?" aplicado a cada encabezado y a cada título de lámina. Todo lo demás se vuelve automático.</w:t>
      </w:r>
    </w:p>
    <w:p>
      <w:pPr>
        <w:pStyle w:val="Heading1"/>
        <w:pBdr>
          <w:bottom w:val="single" w:color="D0D3D9" w:sz="6" w:space="6"/>
        </w:pBdr>
        <w:spacing w:after="170" w:before="380"/>
      </w:pPr>
      <w:r>
        <w:rPr>
          <w:rFonts w:ascii="Calibri" w:cs="Calibri" w:eastAsia="Calibri" w:hAnsi="Calibri"/>
          <w:b/>
          <w:bCs/>
          <w:color w:val="1F3864"/>
          <w:sz w:val="30"/>
          <w:szCs w:val="30"/>
        </w:rPr>
        <w:t xml:space="preserve">26. Cómo dar esto como taller de equipo</w:t>
      </w:r>
    </w:p>
    <w:p>
      <w:pPr>
        <w:spacing w:after="140" w:before="0" w:line="280"/>
        <w:jc w:val="both"/>
      </w:pPr>
      <w:r>
        <w:rPr>
          <w:rFonts w:ascii="Calibri" w:cs="Calibri" w:eastAsia="Calibri" w:hAnsi="Calibri"/>
          <w:b w:val="false"/>
          <w:bCs w:val="false"/>
          <w:i w:val="false"/>
          <w:iCs w:val="false"/>
          <w:color w:val="000000"/>
          <w:sz w:val="22"/>
          <w:szCs w:val="22"/>
        </w:rPr>
        <w:t xml:space="preserve">Repartir el documento no enseña el método. Lo que funciona es una sesión corta donde cada persona reescriba algo suyo y reciba crítica sobre eso. Esta agenda de noventa minutos está probada en su lógica: el ochenta por ciento del tiempo es de ellos escribiendo, no tuyo hablando.</w:t>
      </w:r>
    </w:p>
    <w:p>
      <w:pPr>
        <w:pStyle w:val="Heading2"/>
        <w:spacing w:after="120" w:before="260"/>
      </w:pPr>
      <w:r>
        <w:rPr>
          <w:rFonts w:ascii="Calibri" w:cs="Calibri" w:eastAsia="Calibri" w:hAnsi="Calibri"/>
          <w:b/>
          <w:bCs/>
          <w:color w:val="2E5090"/>
          <w:sz w:val="24"/>
          <w:szCs w:val="24"/>
        </w:rPr>
        <w:t xml:space="preserve">26.1 Antes de la sesión</w:t>
      </w:r>
    </w:p>
    <w:p>
      <w:pPr>
        <w:pStyle w:val="ListParagraph"/>
        <w:numPr>
          <w:ilvl w:val="0"/>
          <w:numId w:val="2"/>
        </w:numPr>
        <w:spacing w:after="90" w:line="280"/>
        <w:jc w:val="both"/>
      </w:pPr>
      <w:r>
        <w:rPr>
          <w:rFonts w:ascii="Calibri" w:cs="Calibri" w:eastAsia="Calibri" w:hAnsi="Calibri"/>
          <w:sz w:val="22"/>
          <w:szCs w:val="22"/>
        </w:rPr>
        <w:t xml:space="preserve">Pide a cada participante que traiga un documento propio ya enviado: un memo, un correo largo, una lámina de resumen. Suyo, real, no un ejemplo inventado. Sin eso, la sesión no funciona.</w:t>
      </w:r>
    </w:p>
    <w:p>
      <w:pPr>
        <w:pStyle w:val="ListParagraph"/>
        <w:numPr>
          <w:ilvl w:val="0"/>
          <w:numId w:val="2"/>
        </w:numPr>
        <w:spacing w:after="90" w:line="280"/>
        <w:jc w:val="both"/>
      </w:pPr>
      <w:r>
        <w:rPr>
          <w:rFonts w:ascii="Calibri" w:cs="Calibri" w:eastAsia="Calibri" w:hAnsi="Calibri"/>
          <w:sz w:val="22"/>
          <w:szCs w:val="22"/>
        </w:rPr>
        <w:t xml:space="preserve">Manda la guía con anticipación pero no supongas que la leerán. Diseña la sesión para que funcione sin lectura previa.</w:t>
      </w:r>
    </w:p>
    <w:p>
      <w:pPr>
        <w:pStyle w:val="ListParagraph"/>
        <w:numPr>
          <w:ilvl w:val="0"/>
          <w:numId w:val="2"/>
        </w:numPr>
        <w:spacing w:after="90" w:line="280"/>
        <w:jc w:val="both"/>
      </w:pPr>
      <w:r>
        <w:rPr>
          <w:rFonts w:ascii="Calibri" w:cs="Calibri" w:eastAsia="Calibri" w:hAnsi="Calibri"/>
          <w:sz w:val="22"/>
          <w:szCs w:val="22"/>
        </w:rPr>
        <w:t xml:space="preserve">Máximo ocho personas. Con más, nadie recibe crítica individual y el ejercicio se diluye.</w:t>
      </w:r>
    </w:p>
    <w:p>
      <w:pPr>
        <w:pStyle w:val="Heading2"/>
        <w:spacing w:after="120" w:before="260"/>
      </w:pPr>
      <w:r>
        <w:rPr>
          <w:rFonts w:ascii="Calibri" w:cs="Calibri" w:eastAsia="Calibri" w:hAnsi="Calibri"/>
          <w:b/>
          <w:bCs/>
          <w:color w:val="2E5090"/>
          <w:sz w:val="24"/>
          <w:szCs w:val="24"/>
        </w:rPr>
        <w:t xml:space="preserve">26.2 Agenda</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900"/>
        <w:gridCol w:w="3060"/>
        <w:gridCol w:w="4400"/>
      </w:tblGrid>
      <w:tr>
        <w:trPr>
          <w:tblHeader/>
        </w:trPr>
        <w:tc>
          <w:tcPr>
            <w:tcW w:type="dxa" w:w="19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Bloque</w:t>
            </w:r>
          </w:p>
        </w:tc>
        <w:tc>
          <w:tcPr>
            <w:tcW w:type="dxa" w:w="30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Contenido</w:t>
            </w:r>
          </w:p>
        </w:tc>
        <w:tc>
          <w:tcPr>
            <w:tcW w:type="dxa" w:w="44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Minutos</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Apertura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Un ejemplo real y anónimo de documento mal estructurado, y la pregunta al grupo: ¿qué se está pidiendo aquí? Deja que batallen. Ese desconcierto es el argumento del taller.</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Método</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Solo tres cosas: conclusión primero, SCQA y el test del "¿y qué?". No enseñes MECE ni deducción e inducción en la primera sesión.</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Ejercicio 1</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Cada quien escribe la conclusión de su documento en una sola oración, y le aplica el "¿y qué?" hasta que ya no produzca nada nuevo.</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15</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Crítica</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Tres voluntarios leen su oración. El grupo pregunta "¿y qué?" en voz alta. Es incómodo y es donde ocurre el aprendizaje.</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20</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Ejercicio 2</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Cada quien reescribe la introducción de su documento con SCQA, en cuatro renglones.</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15</w:t>
            </w:r>
          </w:p>
        </w:tc>
      </w:tr>
      <w:tr>
        <w:tc>
          <w:tcPr>
            <w:tcW w:type="dxa" w:w="19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Cierre</w:t>
            </w:r>
          </w:p>
        </w:tc>
        <w:tc>
          <w:tcPr>
            <w:tcW w:type="dxa" w:w="30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El compromiso concreto: durante el siguiente mes, todo correo de más de cinco renglones lleva la petición en el primer renglón. Nada más.</w:t>
            </w:r>
          </w:p>
        </w:tc>
        <w:tc>
          <w:tcPr>
            <w:tcW w:type="dxa" w:w="44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10</w:t>
            </w:r>
          </w:p>
        </w:tc>
      </w:tr>
    </w:tbl>
    <w:p>
      <w:pPr>
        <w:spacing w:after="200"/>
      </w:pPr>
      <w:r>
        <w:rPr>
          <w:sz w:val="10"/>
          <w:szCs w:val="10"/>
        </w:rPr>
        <w:t xml:space="preserve"/>
      </w:r>
    </w:p>
    <w:p>
      <w:pPr>
        <w:pStyle w:val="Heading2"/>
        <w:spacing w:after="120" w:before="260"/>
      </w:pPr>
      <w:r>
        <w:rPr>
          <w:rFonts w:ascii="Calibri" w:cs="Calibri" w:eastAsia="Calibri" w:hAnsi="Calibri"/>
          <w:b/>
          <w:bCs/>
          <w:color w:val="2E5090"/>
          <w:sz w:val="24"/>
          <w:szCs w:val="24"/>
        </w:rPr>
        <w:t xml:space="preserve">26.3 Reglas de la crítica</w:t>
      </w:r>
    </w:p>
    <w:p>
      <w:pPr>
        <w:pStyle w:val="ListParagraph"/>
        <w:numPr>
          <w:ilvl w:val="0"/>
          <w:numId w:val="19"/>
        </w:numPr>
        <w:spacing w:after="90" w:line="280"/>
        <w:jc w:val="both"/>
      </w:pPr>
      <w:r>
        <w:rPr>
          <w:rFonts w:ascii="Calibri" w:cs="Calibri" w:eastAsia="Calibri" w:hAnsi="Calibri"/>
          <w:sz w:val="22"/>
          <w:szCs w:val="22"/>
        </w:rPr>
        <w:t xml:space="preserve">Se critica el documento, nunca a la persona. Es la misma distinción entre conducta e identidad de la sección 18, aplicada a un texto.</w:t>
      </w:r>
    </w:p>
    <w:p>
      <w:pPr>
        <w:pStyle w:val="ListParagraph"/>
        <w:numPr>
          <w:ilvl w:val="0"/>
          <w:numId w:val="19"/>
        </w:numPr>
        <w:spacing w:after="90" w:line="280"/>
        <w:jc w:val="both"/>
      </w:pPr>
      <w:r>
        <w:rPr>
          <w:rFonts w:ascii="Calibri" w:cs="Calibri" w:eastAsia="Calibri" w:hAnsi="Calibri"/>
          <w:sz w:val="22"/>
          <w:szCs w:val="22"/>
        </w:rPr>
        <w:t xml:space="preserve">Quien critica propone una alternativa concreta. "No se entiende" no es crítica útil; "yo pondría esta frase primero" sí lo es.</w:t>
      </w:r>
    </w:p>
    <w:p>
      <w:pPr>
        <w:pStyle w:val="ListParagraph"/>
        <w:numPr>
          <w:ilvl w:val="0"/>
          <w:numId w:val="19"/>
        </w:numPr>
        <w:spacing w:after="90" w:line="280"/>
        <w:jc w:val="both"/>
      </w:pPr>
      <w:r>
        <w:rPr>
          <w:rFonts w:ascii="Calibri" w:cs="Calibri" w:eastAsia="Calibri" w:hAnsi="Calibri"/>
          <w:sz w:val="22"/>
          <w:szCs w:val="22"/>
        </w:rPr>
        <w:t xml:space="preserve">El autor no se defiende durante la crítica. Anota y decide después. Defenderse en el momento convierte el ejercicio en debate y consume el tiempo de todos.</w:t>
      </w:r>
    </w:p>
    <w:p>
      <w:pPr>
        <w:pStyle w:val="ListParagraph"/>
        <w:numPr>
          <w:ilvl w:val="0"/>
          <w:numId w:val="19"/>
        </w:numPr>
        <w:spacing w:after="90" w:line="280"/>
        <w:jc w:val="both"/>
      </w:pPr>
      <w:r>
        <w:rPr>
          <w:rFonts w:ascii="Calibri" w:cs="Calibri" w:eastAsia="Calibri" w:hAnsi="Calibri"/>
          <w:sz w:val="22"/>
          <w:szCs w:val="22"/>
        </w:rPr>
        <w:t xml:space="preserve">Tú vas primero con un documento tuyo. Si el que dirige el taller no se expone al mismo escrutinio, nadie más se expone de verdad.</w:t>
      </w:r>
    </w:p>
    <w:p>
      <w:pPr>
        <w:pStyle w:val="Heading2"/>
        <w:spacing w:after="120" w:before="260"/>
      </w:pPr>
      <w:r>
        <w:rPr>
          <w:rFonts w:ascii="Calibri" w:cs="Calibri" w:eastAsia="Calibri" w:hAnsi="Calibri"/>
          <w:b/>
          <w:bCs/>
          <w:color w:val="2E5090"/>
          <w:sz w:val="24"/>
          <w:szCs w:val="24"/>
        </w:rPr>
        <w:t xml:space="preserve">26.4 Qué esperar</w:t>
      </w:r>
    </w:p>
    <w:p>
      <w:pPr>
        <w:spacing w:after="140" w:before="0" w:line="280"/>
        <w:jc w:val="both"/>
      </w:pPr>
      <w:r>
        <w:rPr>
          <w:rFonts w:ascii="Calibri" w:cs="Calibri" w:eastAsia="Calibri" w:hAnsi="Calibri"/>
          <w:b w:val="false"/>
          <w:bCs w:val="false"/>
          <w:i w:val="false"/>
          <w:iCs w:val="false"/>
          <w:color w:val="000000"/>
          <w:sz w:val="22"/>
          <w:szCs w:val="22"/>
        </w:rPr>
        <w:t xml:space="preserve">La primera sesión suele revelar algo más incómodo que un problema de redacción: que en varios documentos no hay conclusión porque no se llegó a una. Eso no es un fracaso del taller, es su resultado más valioso. Conviene anticiparlo en voz alta al inicio para que no se viva como exhibición.</w:t>
      </w:r>
    </w:p>
    <w:p>
      <w:pPr>
        <w:spacing w:after="140" w:before="0" w:line="280"/>
        <w:jc w:val="both"/>
      </w:pPr>
      <w:r>
        <w:rPr>
          <w:rFonts w:ascii="Calibri" w:cs="Calibri" w:eastAsia="Calibri" w:hAnsi="Calibri"/>
          <w:b w:val="false"/>
          <w:bCs w:val="false"/>
          <w:i w:val="false"/>
          <w:iCs w:val="false"/>
          <w:color w:val="000000"/>
          <w:sz w:val="22"/>
          <w:szCs w:val="22"/>
        </w:rPr>
        <w:t xml:space="preserve">El hábito no se instala en una sesión. Lo que sostiene el cambio es lo que hagas después: si al recibir documentos de tu equipo devuelves consistentemente la misma pregunta —¿cuál es la conclusión, y va primero?—, en dos meses el equipo escribe distinto. Si no lo haces, el taller fue una tarde agradable sin efecto.</w:t>
      </w:r>
    </w:p>
    <w:p>
      <w:pPr>
        <w:pStyle w:val="Heading1"/>
        <w:pBdr>
          <w:bottom w:val="single" w:color="D0D3D9" w:sz="6" w:space="6"/>
        </w:pBdr>
        <w:spacing w:after="170" w:before="380"/>
      </w:pPr>
      <w:r>
        <w:rPr>
          <w:rFonts w:ascii="Calibri" w:cs="Calibri" w:eastAsia="Calibri" w:hAnsi="Calibri"/>
          <w:b/>
          <w:bCs/>
          <w:color w:val="1F3864"/>
          <w:sz w:val="30"/>
          <w:szCs w:val="30"/>
        </w:rPr>
        <w:t xml:space="preserve">27. Qué no resuelve este método</w:t>
      </w:r>
    </w:p>
    <w:p>
      <w:pPr>
        <w:spacing w:after="140" w:before="0" w:line="280"/>
        <w:jc w:val="both"/>
      </w:pPr>
      <w:r>
        <w:rPr>
          <w:rFonts w:ascii="Calibri" w:cs="Calibri" w:eastAsia="Calibri" w:hAnsi="Calibri"/>
          <w:b w:val="false"/>
          <w:bCs w:val="false"/>
          <w:i w:val="false"/>
          <w:iCs w:val="false"/>
          <w:color w:val="000000"/>
          <w:sz w:val="22"/>
          <w:szCs w:val="22"/>
        </w:rPr>
        <w:t xml:space="preserve">Vale la pena ser explícito sobre los límites, porque el método se vende a veces como una llave maestra de la comunicación y no lo es.</w:t>
      </w:r>
    </w:p>
    <w:p>
      <w:pPr>
        <w:pStyle w:val="ListParagraph"/>
        <w:numPr>
          <w:ilvl w:val="0"/>
          <w:numId w:val="2"/>
        </w:numPr>
        <w:spacing w:after="90" w:line="280"/>
        <w:jc w:val="both"/>
      </w:pPr>
      <w:r>
        <w:rPr>
          <w:rFonts w:ascii="Calibri" w:cs="Calibri" w:eastAsia="Calibri" w:hAnsi="Calibri"/>
          <w:sz w:val="22"/>
          <w:szCs w:val="22"/>
        </w:rPr>
        <w:t xml:space="preserve">No mejora la presencia oral. Estructurar un argumento y sostenerlo frente a interrupciones, presión o preguntas hostiles son habilidades distintas. Eso se entrena con repeticiones frente a audiencia y retroalimentación, no con escritura.</w:t>
      </w:r>
    </w:p>
    <w:p>
      <w:pPr>
        <w:pStyle w:val="ListParagraph"/>
        <w:numPr>
          <w:ilvl w:val="0"/>
          <w:numId w:val="2"/>
        </w:numPr>
        <w:spacing w:after="90" w:line="280"/>
        <w:jc w:val="both"/>
      </w:pPr>
      <w:r>
        <w:rPr>
          <w:rFonts w:ascii="Calibri" w:cs="Calibri" w:eastAsia="Calibri" w:hAnsi="Calibri"/>
          <w:sz w:val="22"/>
          <w:szCs w:val="22"/>
        </w:rPr>
        <w:t xml:space="preserve">No sustituye el análisis. Si el "¿y qué?" no produce respuesta, lo que falta es trabajo analítico, no estructura.</w:t>
      </w:r>
    </w:p>
    <w:p>
      <w:pPr>
        <w:pStyle w:val="ListParagraph"/>
        <w:numPr>
          <w:ilvl w:val="0"/>
          <w:numId w:val="2"/>
        </w:numPr>
        <w:spacing w:after="90" w:line="280"/>
        <w:jc w:val="both"/>
      </w:pPr>
      <w:r>
        <w:rPr>
          <w:rFonts w:ascii="Calibri" w:cs="Calibri" w:eastAsia="Calibri" w:hAnsi="Calibri"/>
          <w:sz w:val="22"/>
          <w:szCs w:val="22"/>
        </w:rPr>
        <w:t xml:space="preserve">No arregla la política organizacional. Un documento impecable dirigido al interlocutor equivocado sigue siendo un documento inútil.</w:t>
      </w:r>
    </w:p>
    <w:p>
      <w:pPr>
        <w:pStyle w:val="ListParagraph"/>
        <w:numPr>
          <w:ilvl w:val="0"/>
          <w:numId w:val="2"/>
        </w:numPr>
        <w:spacing w:after="90" w:line="280"/>
        <w:jc w:val="both"/>
      </w:pPr>
      <w:r>
        <w:rPr>
          <w:rFonts w:ascii="Calibri" w:cs="Calibri" w:eastAsia="Calibri" w:hAnsi="Calibri"/>
          <w:sz w:val="22"/>
          <w:szCs w:val="22"/>
        </w:rPr>
        <w:t xml:space="preserve">No genera intuición de negocio. Te ayuda a expresar el juicio que ya tienes; no lo crea.</w:t>
      </w:r>
    </w:p>
    <w:p>
      <w:pPr>
        <w:spacing w:after="140" w:before="0" w:line="280"/>
        <w:jc w:val="both"/>
      </w:pPr>
      <w:r>
        <w:rPr>
          <w:rFonts w:ascii="Calibri" w:cs="Calibri" w:eastAsia="Calibri" w:hAnsi="Calibri"/>
          <w:b w:val="false"/>
          <w:bCs w:val="false"/>
          <w:i w:val="false"/>
          <w:iCs w:val="false"/>
          <w:color w:val="000000"/>
          <w:sz w:val="22"/>
          <w:szCs w:val="22"/>
        </w:rPr>
        <w:t xml:space="preserve">Con esas cuatro advertencias en mente, sigue siendo, en mi opinión, el mayor retorno disponible por hora invertida para alguien técnicamente sólido cuyo cuello de botella es que el contenido no llega ordenado a quien decide.</w:t>
      </w:r>
    </w:p>
    <w:p>
      <w:pPr>
        <w:pStyle w:val="Heading1"/>
        <w:pBdr>
          <w:bottom w:val="single" w:color="D0D3D9" w:sz="6" w:space="6"/>
        </w:pBdr>
        <w:spacing w:after="170" w:before="380"/>
      </w:pPr>
      <w:r>
        <w:rPr>
          <w:rFonts w:ascii="Calibri" w:cs="Calibri" w:eastAsia="Calibri" w:hAnsi="Calibri"/>
          <w:b/>
          <w:bCs/>
          <w:color w:val="1F3864"/>
          <w:sz w:val="30"/>
          <w:szCs w:val="30"/>
        </w:rPr>
        <w:t xml:space="preserve">28. Glosario de siglas</w:t>
      </w:r>
    </w:p>
    <w:tbl>
      <w:tblPr>
        <w:tblW w:type="dxa" w:w="9360"/>
        <w:tblBorders>
          <w:top w:val="single" w:color="BFBFBF" w:sz="2"/>
          <w:left w:val="single" w:color="BFBFBF" w:sz="2"/>
          <w:bottom w:val="single" w:color="BFBFBF" w:sz="2"/>
          <w:right w:val="single" w:color="BFBFBF" w:sz="2"/>
          <w:insideH w:val="single" w:color="BFBFBF" w:sz="2"/>
          <w:insideV w:val="single" w:color="BFBFBF" w:sz="2"/>
        </w:tblBorders>
      </w:tblPr>
      <w:tblGrid>
        <w:gridCol w:w="1300"/>
        <w:gridCol w:w="3300"/>
        <w:gridCol w:w="4760"/>
      </w:tblGrid>
      <w:tr>
        <w:trPr>
          <w:tblHeader/>
        </w:trPr>
        <w:tc>
          <w:tcPr>
            <w:tcW w:type="dxa" w:w="13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Sigla</w:t>
            </w:r>
          </w:p>
        </w:tc>
        <w:tc>
          <w:tcPr>
            <w:tcW w:type="dxa" w:w="330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Nombre completo</w:t>
            </w:r>
          </w:p>
        </w:tc>
        <w:tc>
          <w:tcPr>
            <w:tcW w:type="dxa" w:w="4760"/>
            <w:shd w:fill="1F3864" w:color="auto" w:val="clear"/>
            <w:tcMar>
              <w:top w:type="dxa" w:w="90"/>
              <w:left w:type="dxa" w:w="130"/>
              <w:bottom w:type="dxa" w:w="90"/>
              <w:right w:type="dxa" w:w="130"/>
            </w:tcMar>
          </w:tcPr>
          <w:p>
            <w:pPr>
              <w:spacing w:after="0" w:line="260"/>
            </w:pPr>
            <w:r>
              <w:rPr>
                <w:rFonts w:ascii="Calibri" w:cs="Calibri" w:eastAsia="Calibri" w:hAnsi="Calibri"/>
                <w:b/>
                <w:bCs/>
                <w:color w:val="FFFFFF"/>
                <w:sz w:val="20"/>
                <w:szCs w:val="20"/>
              </w:rPr>
              <w:t xml:space="preserve">Qué es</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SCQA</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Situation, Complication, Question, Answer</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Patrón de introducción: situación, complicación, pregunta, respuesta.</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MECE</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Mutually Exclusive, Collectively Exhaustive</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Criterio de calidad de un agrupamiento: sin traslapes y sin huecos.</w:t>
            </w:r>
          </w:p>
        </w:tc>
      </w:tr>
      <w:tr>
        <w:tc>
          <w:tcPr>
            <w:tcW w:type="dxa" w:w="1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BLUF</w:t>
            </w:r>
          </w:p>
        </w:tc>
        <w:tc>
          <w:tcPr>
            <w:tcW w:type="dxa" w:w="330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Bottom Line Up Front</w:t>
            </w:r>
          </w:p>
        </w:tc>
        <w:tc>
          <w:tcPr>
            <w:tcW w:type="dxa" w:w="4760"/>
            <w:shd w:fill="F5F6F8" w:color="auto" w:val="clear"/>
            <w:tcMar>
              <w:top w:type="dxa" w:w="90"/>
              <w:left w:type="dxa" w:w="130"/>
              <w:bottom w:type="dxa" w:w="90"/>
              <w:right w:type="dxa" w:w="130"/>
            </w:tcMar>
          </w:tcPr>
          <w:p>
            <w:pPr>
              <w:spacing w:after="0" w:line="260"/>
            </w:pPr>
            <w:r>
              <w:rPr>
                <w:rFonts w:ascii="Calibri" w:cs="Calibri" w:eastAsia="Calibri" w:hAnsi="Calibri"/>
                <w:b w:val="false"/>
                <w:bCs w:val="false"/>
                <w:color w:val="000000"/>
                <w:sz w:val="20"/>
                <w:szCs w:val="20"/>
              </w:rPr>
              <w:t xml:space="preserve">Convención de escritura: la conclusión en el primer renglón.</w:t>
            </w:r>
          </w:p>
        </w:tc>
      </w:tr>
    </w:tbl>
    <w:p>
      <w:pPr>
        <w:spacing w:after="200"/>
      </w:pPr>
      <w:r>
        <w:rPr>
          <w:sz w:val="10"/>
          <w:szCs w:val="10"/>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30"/>
      </w:pPr>
    </w:lvl>
  </w:abstractNum>
  <w:abstractNum w:abstractNumId="3" w15:restartNumberingAfterBreak="0">
    <w:multiLevelType w:val="hybridMultilevel"/>
    <w:lvl w:ilvl="0" w15:tentative="1">
      <w:start w:val="1"/>
      <w:numFmt w:val="decimal"/>
      <w:lvlText w:val="%1."/>
      <w:lvlJc w:val="left"/>
      <w:pPr>
        <w:ind w:left="400" w:hanging="250"/>
      </w:pPr>
    </w:lvl>
  </w:abstractNum>
  <w:abstractNum w:abstractNumId="4" w15:restartNumberingAfterBreak="0">
    <w:multiLevelType w:val="hybridMultilevel"/>
    <w:lvl w:ilvl="0" w15:tentative="1">
      <w:start w:val="1"/>
      <w:numFmt w:val="decimal"/>
      <w:lvlText w:val="%1."/>
      <w:lvlJc w:val="left"/>
      <w:pPr>
        <w:ind w:left="400" w:hanging="250"/>
      </w:pPr>
    </w:lvl>
  </w:abstractNum>
  <w:abstractNum w:abstractNumId="5" w15:restartNumberingAfterBreak="0">
    <w:multiLevelType w:val="hybridMultilevel"/>
    <w:lvl w:ilvl="0" w15:tentative="1">
      <w:start w:val="1"/>
      <w:numFmt w:val="decimal"/>
      <w:lvlText w:val="%1."/>
      <w:lvlJc w:val="left"/>
      <w:pPr>
        <w:ind w:left="400" w:hanging="250"/>
      </w:pPr>
    </w:lvl>
  </w:abstractNum>
  <w:abstractNum w:abstractNumId="6" w15:restartNumberingAfterBreak="0">
    <w:multiLevelType w:val="hybridMultilevel"/>
    <w:lvl w:ilvl="0" w15:tentative="1">
      <w:start w:val="1"/>
      <w:numFmt w:val="decimal"/>
      <w:lvlText w:val="%1."/>
      <w:lvlJc w:val="left"/>
      <w:pPr>
        <w:ind w:left="400" w:hanging="250"/>
      </w:pPr>
    </w:lvl>
  </w:abstractNum>
  <w:abstractNum w:abstractNumId="7" w15:restartNumberingAfterBreak="0">
    <w:multiLevelType w:val="hybridMultilevel"/>
    <w:lvl w:ilvl="0" w15:tentative="1">
      <w:start w:val="1"/>
      <w:numFmt w:val="decimal"/>
      <w:lvlText w:val="%1."/>
      <w:lvlJc w:val="left"/>
      <w:pPr>
        <w:ind w:left="400" w:hanging="250"/>
      </w:pPr>
    </w:lvl>
  </w:abstractNum>
  <w:abstractNum w:abstractNumId="8" w15:restartNumberingAfterBreak="0">
    <w:multiLevelType w:val="hybridMultilevel"/>
    <w:lvl w:ilvl="0" w15:tentative="1">
      <w:start w:val="1"/>
      <w:numFmt w:val="decimal"/>
      <w:lvlText w:val="%1."/>
      <w:lvlJc w:val="left"/>
      <w:pPr>
        <w:ind w:left="400" w:hanging="250"/>
      </w:pPr>
    </w:lvl>
  </w:abstractNum>
  <w:abstractNum w:abstractNumId="9" w15:restartNumberingAfterBreak="0">
    <w:multiLevelType w:val="hybridMultilevel"/>
    <w:lvl w:ilvl="0" w15:tentative="1">
      <w:start w:val="1"/>
      <w:numFmt w:val="decimal"/>
      <w:lvlText w:val="%1."/>
      <w:lvlJc w:val="left"/>
      <w:pPr>
        <w:ind w:left="400" w:hanging="250"/>
      </w:pPr>
    </w:lvl>
  </w:abstractNum>
  <w:abstractNum w:abstractNumId="10" w15:restartNumberingAfterBreak="0">
    <w:multiLevelType w:val="hybridMultilevel"/>
    <w:lvl w:ilvl="0" w15:tentative="1">
      <w:start w:val="1"/>
      <w:numFmt w:val="decimal"/>
      <w:lvlText w:val="%1."/>
      <w:lvlJc w:val="left"/>
      <w:pPr>
        <w:ind w:left="400" w:hanging="250"/>
      </w:pPr>
    </w:lvl>
  </w:abstractNum>
  <w:abstractNum w:abstractNumId="11" w15:restartNumberingAfterBreak="0">
    <w:multiLevelType w:val="hybridMultilevel"/>
    <w:lvl w:ilvl="0" w15:tentative="1">
      <w:start w:val="1"/>
      <w:numFmt w:val="decimal"/>
      <w:lvlText w:val="%1."/>
      <w:lvlJc w:val="left"/>
      <w:pPr>
        <w:ind w:left="400" w:hanging="250"/>
      </w:pPr>
    </w:lvl>
  </w:abstractNum>
  <w:abstractNum w:abstractNumId="12" w15:restartNumberingAfterBreak="0">
    <w:multiLevelType w:val="hybridMultilevel"/>
    <w:lvl w:ilvl="0" w15:tentative="1">
      <w:start w:val="1"/>
      <w:numFmt w:val="decimal"/>
      <w:lvlText w:val="%1."/>
      <w:lvlJc w:val="left"/>
      <w:pPr>
        <w:ind w:left="400" w:hanging="250"/>
      </w:pPr>
    </w:lvl>
  </w:abstractNum>
  <w:abstractNum w:abstractNumId="13" w15:restartNumberingAfterBreak="0">
    <w:multiLevelType w:val="hybridMultilevel"/>
    <w:lvl w:ilvl="0" w15:tentative="1">
      <w:start w:val="1"/>
      <w:numFmt w:val="decimal"/>
      <w:lvlText w:val="%1."/>
      <w:lvlJc w:val="left"/>
      <w:pPr>
        <w:ind w:left="400" w:hanging="250"/>
      </w:pPr>
    </w:lvl>
  </w:abstractNum>
  <w:abstractNum w:abstractNumId="14" w15:restartNumberingAfterBreak="0">
    <w:multiLevelType w:val="hybridMultilevel"/>
    <w:lvl w:ilvl="0" w15:tentative="1">
      <w:start w:val="1"/>
      <w:numFmt w:val="decimal"/>
      <w:lvlText w:val="%1."/>
      <w:lvlJc w:val="left"/>
      <w:pPr>
        <w:ind w:left="400" w:hanging="250"/>
      </w:pPr>
    </w:lvl>
  </w:abstractNum>
  <w:abstractNum w:abstractNumId="15" w15:restartNumberingAfterBreak="0">
    <w:multiLevelType w:val="hybridMultilevel"/>
    <w:lvl w:ilvl="0" w15:tentative="1">
      <w:start w:val="1"/>
      <w:numFmt w:val="decimal"/>
      <w:lvlText w:val="%1."/>
      <w:lvlJc w:val="left"/>
      <w:pPr>
        <w:ind w:left="400" w:hanging="250"/>
      </w:pPr>
    </w:lvl>
  </w:abstractNum>
  <w:abstractNum w:abstractNumId="16" w15:restartNumberingAfterBreak="0">
    <w:multiLevelType w:val="hybridMultilevel"/>
    <w:lvl w:ilvl="0" w15:tentative="1">
      <w:start w:val="1"/>
      <w:numFmt w:val="decimal"/>
      <w:lvlText w:val="%1."/>
      <w:lvlJc w:val="left"/>
      <w:pPr>
        <w:ind w:left="400" w:hanging="250"/>
      </w:pPr>
    </w:lvl>
  </w:abstractNum>
  <w:abstractNum w:abstractNumId="17" w15:restartNumberingAfterBreak="0">
    <w:multiLevelType w:val="hybridMultilevel"/>
    <w:lvl w:ilvl="0" w15:tentative="1">
      <w:start w:val="1"/>
      <w:numFmt w:val="decimal"/>
      <w:lvlText w:val="%1."/>
      <w:lvlJc w:val="left"/>
      <w:pPr>
        <w:ind w:left="400" w:hanging="250"/>
      </w:pPr>
    </w:lvl>
  </w:abstractNum>
  <w:abstractNum w:abstractNumId="18" w15:restartNumberingAfterBreak="0">
    <w:multiLevelType w:val="hybridMultilevel"/>
    <w:lvl w:ilvl="0" w15:tentative="1">
      <w:start w:val="1"/>
      <w:numFmt w:val="decimal"/>
      <w:lvlText w:val="%1."/>
      <w:lvlJc w:val="left"/>
      <w:pPr>
        <w:ind w:left="400" w:hanging="250"/>
      </w:pPr>
    </w:lvl>
  </w:abstractNum>
  <w:abstractNum w:abstractNumId="19" w15:restartNumberingAfterBreak="0">
    <w:multiLevelType w:val="hybridMultilevel"/>
    <w:lvl w:ilvl="0" w15:tentative="1">
      <w:start w:val="1"/>
      <w:numFmt w:val="decimal"/>
      <w:lvlText w:val="%1."/>
      <w:lvlJc w:val="left"/>
      <w:pPr>
        <w:ind w:left="400" w:hanging="250"/>
      </w:pPr>
    </w:lvl>
  </w:abstractNum>
  <w:abstractNum w:abstractNumId="20" w15:restartNumberingAfterBreak="0">
    <w:multiLevelType w:val="hybridMultilevel"/>
    <w:lvl w:ilvl="0" w15:tentative="1">
      <w:start w:val="1"/>
      <w:numFmt w:val="decimal"/>
      <w:lvlText w:val="%1."/>
      <w:lvlJc w:val="left"/>
      <w:pPr>
        <w:ind w:left="400" w:hanging="250"/>
      </w:pPr>
    </w:lvl>
  </w:abstractNum>
  <w:abstractNum w:abstractNumId="21" w15:restartNumberingAfterBreak="0">
    <w:multiLevelType w:val="hybridMultilevel"/>
    <w:lvl w:ilvl="0" w15:tentative="1">
      <w:start w:val="1"/>
      <w:numFmt w:val="decimal"/>
      <w:lvlText w:val="%1."/>
      <w:lvlJc w:val="left"/>
      <w:pPr>
        <w:ind w:left="400" w:hanging="2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Principio de la Pirámide — Guía de trabajo</dc:title>
  <dc:creator>Guía de aplicación</dc:creator>
  <cp:lastModifiedBy>Un-named</cp:lastModifiedBy>
  <cp:revision>1</cp:revision>
  <dcterms:created xsi:type="dcterms:W3CDTF">2026-08-23T07:32:34.122Z</dcterms:created>
  <dcterms:modified xsi:type="dcterms:W3CDTF">2026-08-23T07:32:34.136Z</dcterms:modified>
</cp:coreProperties>
</file>

<file path=docProps/custom.xml><?xml version="1.0" encoding="utf-8"?>
<Properties xmlns="http://schemas.openxmlformats.org/officeDocument/2006/custom-properties" xmlns:vt="http://schemas.openxmlformats.org/officeDocument/2006/docPropsVTypes"/>
</file>