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Letter: HP Request for OpenClaw for Windows</w:t>
      </w:r>
    </w:p>
    <w:p>
      <w:pPr>
        <w:pStyle w:val="Subtitle"/>
      </w:pPr>
      <w:r>
        <w:t xml:space="preserve">30-day Microsoft preview with HP launch PR partnership</w:t>
      </w:r>
    </w:p>
    <w:p>
      <w:pPr>
        <w:pStyle w:val="Author"/>
      </w:pPr>
      <w:r>
        <w:t xml:space="preserve">HP Personal Systems</w:t>
      </w:r>
    </w:p>
    <w:p>
      <w:pPr>
        <w:pStyle w:val="Date"/>
      </w:pPr>
      <w:r>
        <w:t xml:space="preserve">2026-04-29</w:t>
      </w:r>
    </w:p>
    <w:bookmarkStart w:id="9" w:name="letter"/>
    <w:p>
      <w:pPr>
        <w:pStyle w:val="Heading1"/>
      </w:pPr>
      <w:r>
        <w:t xml:space="preserve">Letter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Microsoft Windows, WSL, VS Code, Containers, Teams, Copilot, and Security leadership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HP Personal Systems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Request to build and announce an OpenClaw for Windows 30-day preview</w:t>
      </w:r>
    </w:p>
    <w:p>
      <w:pPr>
        <w:pStyle w:val="BodyText"/>
      </w:pPr>
      <w:r>
        <w:t xml:space="preserve">Dear Microsoft colleagues,</w:t>
      </w:r>
    </w:p>
    <w:p>
      <w:pPr>
        <w:pStyle w:val="BodyText"/>
      </w:pPr>
      <w:r>
        <w:t xml:space="preserve">HP is asking Microsoft to partner with us on a fast, practical</w:t>
      </w:r>
      <w:r>
        <w:t xml:space="preserve"> </w:t>
      </w:r>
      <w:r>
        <w:rPr>
          <w:b/>
          <w:bCs/>
        </w:rPr>
        <w:t xml:space="preserve">OpenClaw for Windows Preview</w:t>
      </w:r>
      <w:r>
        <w:t xml:space="preserve"> </w:t>
      </w:r>
      <w:r>
        <w:t xml:space="preserve">that can be announced and made available within</w:t>
      </w:r>
      <w:r>
        <w:t xml:space="preserve"> </w:t>
      </w:r>
      <w:r>
        <w:rPr>
          <w:b/>
          <w:bCs/>
        </w:rPr>
        <w:t xml:space="preserve">30 days</w:t>
      </w:r>
      <w:r>
        <w:t xml:space="preserve">. The objective is simple: make Windows the easiest, safest, and most visible platform for developers and enterprises to run OpenClaw and local agent workflows with a one-click Windows experience.</w:t>
      </w:r>
    </w:p>
    <w:p>
      <w:pPr>
        <w:pStyle w:val="BodyText"/>
      </w:pPr>
      <w:r>
        <w:t xml:space="preserve">We are asking Microsoft to build the preview using existing Microsoft platform strengths: Windows, WSL2, Hyper-V, Windows Containers where appropriate, VS Code, Teams, Copilot/GitHub surfaces where approved, and Windows security controls. The preview should support both</w:t>
      </w:r>
      <w:r>
        <w:t xml:space="preserve"> </w:t>
      </w:r>
      <w:r>
        <w:rPr>
          <w:b/>
          <w:bCs/>
        </w:rPr>
        <w:t xml:space="preserve">x64 and Arm64</w:t>
      </w:r>
      <w:r>
        <w:t xml:space="preserve"> </w:t>
      </w:r>
      <w:r>
        <w:t xml:space="preserve">Windows PCs at launch.</w:t>
      </w:r>
    </w:p>
    <w:p>
      <w:pPr>
        <w:pStyle w:val="BodyText"/>
      </w:pPr>
      <w:r>
        <w:t xml:space="preserve">The launch should be broadly available to Windows users if Microsoft builds it. HP is not asking for product exclusivity. We are asking for</w:t>
      </w:r>
      <w:r>
        <w:t xml:space="preserve"> </w:t>
      </w:r>
      <w:r>
        <w:rPr>
          <w:b/>
          <w:bCs/>
        </w:rPr>
        <w:t xml:space="preserve">exclusive launch PR and announcement partnership</w:t>
      </w:r>
      <w:r>
        <w:t xml:space="preserve"> </w:t>
      </w:r>
      <w:r>
        <w:t xml:space="preserve">so HP can be the featured PC/OEM partner for the first wave of device validation, positioning, customer storytelling, and go-to-market amplification.</w:t>
      </w:r>
    </w:p>
    <w:p>
      <w:pPr>
        <w:pStyle w:val="BodyText"/>
      </w:pPr>
      <w:r>
        <w:t xml:space="preserve">The preview should deliver a clear Windows-first outcome: one-click install, validated Windows feature readiness, safe OpenClaw defaults, provider-ready CLI, local model support, VS Code workspace integration, Teams and WhatsApp-style channel use cases, diagnostics, rollback, and explicit security boundaries.</w:t>
      </w:r>
    </w:p>
    <w:p>
      <w:pPr>
        <w:pStyle w:val="BodyText"/>
      </w:pPr>
      <w:r>
        <w:t xml:space="preserve">Speed is the key product requirement. This should be scoped as a</w:t>
      </w:r>
      <w:r>
        <w:t xml:space="preserve"> </w:t>
      </w:r>
      <w:r>
        <w:rPr>
          <w:b/>
          <w:bCs/>
        </w:rPr>
        <w:t xml:space="preserve">30-day preview</w:t>
      </w:r>
      <w:r>
        <w:t xml:space="preserve">, not a full GA platform release. NPU detection and future acceleration are welcome, but they should not slow down the release. The first release should favor a working signed installer, reliable x64/Arm64 validation, clear diagnostics, safe defaults, and a credible roadmap over broad enterprise certification on day one.</w:t>
      </w:r>
    </w:p>
    <w:p>
      <w:pPr>
        <w:pStyle w:val="BodyText"/>
      </w:pPr>
      <w:r>
        <w:t xml:space="preserve">If Microsoft cannot own the build and release within the 30-day window, HP is prepared to build and release the Windows bundle independently. In that path, we would still value Microsoft technical validation, recommended guidance, and launch coordination where possible.</w:t>
      </w:r>
    </w:p>
    <w:p>
      <w:pPr>
        <w:pStyle w:val="BodyText"/>
      </w:pPr>
      <w:r>
        <w:t xml:space="preserve">The appendix below provides the requested technical requirements for the preview. We would welcome a Microsoft owner across Windows/WSL, VS Code, Containers, Teams, Copilot/GitHub integration, and Security to confirm the fastest path to ship.</w:t>
      </w:r>
    </w:p>
    <w:p>
      <w:pPr>
        <w:pStyle w:val="BodyText"/>
      </w:pPr>
      <w:r>
        <w:t xml:space="preserve">Respectfully,</w:t>
      </w:r>
      <w:r>
        <w:br/>
      </w:r>
      <w:r>
        <w:t xml:space="preserve">HP Personal Systems</w:t>
      </w:r>
    </w:p>
    <w:p>
      <w:r>
        <w:br w:type="page"/>
      </w:r>
    </w:p>
    <w:bookmarkEnd w:id="9"/>
    <w:bookmarkStart w:id="10" w:name="appendix-a-day-30-objective"/>
    <w:p>
      <w:pPr>
        <w:pStyle w:val="Heading1"/>
      </w:pPr>
      <w:r>
        <w:t xml:space="preserve">Appendix A: Day-30 Objective</w:t>
      </w:r>
    </w:p>
    <w:p>
      <w:pPr>
        <w:pStyle w:val="Compact"/>
        <w:numPr>
          <w:ilvl w:val="0"/>
          <w:numId w:val="1001"/>
        </w:numPr>
      </w:pPr>
      <w:r>
        <w:t xml:space="preserve">Ship a Microsoft-built</w:t>
      </w:r>
      <w:r>
        <w:t xml:space="preserve"> </w:t>
      </w:r>
      <w:r>
        <w:rPr>
          <w:b/>
          <w:bCs/>
        </w:rPr>
        <w:t xml:space="preserve">OpenClaw for Windows Preview</w:t>
      </w:r>
      <w:r>
        <w:t xml:space="preserve"> </w:t>
      </w:r>
      <w:r>
        <w:t xml:space="preserve">within 30 days.</w:t>
      </w:r>
    </w:p>
    <w:p>
      <w:pPr>
        <w:pStyle w:val="Compact"/>
        <w:numPr>
          <w:ilvl w:val="0"/>
          <w:numId w:val="1001"/>
        </w:numPr>
      </w:pPr>
      <w:r>
        <w:t xml:space="preserve">If Microsoft cannot meet the timeline, enable HP to ship an independent Windows bundle with Microsoft guidance where possible.</w:t>
      </w:r>
    </w:p>
    <w:p>
      <w:pPr>
        <w:pStyle w:val="Compact"/>
        <w:numPr>
          <w:ilvl w:val="0"/>
          <w:numId w:val="1001"/>
        </w:numPr>
      </w:pPr>
      <w:r>
        <w:t xml:space="preserve">Make HP the exclusive launch PR and announcement partner, not the exclusive product distributor.</w:t>
      </w:r>
    </w:p>
    <w:p>
      <w:pPr>
        <w:pStyle w:val="Compact"/>
        <w:numPr>
          <w:ilvl w:val="0"/>
          <w:numId w:val="1001"/>
        </w:numPr>
      </w:pPr>
      <w:r>
        <w:t xml:space="preserve">Support both x64 and Arm64 Windows PCs at launch.</w:t>
      </w:r>
    </w:p>
    <w:p>
      <w:pPr>
        <w:pStyle w:val="Compact"/>
        <w:numPr>
          <w:ilvl w:val="0"/>
          <w:numId w:val="1001"/>
        </w:numPr>
      </w:pPr>
      <w:r>
        <w:t xml:space="preserve">Use existing Microsoft product surfaces rather than waiting for new platform work.</w:t>
      </w:r>
    </w:p>
    <w:p>
      <w:pPr>
        <w:pStyle w:val="Compact"/>
        <w:numPr>
          <w:ilvl w:val="0"/>
          <w:numId w:val="1001"/>
        </w:numPr>
      </w:pPr>
      <w:r>
        <w:t xml:space="preserve">Treat NPU acceleration as optional future value; do not make it a preview blocker.</w:t>
      </w:r>
    </w:p>
    <w:p>
      <w:pPr>
        <w:pStyle w:val="Compact"/>
        <w:numPr>
          <w:ilvl w:val="0"/>
          <w:numId w:val="1001"/>
        </w:numPr>
      </w:pPr>
      <w:r>
        <w:t xml:space="preserve">Keep the first release preview-scoped: signed installer, validated workflow, diagnostics, rollback, documentation, and support boundaries.</w:t>
      </w:r>
    </w:p>
    <w:p>
      <w:pPr>
        <w:pStyle w:val="Compact"/>
        <w:numPr>
          <w:ilvl w:val="0"/>
          <w:numId w:val="1001"/>
        </w:numPr>
      </w:pPr>
      <w:r>
        <w:t xml:space="preserve">Defer full GA claims, Store certification, Intune certification, marketplace approval, and broad enterprise support until after the preview proves demand and support load.</w:t>
      </w:r>
    </w:p>
    <w:bookmarkEnd w:id="10"/>
    <w:bookmarkStart w:id="11" w:name="appendix-b-installer-and-payload"/>
    <w:p>
      <w:pPr>
        <w:pStyle w:val="Heading1"/>
      </w:pPr>
      <w:r>
        <w:t xml:space="preserve">Appendix B: Installer And Payload</w:t>
      </w:r>
    </w:p>
    <w:p>
      <w:pPr>
        <w:pStyle w:val="Compact"/>
        <w:numPr>
          <w:ilvl w:val="0"/>
          <w:numId w:val="1002"/>
        </w:numPr>
      </w:pPr>
      <w:r>
        <w:t xml:space="preserve">Provide a signed x64 and Arm64 installer, preferably EXE/MSI plus Winget manifest.</w:t>
      </w:r>
    </w:p>
    <w:p>
      <w:pPr>
        <w:pStyle w:val="Compact"/>
        <w:numPr>
          <w:ilvl w:val="0"/>
          <w:numId w:val="1002"/>
        </w:numPr>
      </w:pPr>
      <w:r>
        <w:t xml:space="preserve">Detect architecture, admin rights, reboot state, virtualization, WSL feature state, VirtualMachinePlatform, Hyper-V capability, Windows Containers feature state, container runtime state, firewall state, VS Code presence, and available disk space.</w:t>
      </w:r>
    </w:p>
    <w:p>
      <w:pPr>
        <w:pStyle w:val="Compact"/>
        <w:numPr>
          <w:ilvl w:val="0"/>
          <w:numId w:val="1002"/>
        </w:numPr>
      </w:pPr>
      <w:r>
        <w:t xml:space="preserve">Install or validate WSL2 using the supported Microsoft WSL path.</w:t>
      </w:r>
    </w:p>
    <w:p>
      <w:pPr>
        <w:pStyle w:val="Compact"/>
        <w:numPr>
          <w:ilvl w:val="0"/>
          <w:numId w:val="1002"/>
        </w:numPr>
      </w:pPr>
      <w:r>
        <w:t xml:space="preserve">Install or validate Docker Desktop with WSL2 backend, or a Microsoft-supported equivalent container runtime if available.</w:t>
      </w:r>
    </w:p>
    <w:p>
      <w:pPr>
        <w:pStyle w:val="Compact"/>
        <w:numPr>
          <w:ilvl w:val="0"/>
          <w:numId w:val="1002"/>
        </w:numPr>
      </w:pPr>
      <w:r>
        <w:t xml:space="preserve">Stage arch-specific payloads for x64 and Arm64.</w:t>
      </w:r>
    </w:p>
    <w:p>
      <w:pPr>
        <w:pStyle w:val="Compact"/>
        <w:numPr>
          <w:ilvl w:val="0"/>
          <w:numId w:val="1002"/>
        </w:numPr>
      </w:pPr>
      <w:r>
        <w:t xml:space="preserve">Include WSL MSI where needed, container-runtime installer pointer or staged installer where licensing allows, OpenClaw/Ollama image archives, optional model archive, VS Code workspace assets, diagnostics scripts, and rollback metadata.</w:t>
      </w:r>
    </w:p>
    <w:p>
      <w:pPr>
        <w:pStyle w:val="Compact"/>
        <w:numPr>
          <w:ilvl w:val="0"/>
          <w:numId w:val="1002"/>
        </w:numPr>
      </w:pPr>
      <w:r>
        <w:t xml:space="preserve">Provide an offline enterprise ZIP for constrained environments.</w:t>
      </w:r>
    </w:p>
    <w:p>
      <w:pPr>
        <w:pStyle w:val="Compact"/>
        <w:numPr>
          <w:ilvl w:val="0"/>
          <w:numId w:val="1002"/>
        </w:numPr>
      </w:pPr>
      <w:r>
        <w:t xml:space="preserve">Preserve user data by default on uninstall, with an explicit option to remove config, models, logs, and workspaces.</w:t>
      </w:r>
    </w:p>
    <w:bookmarkEnd w:id="11"/>
    <w:bookmarkStart w:id="12" w:name="appendix-c-runtime-architecture"/>
    <w:p>
      <w:pPr>
        <w:pStyle w:val="Heading1"/>
      </w:pPr>
      <w:r>
        <w:t xml:space="preserve">Appendix C: Runtime Architecture</w:t>
      </w:r>
    </w:p>
    <w:p>
      <w:pPr>
        <w:pStyle w:val="Compact"/>
        <w:numPr>
          <w:ilvl w:val="0"/>
          <w:numId w:val="1003"/>
        </w:numPr>
      </w:pPr>
      <w:r>
        <w:t xml:space="preserve">Run OpenClaw and Ollama in Linux containers through WSL2 for the day-30 path.</w:t>
      </w:r>
    </w:p>
    <w:p>
      <w:pPr>
        <w:pStyle w:val="Compact"/>
        <w:numPr>
          <w:ilvl w:val="0"/>
          <w:numId w:val="1003"/>
        </w:numPr>
      </w:pPr>
      <w:r>
        <w:t xml:space="preserve">Use Windows Containers only for Windows-side helper services, validation, or sandbox experiments where appropriate.</w:t>
      </w:r>
    </w:p>
    <w:p>
      <w:pPr>
        <w:pStyle w:val="Compact"/>
        <w:numPr>
          <w:ilvl w:val="0"/>
          <w:numId w:val="1003"/>
        </w:numPr>
      </w:pPr>
      <w:r>
        <w:t xml:space="preserve">Do not imply Windows Containers run Linux OpenClaw images.</w:t>
      </w:r>
    </w:p>
    <w:p>
      <w:pPr>
        <w:pStyle w:val="Compact"/>
        <w:numPr>
          <w:ilvl w:val="0"/>
          <w:numId w:val="1003"/>
        </w:numPr>
      </w:pPr>
      <w:r>
        <w:t xml:space="preserve">Provide a Compose or equivalent runtime profile for OpenClaw gateway, local model runtime, CLI, loopback bridge, persistent volumes, and health checks.</w:t>
      </w:r>
    </w:p>
    <w:p>
      <w:pPr>
        <w:pStyle w:val="Compact"/>
        <w:numPr>
          <w:ilvl w:val="0"/>
          <w:numId w:val="1003"/>
        </w:numPr>
      </w:pPr>
      <w:r>
        <w:t xml:space="preserve">Bind local model services to loopback by default.</w:t>
      </w:r>
    </w:p>
    <w:p>
      <w:pPr>
        <w:pStyle w:val="Compact"/>
        <w:numPr>
          <w:ilvl w:val="0"/>
          <w:numId w:val="1003"/>
        </w:numPr>
      </w:pPr>
      <w:r>
        <w:t xml:space="preserve">Bind OpenClaw gateway to loopback by default and require explicit opt-in for LAN exposure.</w:t>
      </w:r>
    </w:p>
    <w:p>
      <w:pPr>
        <w:pStyle w:val="Compact"/>
        <w:numPr>
          <w:ilvl w:val="0"/>
          <w:numId w:val="1003"/>
        </w:numPr>
      </w:pPr>
      <w:r>
        <w:t xml:space="preserve">Generate and require a gateway token by default.</w:t>
      </w:r>
    </w:p>
    <w:p>
      <w:pPr>
        <w:pStyle w:val="Compact"/>
        <w:numPr>
          <w:ilvl w:val="0"/>
          <w:numId w:val="1003"/>
        </w:numPr>
      </w:pPr>
      <w:r>
        <w:t xml:space="preserve">Keep persistent storage for OpenClaw config, OpenClaw workspace, local models, logs, and diagnostics.</w:t>
      </w:r>
    </w:p>
    <w:p>
      <w:pPr>
        <w:pStyle w:val="Compact"/>
        <w:numPr>
          <w:ilvl w:val="0"/>
          <w:numId w:val="1003"/>
        </w:numPr>
      </w:pPr>
      <w:r>
        <w:t xml:space="preserve">Include health checks for WSL2 distro, container runtime, local model runtime, OpenClaw gateway, loopback bridge, ports, token config, and restart state.</w:t>
      </w:r>
    </w:p>
    <w:bookmarkEnd w:id="12"/>
    <w:bookmarkStart w:id="13" w:name="appendix-d-cli-and-vs-code"/>
    <w:p>
      <w:pPr>
        <w:pStyle w:val="Heading1"/>
      </w:pPr>
      <w:r>
        <w:t xml:space="preserve">Appendix D: CLI And VS Code</w:t>
      </w:r>
    </w:p>
    <w:p>
      <w:pPr>
        <w:pStyle w:val="Compact"/>
        <w:numPr>
          <w:ilvl w:val="0"/>
          <w:numId w:val="1004"/>
        </w:numPr>
      </w:pPr>
      <w:r>
        <w:t xml:space="preserve">Ship one Windows command:</w:t>
      </w:r>
      <w:r>
        <w:t xml:space="preserve"> </w:t>
      </w:r>
      <w:r>
        <w:rPr>
          <w:rStyle w:val="VerbatimChar"/>
        </w:rPr>
        <w:t xml:space="preserve">openclaw-win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Required CLI verbs: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 configure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 configure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collect-diagnostics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uninstall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Store provider tokens in Windows Credential Manager or DPAPI rather than plaintext config by default.</w:t>
      </w:r>
    </w:p>
    <w:p>
      <w:pPr>
        <w:pStyle w:val="Compact"/>
        <w:numPr>
          <w:ilvl w:val="0"/>
          <w:numId w:val="1004"/>
        </w:numPr>
      </w:pPr>
      <w:r>
        <w:t xml:space="preserve">Generate a VS Code workspace that works from both Windows and WSL2.</w:t>
      </w:r>
    </w:p>
    <w:p>
      <w:pPr>
        <w:pStyle w:val="Compact"/>
        <w:numPr>
          <w:ilvl w:val="0"/>
          <w:numId w:val="1004"/>
        </w:numPr>
      </w:pPr>
      <w:r>
        <w:t xml:space="preserve">Include</w:t>
      </w:r>
      <w:r>
        <w:t xml:space="preserve"> </w:t>
      </w:r>
      <w:r>
        <w:rPr>
          <w:rStyle w:val="VerbatimChar"/>
        </w:rPr>
        <w:t xml:space="preserve">.code-workspace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.vscode/extensions.json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, PowerShell terminal profile, WSL terminal profile, container context setup,</w:t>
      </w:r>
      <w:r>
        <w:t xml:space="preserve"> </w:t>
      </w:r>
      <w:r>
        <w:rPr>
          <w:rStyle w:val="VerbatimChar"/>
        </w:rPr>
        <w:t xml:space="preserve">.devcontainer/devcontainer.json</w:t>
      </w:r>
      <w:r>
        <w:t xml:space="preserve">, and first-run walkthrough.</w:t>
      </w:r>
    </w:p>
    <w:p>
      <w:pPr>
        <w:pStyle w:val="Compact"/>
        <w:numPr>
          <w:ilvl w:val="0"/>
          <w:numId w:val="1004"/>
        </w:numPr>
      </w:pPr>
      <w:r>
        <w:t xml:space="preserve">Add VS Code tasks for start, stop, logs, doctor, provider setup, channel setup, and diagnostics collection.</w:t>
      </w:r>
    </w:p>
    <w:p>
      <w:pPr>
        <w:pStyle w:val="Compact"/>
        <w:numPr>
          <w:ilvl w:val="0"/>
          <w:numId w:val="1004"/>
        </w:numPr>
      </w:pPr>
      <w:r>
        <w:t xml:space="preserve">Make failures actionable: every failed check should report cause, fix command, log path, and support bundle path.</w:t>
      </w:r>
    </w:p>
    <w:bookmarkEnd w:id="13"/>
    <w:bookmarkStart w:id="14" w:name="appendix-e-provider-requirements"/>
    <w:p>
      <w:pPr>
        <w:pStyle w:val="Heading1"/>
      </w:pPr>
      <w:r>
        <w:t xml:space="preserve">Appendix E: Provider Requirements</w:t>
      </w:r>
    </w:p>
    <w:p>
      <w:pPr>
        <w:pStyle w:val="Compact"/>
        <w:numPr>
          <w:ilvl w:val="0"/>
          <w:numId w:val="1005"/>
        </w:numPr>
      </w:pPr>
      <w:r>
        <w:t xml:space="preserve">Day-30 local provider: Ollama and local OpenAI-compatible endpoint.</w:t>
      </w:r>
    </w:p>
    <w:p>
      <w:pPr>
        <w:pStyle w:val="Compact"/>
        <w:numPr>
          <w:ilvl w:val="0"/>
          <w:numId w:val="1005"/>
        </w:numPr>
      </w:pPr>
      <w:r>
        <w:t xml:space="preserve">Day-30 remote providers: Anthropic Claude and OpenAI-compatible APIs.</w:t>
      </w:r>
    </w:p>
    <w:p>
      <w:pPr>
        <w:pStyle w:val="Compact"/>
        <w:numPr>
          <w:ilvl w:val="0"/>
          <w:numId w:val="1005"/>
        </w:numPr>
      </w:pPr>
      <w:r>
        <w:t xml:space="preserve">GitHub Copilot or Copilot Chat should be supported only through approved Microsoft/GitHub product APIs.</w:t>
      </w:r>
    </w:p>
    <w:p>
      <w:pPr>
        <w:pStyle w:val="Compact"/>
        <w:numPr>
          <w:ilvl w:val="0"/>
          <w:numId w:val="1005"/>
        </w:numPr>
      </w:pPr>
      <w:r>
        <w:t xml:space="preserve">If Copilot API approval is not available, ship the provider slot and documentation rather than a private or unsupported integration.</w:t>
      </w:r>
    </w:p>
    <w:p>
      <w:pPr>
        <w:pStyle w:val="Compact"/>
        <w:numPr>
          <w:ilvl w:val="0"/>
          <w:numId w:val="1005"/>
        </w:numPr>
      </w:pPr>
      <w:r>
        <w:t xml:space="preserve">Include model/runtime detection for local endpoints such as Ollama, LM Studio, llama.cpp, and vLLM where practical.</w:t>
      </w:r>
    </w:p>
    <w:p>
      <w:pPr>
        <w:pStyle w:val="Compact"/>
        <w:numPr>
          <w:ilvl w:val="0"/>
          <w:numId w:val="1005"/>
        </w:numPr>
      </w:pPr>
      <w:r>
        <w:t xml:space="preserve">Include NPU capability detection if available, but do not require NPU inference support for the preview.</w:t>
      </w:r>
    </w:p>
    <w:bookmarkEnd w:id="14"/>
    <w:bookmarkStart w:id="15" w:name="X172ad96071e9f70a822069aec77b8e20b685003"/>
    <w:p>
      <w:pPr>
        <w:pStyle w:val="Heading1"/>
      </w:pPr>
      <w:r>
        <w:t xml:space="preserve">Appendix F: Messaging And Remote-Control Use Cases</w:t>
      </w:r>
    </w:p>
    <w:p>
      <w:pPr>
        <w:pStyle w:val="Compact"/>
        <w:numPr>
          <w:ilvl w:val="0"/>
          <w:numId w:val="1006"/>
        </w:numPr>
      </w:pPr>
      <w:r>
        <w:t xml:space="preserve">Use QClaw/WeChat-style adoption patterns as a product benchmark, not as a bundled dependency.</w:t>
      </w:r>
    </w:p>
    <w:p>
      <w:pPr>
        <w:pStyle w:val="Compact"/>
        <w:numPr>
          <w:ilvl w:val="0"/>
          <w:numId w:val="1006"/>
        </w:numPr>
      </w:pPr>
      <w:r>
        <w:t xml:space="preserve">Required use cases: phone or chat command, approval prompt, local PC execution, file handoff, status reply, audit trail, and safe cancellation.</w:t>
      </w:r>
    </w:p>
    <w:p>
      <w:pPr>
        <w:pStyle w:val="Compact"/>
        <w:numPr>
          <w:ilvl w:val="0"/>
          <w:numId w:val="1006"/>
        </w:numPr>
      </w:pPr>
      <w:r>
        <w:t xml:space="preserve">Teams preview: bot package, personal scope, group chat scope, channel scope, message extension actions, Adaptive Card approvals, tenant-admin controls, and command handoff to an authenticated local OpenClaw bridge.</w:t>
      </w:r>
    </w:p>
    <w:p>
      <w:pPr>
        <w:pStyle w:val="Compact"/>
        <w:numPr>
          <w:ilvl w:val="0"/>
          <w:numId w:val="1006"/>
        </w:numPr>
      </w:pPr>
      <w:r>
        <w:t xml:space="preserve">WhatsApp preview: WhatsApp Business Cloud API webhook adapter sample, webhook signature verification, approval prompts, rate limits, and no scraping of personal WhatsApp sessions.</w:t>
      </w:r>
    </w:p>
    <w:p>
      <w:pPr>
        <w:pStyle w:val="Compact"/>
        <w:numPr>
          <w:ilvl w:val="0"/>
          <w:numId w:val="1006"/>
        </w:numPr>
      </w:pPr>
      <w:r>
        <w:t xml:space="preserve">China partner path: documented channel adapter API so Tencent/QClaw/WeChat partners can integrate under local policy without Microsoft or HP bundling that code globally.</w:t>
      </w:r>
    </w:p>
    <w:p>
      <w:pPr>
        <w:pStyle w:val="Compact"/>
        <w:numPr>
          <w:ilvl w:val="0"/>
          <w:numId w:val="1006"/>
        </w:numPr>
      </w:pPr>
      <w:r>
        <w:t xml:space="preserve">Channel adapters must be disableable by policy and off by default in enterprise mode.</w:t>
      </w:r>
    </w:p>
    <w:bookmarkEnd w:id="15"/>
    <w:bookmarkStart w:id="16" w:name="appendix-g-security-requirements"/>
    <w:p>
      <w:pPr>
        <w:pStyle w:val="Heading1"/>
      </w:pPr>
      <w:r>
        <w:t xml:space="preserve">Appendix G: Security Requirements</w:t>
      </w:r>
    </w:p>
    <w:p>
      <w:pPr>
        <w:pStyle w:val="Compact"/>
        <w:numPr>
          <w:ilvl w:val="0"/>
          <w:numId w:val="1007"/>
        </w:numPr>
      </w:pPr>
      <w:r>
        <w:t xml:space="preserve">Define separate trust zones for gateway, model runtime, workspace, credentials, channel adapters, plugins, and execution sandbox.</w:t>
      </w:r>
    </w:p>
    <w:p>
      <w:pPr>
        <w:pStyle w:val="Compact"/>
        <w:numPr>
          <w:ilvl w:val="0"/>
          <w:numId w:val="1007"/>
        </w:numPr>
      </w:pPr>
      <w:r>
        <w:t xml:space="preserve">Default to loopback-only networking and generated gateway token.</w:t>
      </w:r>
    </w:p>
    <w:p>
      <w:pPr>
        <w:pStyle w:val="Compact"/>
        <w:numPr>
          <w:ilvl w:val="0"/>
          <w:numId w:val="1007"/>
        </w:numPr>
      </w:pPr>
      <w:r>
        <w:t xml:space="preserve">Require explicit user or admin action for LAN exposure.</w:t>
      </w:r>
    </w:p>
    <w:p>
      <w:pPr>
        <w:pStyle w:val="Compact"/>
        <w:numPr>
          <w:ilvl w:val="0"/>
          <w:numId w:val="1007"/>
        </w:numPr>
      </w:pPr>
      <w:r>
        <w:t xml:space="preserve">Use Windows Firewall rules that match the selected exposure mode.</w:t>
      </w:r>
    </w:p>
    <w:p>
      <w:pPr>
        <w:pStyle w:val="Compact"/>
        <w:numPr>
          <w:ilvl w:val="0"/>
          <w:numId w:val="1007"/>
        </w:numPr>
      </w:pPr>
      <w:r>
        <w:t xml:space="preserve">Store secrets in Windows Credential Manager or DPAPI.</w:t>
      </w:r>
    </w:p>
    <w:p>
      <w:pPr>
        <w:pStyle w:val="Compact"/>
        <w:numPr>
          <w:ilvl w:val="0"/>
          <w:numId w:val="1007"/>
        </w:numPr>
      </w:pPr>
      <w:r>
        <w:t xml:space="preserve">Provide TinyKVM-class isolation intent through Windows-native controls: Hyper-V isolation, Windows Sandbox where appropriate, VBS, WDAC/AppLocker, Defender, and least-privilege service identities.</w:t>
      </w:r>
    </w:p>
    <w:p>
      <w:pPr>
        <w:pStyle w:val="Compact"/>
        <w:numPr>
          <w:ilvl w:val="0"/>
          <w:numId w:val="1007"/>
        </w:numPr>
      </w:pPr>
      <w:r>
        <w:t xml:space="preserve">Provide filesystem allowlists for workspace access and protected path denylists for user secrets, browser profiles, payment data, SSH keys, cloud credentials, and system directories.</w:t>
      </w:r>
    </w:p>
    <w:p>
      <w:pPr>
        <w:pStyle w:val="Compact"/>
        <w:numPr>
          <w:ilvl w:val="0"/>
          <w:numId w:val="1007"/>
        </w:numPr>
      </w:pPr>
      <w:r>
        <w:t xml:space="preserve">Add audit events for prompt execution, skill execution, scripts, payment-adjacent actions, credential reads, clipboard, screen, microphone, camera, filesystem access, and network exposure changes.</w:t>
      </w:r>
    </w:p>
    <w:p>
      <w:pPr>
        <w:pStyle w:val="Compact"/>
        <w:numPr>
          <w:ilvl w:val="0"/>
          <w:numId w:val="1007"/>
        </w:numPr>
      </w:pPr>
      <w:r>
        <w:t xml:space="preserve">Produce signed artifacts, SBOMs, pinned image digests, rollback metadata, and diagnostics bundles.</w:t>
      </w:r>
    </w:p>
    <w:p>
      <w:pPr>
        <w:pStyle w:val="Compact"/>
        <w:numPr>
          <w:ilvl w:val="0"/>
          <w:numId w:val="1007"/>
        </w:numPr>
      </w:pPr>
      <w:r>
        <w:t xml:space="preserve">Align deterministic policy checks with Microsoft agent-governance guidance where applicable.</w:t>
      </w:r>
    </w:p>
    <w:bookmarkEnd w:id="16"/>
    <w:bookmarkStart w:id="17" w:name="appendix-h-validation-and-release-gates"/>
    <w:p>
      <w:pPr>
        <w:pStyle w:val="Heading1"/>
      </w:pPr>
      <w:r>
        <w:t xml:space="preserve">Appendix H: Validation And Release Gates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openclaw-win doctor</w:t>
      </w:r>
      <w:r>
        <w:t xml:space="preserve"> </w:t>
      </w:r>
      <w:r>
        <w:t xml:space="preserve">must produce a pass/fail report for WSL2, container runtime, Hyper-V, Windows Containers feature state, VS Code, providers, ports, tokens, health endpoints, logs, and firewall exposure.</w:t>
      </w:r>
    </w:p>
    <w:p>
      <w:pPr>
        <w:pStyle w:val="Compact"/>
        <w:numPr>
          <w:ilvl w:val="0"/>
          <w:numId w:val="1008"/>
        </w:numPr>
      </w:pPr>
      <w:r>
        <w:t xml:space="preserve">Include PowerShell tests for installer and validation helpers.</w:t>
      </w:r>
    </w:p>
    <w:p>
      <w:pPr>
        <w:pStyle w:val="Compact"/>
        <w:numPr>
          <w:ilvl w:val="0"/>
          <w:numId w:val="1008"/>
        </w:numPr>
      </w:pPr>
      <w:r>
        <w:t xml:space="preserve">Include VM validation for the Windows install path.</w:t>
      </w:r>
    </w:p>
    <w:p>
      <w:pPr>
        <w:pStyle w:val="Compact"/>
        <w:numPr>
          <w:ilvl w:val="0"/>
          <w:numId w:val="1008"/>
        </w:numPr>
      </w:pPr>
      <w:r>
        <w:t xml:space="preserve">Validate x64 and Arm64 separately.</w:t>
      </w:r>
    </w:p>
    <w:p>
      <w:pPr>
        <w:pStyle w:val="Compact"/>
        <w:numPr>
          <w:ilvl w:val="0"/>
          <w:numId w:val="1008"/>
        </w:numPr>
      </w:pPr>
      <w:r>
        <w:t xml:space="preserve">Validate fresh install, upgrade, rollback, uninstall-preserve-data, uninstall-remove-data, offline install, and diagnostics collection.</w:t>
      </w:r>
    </w:p>
    <w:p>
      <w:pPr>
        <w:pStyle w:val="Compact"/>
        <w:numPr>
          <w:ilvl w:val="0"/>
          <w:numId w:val="1008"/>
        </w:numPr>
      </w:pPr>
      <w:r>
        <w:t xml:space="preserve">Validate Teams preview and WhatsApp preview as samples, not production marketplace-approved integrations.</w:t>
      </w:r>
    </w:p>
    <w:p>
      <w:pPr>
        <w:pStyle w:val="Compact"/>
        <w:numPr>
          <w:ilvl w:val="0"/>
          <w:numId w:val="1008"/>
        </w:numPr>
      </w:pPr>
      <w:r>
        <w:t xml:space="preserve">Validate that the default gateway is not exposed beyond loopback.</w:t>
      </w:r>
    </w:p>
    <w:p>
      <w:pPr>
        <w:pStyle w:val="Compact"/>
        <w:numPr>
          <w:ilvl w:val="0"/>
          <w:numId w:val="1008"/>
        </w:numPr>
      </w:pPr>
      <w:r>
        <w:t xml:space="preserve">Validate that provider tokens are not written to plaintext config by default.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Letter: HP Request for OpenClaw for Windows</dc:title>
  <dc:creator>HP Personal Systems</dc:creator>
  <cp:keywords/>
  <dcterms:created xsi:type="dcterms:W3CDTF">2026-04-30T06:12:33Z</dcterms:created>
  <dcterms:modified xsi:type="dcterms:W3CDTF">2026-04-30T06:12:33Z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2026-04-29</vt:lpwstr>
  </property>
  <property fmtid="{D5CDD505-2E9C-101B-9397-08002B2CF9AE}" pid="4" name="fontsize">
    <vt:lpwstr>10pt</vt:lpwstr>
  </property>
  <property fmtid="{D5CDD505-2E9C-101B-9397-08002B2CF9AE}" pid="5" name="geometry">
    <vt:lpwstr>margin=0.65in</vt:lpwstr>
  </property>
  <property fmtid="{D5CDD505-2E9C-101B-9397-08002B2CF9AE}" pid="6" name="linkcolor">
    <vt:lpwstr>blue</vt:lpwstr>
  </property>
  <property fmtid="{D5CDD505-2E9C-101B-9397-08002B2CF9AE}" pid="7" name="mainfont">
    <vt:lpwstr>DejaVu Serif</vt:lpwstr>
  </property>
  <property fmtid="{D5CDD505-2E9C-101B-9397-08002B2CF9AE}" pid="8" name="subtitle">
    <vt:lpwstr>30-day Microsoft preview with HP launch PR partnership</vt:lpwstr>
  </property>
  <property fmtid="{D5CDD505-2E9C-101B-9397-08002B2CF9AE}" pid="9" name="urlcolor">
    <vt:lpwstr>blue</vt:lpwstr>
  </property>
</Properties>
</file>