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Date"/>
      </w:pPr>
      <w:r>
        <w:t xml:space="preserve">August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9"/>
    <w:bookmarkStart w:id="14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0" w:name="problem-statement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rPr>
          <w:i/>
          <w:iCs/>
        </w:rPr>
        <w:t xml:space="preserve">TODO: problem statement.</w:t>
      </w:r>
    </w:p>
    <w:bookmarkEnd w:id="10"/>
    <w:bookmarkStart w:id="11" w:name="sec-contribution"/>
    <w:p>
      <w:pPr>
        <w:pStyle w:val="Heading2"/>
      </w:pPr>
      <w:r>
        <w:t xml:space="preserve">1.2 Contribution</w:t>
      </w:r>
    </w:p>
    <w:p>
      <w:pPr>
        <w:pStyle w:val="FirstParagraph"/>
      </w:pPr>
      <w:r>
        <w:rPr>
          <w:i/>
          <w:iCs/>
        </w:rPr>
        <w:t xml:space="preserve">TODO: contribution — the</w:t>
      </w:r>
      <w:r>
        <w:rPr>
          <w:i/>
          <w:iCs/>
        </w:rPr>
        <w:t xml:space="preserve"> </w:t>
      </w:r>
      <w:r>
        <w:rPr>
          <w:i/>
          <w:iCs/>
        </w:rPr>
        <w:t xml:space="preserve">“why should anyone care”</w:t>
      </w:r>
      <w:r>
        <w:rPr>
          <w:i/>
          <w:iCs/>
        </w:rPr>
        <w:t xml:space="preserve"> </w:t>
      </w:r>
      <w:r>
        <w:rPr>
          <w:i/>
          <w:iCs/>
        </w:rPr>
        <w:t xml:space="preserve">argument.</w:t>
      </w:r>
    </w:p>
    <w:bookmarkEnd w:id="11"/>
    <w:bookmarkStart w:id="12" w:name="scope"/>
    <w:p>
      <w:pPr>
        <w:pStyle w:val="Heading2"/>
      </w:pPr>
      <w:r>
        <w:t xml:space="preserve">1.3 Scope</w:t>
      </w:r>
    </w:p>
    <w:p>
      <w:pPr>
        <w:pStyle w:val="FirstParagraph"/>
      </w:pPr>
      <w:r>
        <w:t xml:space="preserve">The long-term vision for AeroFlux is ambitious and continues to evolve. This</w:t>
      </w:r>
      <w:r>
        <w:t xml:space="preserve"> </w:t>
      </w:r>
      <w:r>
        <w:t xml:space="preserve">project focuses on building a scalable, modular, configurable, portable, and</w:t>
      </w:r>
      <w:r>
        <w:t xml:space="preserve"> </w:t>
      </w:r>
      <w:r>
        <w:t xml:space="preserve">decoupled big-data platform that can ingest, fuse, process, and analyze aviation</w:t>
      </w:r>
      <w:r>
        <w:t xml:space="preserve"> </w:t>
      </w:r>
      <w:r>
        <w:t xml:space="preserve">and weather data in real time, establishing the technical foundation for future</w:t>
      </w:r>
      <w:r>
        <w:t xml:space="preserve"> </w:t>
      </w:r>
      <w:r>
        <w:t xml:space="preserve">AeroFlux capabilities. Flight-delay prediction serves as the primary use case,</w:t>
      </w:r>
      <w:r>
        <w:t xml:space="preserve"> </w:t>
      </w:r>
      <w:r>
        <w:t xml:space="preserve">but the architecture is designed to support additional applications, including</w:t>
      </w:r>
      <w:r>
        <w:t xml:space="preserve"> </w:t>
      </w:r>
      <w:r>
        <w:t xml:space="preserve">congestion analysis, delay-propagation modeling, operational monitoring,</w:t>
      </w:r>
      <w:r>
        <w:t xml:space="preserve"> </w:t>
      </w:r>
      <w:r>
        <w:t xml:space="preserve">decision support, and agentic AI. Stage 1 established a historical</w:t>
      </w:r>
      <w:r>
        <w:t xml:space="preserve"> </w:t>
      </w:r>
      <w:r>
        <w:t xml:space="preserve">machine-learning pipeline and interactive prototype</w:t>
      </w:r>
      <w:r>
        <w:t xml:space="preserve"> </w:t>
      </w:r>
      <w:r>
        <w:t xml:space="preserve">(Wilson et al., 2026)</w:t>
      </w:r>
      <w:r>
        <w:t xml:space="preserve">;</w:t>
      </w:r>
      <w:r>
        <w:t xml:space="preserve"> </w:t>
      </w:r>
      <w:r>
        <w:t xml:space="preserve">this work extends that with a live data platform, baseline-vs-advanced model</w:t>
      </w:r>
      <w:r>
        <w:t xml:space="preserve"> </w:t>
      </w:r>
      <w:r>
        <w:t xml:space="preserve">comparison, cloud deployment, live-prediction evaluation, and an explainable</w:t>
      </w:r>
      <w:r>
        <w:t xml:space="preserve"> </w:t>
      </w:r>
      <w:r>
        <w:t xml:space="preserve">analyst agent prototype.</w:t>
      </w:r>
    </w:p>
    <w:bookmarkEnd w:id="12"/>
    <w:bookmarkStart w:id="13" w:name="technical-challenges"/>
    <w:p>
      <w:pPr>
        <w:pStyle w:val="Heading2"/>
      </w:pPr>
      <w:r>
        <w:t xml:space="preserve">1.4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3"/>
    <w:bookmarkEnd w:id="14"/>
    <w:bookmarkStart w:id="15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5"/>
    <w:bookmarkStart w:id="21" w:name="data-and-fusion"/>
    <w:p>
      <w:pPr>
        <w:pStyle w:val="Heading1"/>
      </w:pPr>
      <w:r>
        <w:t xml:space="preserve">3. Data and Fusion</w:t>
      </w:r>
    </w:p>
    <w:bookmarkStart w:id="17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16"/>
          <w:p/>
        </w:tc>
      </w:tr>
    </w:tbl>
    <w:bookmarkEnd w:id="17"/>
    <w:bookmarkStart w:id="20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19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0"/>
    <w:bookmarkEnd w:id="21"/>
    <w:bookmarkStart w:id="33" w:name="methods"/>
    <w:p>
      <w:pPr>
        <w:pStyle w:val="Heading1"/>
      </w:pPr>
      <w:r>
        <w:t xml:space="preserve">4. Methods</w:t>
      </w:r>
    </w:p>
    <w:bookmarkStart w:id="26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5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26"/>
    <w:bookmarkStart w:id="27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27"/>
    <w:bookmarkStart w:id="28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28"/>
    <w:bookmarkStart w:id="29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29"/>
    <w:bookmarkStart w:id="30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0"/>
    <w:bookmarkStart w:id="31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1"/>
    <w:bookmarkStart w:id="32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2"/>
    <w:bookmarkEnd w:id="33"/>
    <w:bookmarkStart w:id="39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5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4"/>
          <w:p/>
        </w:tc>
      </w:tr>
    </w:tbl>
    <w:bookmarkEnd w:id="35"/>
    <w:bookmarkStart w:id="36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36"/>
    <w:bookmarkStart w:id="37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37"/>
    <w:bookmarkStart w:id="38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38"/>
    <w:bookmarkEnd w:id="39"/>
    <w:bookmarkStart w:id="44" w:name="discussion"/>
    <w:p>
      <w:pPr>
        <w:pStyle w:val="Heading1"/>
      </w:pPr>
      <w:r>
        <w:t xml:space="preserve">6. Discussion</w:t>
      </w:r>
    </w:p>
    <w:bookmarkStart w:id="40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0"/>
    <w:bookmarkStart w:id="41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1"/>
    <w:bookmarkStart w:id="4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2"/>
    <w:bookmarkStart w:id="43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3"/>
    <w:bookmarkEnd w:id="44"/>
    <w:bookmarkStart w:id="46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47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49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49"/>
    <w:bookmarkStart w:id="51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1"/>
    <w:bookmarkStart w:id="53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https://www.airspace-intelligence.com/platform</w:t>
        </w:r>
      </w:hyperlink>
    </w:p>
    <w:bookmarkEnd w:id="53"/>
    <w:bookmarkStart w:id="54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4"/>
    <w:bookmarkStart w:id="56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https://amadeus.com/en/airlines/products/flight-operations-control</w:t>
        </w:r>
      </w:hyperlink>
    </w:p>
    <w:bookmarkEnd w:id="56"/>
    <w:bookmarkStart w:id="58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https://www.assaia.com/solutions/apron-ai</w:t>
        </w:r>
      </w:hyperlink>
    </w:p>
    <w:bookmarkEnd w:id="58"/>
    <w:bookmarkStart w:id="59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59"/>
    <w:bookmarkStart w:id="60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0"/>
    <w:bookmarkStart w:id="62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2"/>
    <w:bookmarkStart w:id="64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3">
        <w:r>
          <w:rPr>
            <w:rStyle w:val="Hyperlink"/>
          </w:rPr>
          <w:t xml:space="preserve">https://www.faa.gov/air_traffic/technology/tfdm/capabilities</w:t>
        </w:r>
      </w:hyperlink>
    </w:p>
    <w:bookmarkEnd w:id="64"/>
    <w:bookmarkStart w:id="66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5">
        <w:r>
          <w:rPr>
            <w:rStyle w:val="Hyperlink"/>
          </w:rPr>
          <w:t xml:space="preserve">https://www.faa.gov/media/82891</w:t>
        </w:r>
      </w:hyperlink>
    </w:p>
    <w:bookmarkEnd w:id="66"/>
    <w:bookmarkStart w:id="68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68"/>
    <w:bookmarkStart w:id="70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69">
        <w:r>
          <w:rPr>
            <w:rStyle w:val="Hyperlink"/>
          </w:rPr>
          <w:t xml:space="preserve">https://www.faa.gov/newsroom/nextgen</w:t>
        </w:r>
      </w:hyperlink>
    </w:p>
    <w:bookmarkEnd w:id="70"/>
    <w:bookmarkStart w:id="72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https://uk.flightaware.com/commercial/foresight/</w:t>
        </w:r>
      </w:hyperlink>
    </w:p>
    <w:bookmarkEnd w:id="72"/>
    <w:bookmarkStart w:id="73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3"/>
    <w:bookmarkStart w:id="75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https://doi.org/10.2514/6.2024-4011</w:t>
        </w:r>
      </w:hyperlink>
    </w:p>
    <w:bookmarkEnd w:id="75"/>
    <w:bookmarkStart w:id="77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77"/>
    <w:bookmarkStart w:id="79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78">
        <w:r>
          <w:rPr>
            <w:rStyle w:val="Hyperlink"/>
          </w:rPr>
          <w:t xml:space="preserve">https://github.com/nasa/atd2-fuser</w:t>
        </w:r>
      </w:hyperlink>
    </w:p>
    <w:bookmarkEnd w:id="79"/>
    <w:bookmarkStart w:id="81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1"/>
    <w:bookmarkStart w:id="83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3"/>
    <w:bookmarkStart w:id="85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5"/>
    <w:bookmarkStart w:id="87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87"/>
    <w:bookmarkStart w:id="89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https://doi.org/10.2514/6.2026-1794</w:t>
        </w:r>
      </w:hyperlink>
    </w:p>
    <w:bookmarkEnd w:id="89"/>
    <w:bookmarkStart w:id="91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1"/>
    <w:bookmarkStart w:id="92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2"/>
    <w:bookmarkStart w:id="94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https://doi.org/10.48550/arXiv.2605.07364</w:t>
        </w:r>
      </w:hyperlink>
    </w:p>
    <w:bookmarkEnd w:id="94"/>
    <w:bookmarkStart w:id="96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https://arxiv.org/abs/1703.06118</w:t>
        </w:r>
      </w:hyperlink>
    </w:p>
    <w:bookmarkEnd w:id="96"/>
    <w:bookmarkStart w:id="98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https://jonathanwilsonami.github.io/OR568_ML_Project/</w:t>
        </w:r>
      </w:hyperlink>
    </w:p>
    <w:bookmarkEnd w:id="98"/>
    <w:bookmarkStart w:id="99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</dc:creator>
  <cp:keywords/>
  <dcterms:created xsi:type="dcterms:W3CDTF">2026-08-15T15:26:53Z</dcterms:created>
  <dcterms:modified xsi:type="dcterms:W3CDTF">2026-08-15T15:26:53Z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August 20,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