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Date"/>
      </w:pPr>
      <w:r>
        <w:t xml:space="preserve">August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9"/>
    <w:bookmarkStart w:id="1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3" w:name="problem-statement"/>
    <w:p>
      <w:pPr>
        <w:pStyle w:val="Heading2"/>
      </w:pPr>
      <w:r>
        <w:t xml:space="preserve">1.1 Problem Statement</w:t>
      </w:r>
    </w:p>
    <w:bookmarkStart w:id="10" w:name="X365d72b8b52dc4ed766fb88d4ec525d91688ef5"/>
    <w:p>
      <w:pPr>
        <w:pStyle w:val="Heading3"/>
      </w:pPr>
      <w:r>
        <w:t xml:space="preserve">1.1.1 The Problem: Cascading Failure in Tightly-Coupled Systems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flight delay</w:t>
      </w:r>
      <w:r>
        <w:t xml:space="preserve"> </w:t>
      </w:r>
      <w:r>
        <w:t xml:space="preserve">— an arrival later than scheduled, conventionally by 15 or</w:t>
      </w:r>
      <w:r>
        <w:t xml:space="preserve"> </w:t>
      </w:r>
      <w:r>
        <w:t xml:space="preserve">more minutes — is rarely an isolated event. Aircraft fly sequential legs, so a</w:t>
      </w:r>
      <w:r>
        <w:t xml:space="preserve"> </w:t>
      </w:r>
      <w:r>
        <w:t xml:space="preserve">late inbound flight delays its own next departure (</w:t>
      </w:r>
      <w:r>
        <w:rPr>
          <w:b/>
          <w:bCs/>
        </w:rPr>
        <w:t xml:space="preserve">rotational propagation</w:t>
      </w:r>
      <w:r>
        <w:t xml:space="preserve">);</w:t>
      </w:r>
      <w:r>
        <w:t xml:space="preserve"> </w:t>
      </w:r>
      <w:r>
        <w:t xml:space="preserve">airports have finite runway and gate capacity, so congestion at one flight’s</w:t>
      </w:r>
      <w:r>
        <w:t xml:space="preserve"> </w:t>
      </w:r>
      <w:r>
        <w:t xml:space="preserve">origin ripples to every flight sharing that resource (</w:t>
      </w:r>
      <w:r>
        <w:rPr>
          <w:b/>
          <w:bCs/>
        </w:rPr>
        <w:t xml:space="preserve">queue propagation</w:t>
      </w:r>
      <w:r>
        <w:t xml:space="preserve">).</w:t>
      </w:r>
      <w:r>
        <w:t xml:space="preserve"> </w:t>
      </w:r>
      <w:r>
        <w:t xml:space="preserve">Through these mechanisms, a single local disturbance becomes a network-wide</w:t>
      </w:r>
      <w:r>
        <w:t xml:space="preserve"> </w:t>
      </w:r>
      <w:r>
        <w:t xml:space="preserve">disruption. This is</w:t>
      </w:r>
      <w:r>
        <w:t xml:space="preserve"> </w:t>
      </w:r>
      <w:r>
        <w:rPr>
          <w:b/>
          <w:bCs/>
        </w:rPr>
        <w:t xml:space="preserve">delay propagation</w:t>
      </w:r>
      <w:r>
        <w:t xml:space="preserve">, and it matters operationally because</w:t>
      </w:r>
      <w:r>
        <w:t xml:space="preserve"> </w:t>
      </w:r>
      <w:r>
        <w:t xml:space="preserve">the window to act on a disruption closes as it spreads — by the time a cascade</w:t>
      </w:r>
      <w:r>
        <w:t xml:space="preserve"> </w:t>
      </w:r>
      <w:r>
        <w:t xml:space="preserve">is visible in aggregate, the cheapest interventions are already gone.</w:t>
      </w:r>
    </w:p>
    <w:p>
      <w:pPr>
        <w:pStyle w:val="BodyText"/>
      </w:pPr>
      <w:r>
        <w:t xml:space="preserve">Compounding this, live operational data arrives as</w:t>
      </w:r>
      <w:r>
        <w:t xml:space="preserve"> </w:t>
      </w:r>
      <w:r>
        <w:rPr>
          <w:b/>
          <w:bCs/>
        </w:rPr>
        <w:t xml:space="preserve">heterogeneous, imperfect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— FAA SWIM flight messages, ADS-B aircraft positions, weather</w:t>
      </w:r>
      <w:r>
        <w:t xml:space="preserve"> </w:t>
      </w:r>
      <w:r>
        <w:t xml:space="preserve">observations — that share no universal key and are measured differently from the</w:t>
      </w:r>
      <w:r>
        <w:t xml:space="preserve"> </w:t>
      </w:r>
      <w:r>
        <w:t xml:space="preserve">historical records used to train models (</w:t>
      </w:r>
      <w:r>
        <w:rPr>
          <w:b/>
          <w:bCs/>
        </w:rPr>
        <w:t xml:space="preserve">distribution shift</w:t>
      </w:r>
      <w:r>
        <w:t xml:space="preserve">). Fusing these</w:t>
      </w:r>
      <w:r>
        <w:t xml:space="preserve"> </w:t>
      </w:r>
      <w:r>
        <w:t xml:space="preserve">into a single, queryable operational view requires backward-looking temporal</w:t>
      </w:r>
      <w:r>
        <w:t xml:space="preserve"> </w:t>
      </w:r>
      <w:r>
        <w:t xml:space="preserve">joins, UTC normalization, spatial matching, and entity resolution across systems</w:t>
      </w:r>
      <w:r>
        <w:t xml:space="preserve"> </w:t>
      </w:r>
      <w:r>
        <w:t xml:space="preserve">that don’t agree on identity. This is the same class of real-time,</w:t>
      </w:r>
      <w:r>
        <w:t xml:space="preserve"> </w:t>
      </w:r>
      <w:r>
        <w:t xml:space="preserve">multi-sensor data-fusion problem now central to edge AI, autonomy, and robotics:</w:t>
      </w:r>
      <w:r>
        <w:t xml:space="preserve"> </w:t>
      </w:r>
      <w:r>
        <w:t xml:space="preserve">large, fast, noisy signals that must be fused and reasoned over in real time.</w:t>
      </w:r>
    </w:p>
    <w:bookmarkEnd w:id="10"/>
    <w:bookmarkStart w:id="11" w:name="contribution"/>
    <w:p>
      <w:pPr>
        <w:pStyle w:val="Heading3"/>
      </w:pPr>
      <w:r>
        <w:t xml:space="preserve">1.1.2 Contribution</w:t>
      </w:r>
    </w:p>
    <w:p>
      <w:pPr>
        <w:pStyle w:val="FirstParagraph"/>
      </w:pPr>
      <w:r>
        <w:t xml:space="preserve">Complex systems fail when disruptions propagate faster than their defenses can</w:t>
      </w:r>
      <w:r>
        <w:t xml:space="preserve"> </w:t>
      </w:r>
      <w:r>
        <w:t xml:space="preserve">adapt. Reason’s Swiss Cheese model frames accidents as the momentary alignment</w:t>
      </w:r>
      <w:r>
        <w:t xml:space="preserve"> </w:t>
      </w:r>
      <w:r>
        <w:t xml:space="preserve">of holes across successive layers of defense — but the classic model is static.</w:t>
      </w:r>
      <w:r>
        <w:t xml:space="preserve"> </w:t>
      </w:r>
      <w:r>
        <w:t xml:space="preserve">It names the holes; it does not show which are aligning, or how fast. In a</w:t>
      </w:r>
      <w:r>
        <w:t xml:space="preserve"> </w:t>
      </w:r>
      <w:r>
        <w:t xml:space="preserve">live, tightly-coupled system, the holes are</w:t>
      </w:r>
      <w:r>
        <w:t xml:space="preserve"> </w:t>
      </w:r>
      <w:r>
        <w:rPr>
          <w:i/>
          <w:iCs/>
        </w:rPr>
        <w:t xml:space="preserve">moving</w:t>
      </w:r>
      <w:r>
        <w:t xml:space="preserve">.</w:t>
      </w:r>
    </w:p>
    <w:p>
      <w:pPr>
        <w:pStyle w:val="BodyText"/>
      </w:pPr>
      <w:r>
        <w:t xml:space="preserve">AeroFlux’s contribution is a</w:t>
      </w:r>
      <w:r>
        <w:t xml:space="preserve"> </w:t>
      </w:r>
      <w:r>
        <w:rPr>
          <w:b/>
          <w:bCs/>
        </w:rPr>
        <w:t xml:space="preserve">dynamic defensive layer</w:t>
      </w:r>
      <w:r>
        <w:t xml:space="preserve">: one that fuses live</w:t>
      </w:r>
      <w:r>
        <w:t xml:space="preserve"> </w:t>
      </w:r>
      <w:r>
        <w:t xml:space="preserve">signals to see the holes forming, predicts their alignment, and gives operators</w:t>
      </w:r>
      <w:r>
        <w:t xml:space="preserve"> </w:t>
      </w:r>
      <w:r>
        <w:t xml:space="preserve">time to act. Concretely, this means (1) real-time fusion of heterogeneous</w:t>
      </w:r>
      <w:r>
        <w:t xml:space="preserve"> </w:t>
      </w:r>
      <w:r>
        <w:t xml:space="preserve">aviation and weather streams into a canonical, propagation-aware per-flight</w:t>
      </w:r>
      <w:r>
        <w:t xml:space="preserve"> </w:t>
      </w:r>
      <w:r>
        <w:t xml:space="preserve">state; (2) predictive modeling of emerging delay risk with the network context</w:t>
      </w:r>
      <w:r>
        <w:t xml:space="preserve"> </w:t>
      </w:r>
      <w:r>
        <w:t xml:space="preserve">(rotation, demand, weather) that drives propagation; and (3) an explainable</w:t>
      </w:r>
      <w:r>
        <w:t xml:space="preserve"> </w:t>
      </w:r>
      <w:r>
        <w:t xml:space="preserve">analyst layer that makes those predictions inspectable in natural language.</w:t>
      </w:r>
    </w:p>
    <w:p>
      <w:pPr>
        <w:pStyle w:val="BodyText"/>
      </w:pPr>
      <w:r>
        <w:t xml:space="preserve">We use the U.S. National Airspace System as a</w:t>
      </w:r>
      <w:r>
        <w:t xml:space="preserve"> </w:t>
      </w:r>
      <w:r>
        <w:rPr>
          <w:b/>
          <w:bCs/>
        </w:rPr>
        <w:t xml:space="preserve">proving ground</w:t>
      </w:r>
      <w:r>
        <w:t xml:space="preserve">. Flight delay</w:t>
      </w:r>
      <w:r>
        <w:t xml:space="preserve"> </w:t>
      </w:r>
      <w:r>
        <w:t xml:space="preserve">was chosen deliberately — not because it is unsolved, but because it is</w:t>
      </w:r>
      <w:r>
        <w:t xml:space="preserve"> </w:t>
      </w:r>
      <w:r>
        <w:t xml:space="preserve">well-studied, has abundant public ground truth, and keeps prediction errors</w:t>
      </w:r>
      <w:r>
        <w:t xml:space="preserve"> </w:t>
      </w:r>
      <w:r>
        <w:t xml:space="preserve">low-stakes, giving rapid feedback for developing and validating methods. The</w:t>
      </w:r>
      <w:r>
        <w:t xml:space="preserve"> </w:t>
      </w:r>
      <w:r>
        <w:t xml:space="preserve">delay problem is the instance; the contribution is the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— a</w:t>
      </w:r>
      <w:r>
        <w:t xml:space="preserve"> </w:t>
      </w:r>
      <w:r>
        <w:t xml:space="preserve">real-time, network-aware intelligence layer for anticipating cascading</w:t>
      </w:r>
      <w:r>
        <w:t xml:space="preserve"> </w:t>
      </w:r>
      <w:r>
        <w:t xml:space="preserve">consequences in tightly-coupled systems — which is designed to extend to other</w:t>
      </w:r>
      <w:r>
        <w:t xml:space="preserve"> </w:t>
      </w:r>
      <w:r>
        <w:t xml:space="preserve">safety-critical cyber-physical domains.</w:t>
      </w:r>
    </w:p>
    <w:bookmarkEnd w:id="11"/>
    <w:bookmarkStart w:id="12" w:name="scope-and-vision"/>
    <w:p>
      <w:pPr>
        <w:pStyle w:val="Heading3"/>
      </w:pPr>
      <w:r>
        <w:t xml:space="preserve">1.1.3 Scope and Vision</w:t>
      </w:r>
    </w:p>
    <w:p>
      <w:pPr>
        <w:pStyle w:val="FirstParagraph"/>
      </w:pPr>
      <w:r>
        <w:t xml:space="preserve">This stage focused primarily on building the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such a layer</w:t>
      </w:r>
      <w:r>
        <w:t xml:space="preserve"> </w:t>
      </w:r>
      <w:r>
        <w:t xml:space="preserve">requires: portable real-time ingestion and fusion, a train/serve-consistent</w:t>
      </w:r>
      <w:r>
        <w:t xml:space="preserve"> </w:t>
      </w:r>
      <w:r>
        <w:t xml:space="preserve">feature pipeline, cloud-backed serving, live evaluation, and an explainable</w:t>
      </w:r>
      <w:r>
        <w:t xml:space="preserve"> </w:t>
      </w:r>
      <w:r>
        <w:t xml:space="preserve">agent. It is foundation, not final form.</w:t>
      </w:r>
    </w:p>
    <w:p>
      <w:pPr>
        <w:pStyle w:val="BodyText"/>
      </w:pPr>
      <w:r>
        <w:t xml:space="preserve">The longer-term vision is cyber-physical situational awareness for complex</w:t>
      </w:r>
      <w:r>
        <w:t xml:space="preserve"> </w:t>
      </w:r>
      <w:r>
        <w:t xml:space="preserve">adaptive systems — emphasizing data fusion, propagation modeling, downstream-</w:t>
      </w:r>
      <w:r>
        <w:t xml:space="preserve"> </w:t>
      </w:r>
      <w:r>
        <w:t xml:space="preserve">effect reasoning, and decision intelligence. Natural next directions include</w:t>
      </w:r>
      <w:r>
        <w:t xml:space="preserve"> </w:t>
      </w:r>
      <w:r>
        <w:t xml:space="preserve">network-aware simulation, an operational digital twin of the airspace, and</w:t>
      </w:r>
      <w:r>
        <w:t xml:space="preserve"> </w:t>
      </w:r>
      <w:r>
        <w:t xml:space="preserve">agentic reasoning over fused state; further out, the same fusion-and-propagation</w:t>
      </w:r>
      <w:r>
        <w:t xml:space="preserve"> </w:t>
      </w:r>
      <w:r>
        <w:t xml:space="preserve">core could extend beyond aviation toward a multi-domain autonomy and</w:t>
      </w:r>
      <w:r>
        <w:t xml:space="preserve"> </w:t>
      </w:r>
      <w:r>
        <w:t xml:space="preserve">decision-support layer. We hold these directions as directions, not commitments —</w:t>
      </w:r>
      <w:r>
        <w:t xml:space="preserve"> </w:t>
      </w:r>
      <w:r>
        <w:t xml:space="preserve">broad, foundational work of this kind is most valuable when it leaves room for</w:t>
      </w:r>
      <w:r>
        <w:t xml:space="preserve"> </w:t>
      </w:r>
      <w:r>
        <w:t xml:space="preserve">the solution space to reveal where it should go next.</w:t>
      </w:r>
    </w:p>
    <w:p>
      <w:pPr>
        <w:pStyle w:val="BodyText"/>
      </w:pPr>
      <w:r>
        <w:rPr>
          <w:b/>
          <w:bCs/>
        </w:rPr>
        <w:t xml:space="preserve">Positioning.</w:t>
      </w:r>
      <w:r>
        <w:t xml:space="preserve"> </w:t>
      </w:r>
      <w:r>
        <w:t xml:space="preserve">AeroFlux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replacement for certified</w:t>
      </w:r>
      <w:r>
        <w:t xml:space="preserve"> </w:t>
      </w:r>
      <w:r>
        <w:t xml:space="preserve">collision-avoidance (ACAS/ATAS), air traffic control, or pilot tools. It is a</w:t>
      </w:r>
      <w:r>
        <w:t xml:space="preserve"> </w:t>
      </w:r>
      <w:r>
        <w:t xml:space="preserve">higher-level, pre-tactical</w:t>
      </w:r>
      <w:r>
        <w:t xml:space="preserve"> </w:t>
      </w:r>
      <w:r>
        <w:rPr>
          <w:b/>
          <w:bCs/>
        </w:rPr>
        <w:t xml:space="preserve">fusion, simulation, and decision-support layer</w:t>
      </w:r>
      <w:r>
        <w:t xml:space="preserve"> </w:t>
      </w:r>
      <w:r>
        <w:t xml:space="preserve">that complements them — turning operations from reactive to anticipatory rather</w:t>
      </w:r>
      <w:r>
        <w:t xml:space="preserve"> </w:t>
      </w:r>
      <w:r>
        <w:t xml:space="preserve">than intervening in the tactical safety loop.</w:t>
      </w:r>
    </w:p>
    <w:bookmarkEnd w:id="12"/>
    <w:bookmarkEnd w:id="13"/>
    <w:bookmarkStart w:id="14" w:name="technical-challenges"/>
    <w:p>
      <w:pPr>
        <w:pStyle w:val="Heading2"/>
      </w:pPr>
      <w:r>
        <w:t xml:space="preserve">1.2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4"/>
    <w:bookmarkEnd w:id="15"/>
    <w:bookmarkStart w:id="16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6"/>
    <w:bookmarkStart w:id="22" w:name="data-and-fusion"/>
    <w:p>
      <w:pPr>
        <w:pStyle w:val="Heading1"/>
      </w:pPr>
      <w:r>
        <w:t xml:space="preserve">3. Data and Fusion</w:t>
      </w:r>
    </w:p>
    <w:bookmarkStart w:id="18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17"/>
          <w:p/>
        </w:tc>
      </w:tr>
    </w:tbl>
    <w:bookmarkEnd w:id="18"/>
    <w:bookmarkStart w:id="21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20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1"/>
    <w:bookmarkEnd w:id="22"/>
    <w:bookmarkStart w:id="34" w:name="methods"/>
    <w:p>
      <w:pPr>
        <w:pStyle w:val="Heading1"/>
      </w:pPr>
      <w:r>
        <w:t xml:space="preserve">4. Methods</w:t>
      </w:r>
    </w:p>
    <w:bookmarkStart w:id="27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6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27"/>
    <w:bookmarkStart w:id="28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28"/>
    <w:bookmarkStart w:id="29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29"/>
    <w:bookmarkStart w:id="30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30"/>
    <w:bookmarkStart w:id="31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1"/>
    <w:bookmarkStart w:id="32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2"/>
    <w:bookmarkStart w:id="33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3"/>
    <w:bookmarkEnd w:id="34"/>
    <w:bookmarkStart w:id="40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6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37"/>
    <w:bookmarkStart w:id="38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38"/>
    <w:bookmarkStart w:id="39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39"/>
    <w:bookmarkEnd w:id="40"/>
    <w:bookmarkStart w:id="45" w:name="discussion"/>
    <w:p>
      <w:pPr>
        <w:pStyle w:val="Heading1"/>
      </w:pPr>
      <w:r>
        <w:t xml:space="preserve">6. Discussion</w:t>
      </w:r>
    </w:p>
    <w:bookmarkStart w:id="41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1"/>
    <w:bookmarkStart w:id="42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2"/>
    <w:bookmarkStart w:id="43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3"/>
    <w:bookmarkStart w:id="44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4"/>
    <w:bookmarkEnd w:id="45"/>
    <w:bookmarkStart w:id="47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6"/>
          <w:p/>
        </w:tc>
      </w:tr>
    </w:tbl>
    <w:bookmarkEnd w:id="47"/>
    <w:bookmarkStart w:id="48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48"/>
    <w:bookmarkStart w:id="100" w:name="references"/>
    <w:p>
      <w:pPr>
        <w:pStyle w:val="Heading1"/>
      </w:pPr>
      <w:r>
        <w:t xml:space="preserve">References</w:t>
      </w:r>
    </w:p>
    <w:bookmarkStart w:id="99" w:name="refs"/>
    <w:bookmarkStart w:id="50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50"/>
    <w:bookmarkStart w:id="52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2"/>
    <w:bookmarkStart w:id="54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https://www.airspace-intelligence.com/platform</w:t>
        </w:r>
      </w:hyperlink>
    </w:p>
    <w:bookmarkEnd w:id="54"/>
    <w:bookmarkStart w:id="55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5"/>
    <w:bookmarkStart w:id="57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https://amadeus.com/en/airlines/products/flight-operations-control</w:t>
        </w:r>
      </w:hyperlink>
    </w:p>
    <w:bookmarkEnd w:id="57"/>
    <w:bookmarkStart w:id="59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https://www.assaia.com/solutions/apron-ai</w:t>
        </w:r>
      </w:hyperlink>
    </w:p>
    <w:bookmarkEnd w:id="59"/>
    <w:bookmarkStart w:id="60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60"/>
    <w:bookmarkStart w:id="61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1"/>
    <w:bookmarkStart w:id="63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3"/>
    <w:bookmarkStart w:id="65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4">
        <w:r>
          <w:rPr>
            <w:rStyle w:val="Hyperlink"/>
          </w:rPr>
          <w:t xml:space="preserve">https://www.faa.gov/air_traffic/technology/tfdm/capabilities</w:t>
        </w:r>
      </w:hyperlink>
    </w:p>
    <w:bookmarkEnd w:id="65"/>
    <w:bookmarkStart w:id="67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6">
        <w:r>
          <w:rPr>
            <w:rStyle w:val="Hyperlink"/>
          </w:rPr>
          <w:t xml:space="preserve">https://www.faa.gov/media/82891</w:t>
        </w:r>
      </w:hyperlink>
    </w:p>
    <w:bookmarkEnd w:id="67"/>
    <w:bookmarkStart w:id="69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69"/>
    <w:bookmarkStart w:id="71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70">
        <w:r>
          <w:rPr>
            <w:rStyle w:val="Hyperlink"/>
          </w:rPr>
          <w:t xml:space="preserve">https://www.faa.gov/newsroom/nextgen</w:t>
        </w:r>
      </w:hyperlink>
    </w:p>
    <w:bookmarkEnd w:id="71"/>
    <w:bookmarkStart w:id="73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https://uk.flightaware.com/commercial/foresight/</w:t>
        </w:r>
      </w:hyperlink>
    </w:p>
    <w:bookmarkEnd w:id="73"/>
    <w:bookmarkStart w:id="74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4"/>
    <w:bookmarkStart w:id="76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https://doi.org/10.2514/6.2024-4011</w:t>
        </w:r>
      </w:hyperlink>
    </w:p>
    <w:bookmarkEnd w:id="76"/>
    <w:bookmarkStart w:id="78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78"/>
    <w:bookmarkStart w:id="80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79">
        <w:r>
          <w:rPr>
            <w:rStyle w:val="Hyperlink"/>
          </w:rPr>
          <w:t xml:space="preserve">https://github.com/nasa/atd2-fuser</w:t>
        </w:r>
      </w:hyperlink>
    </w:p>
    <w:bookmarkEnd w:id="80"/>
    <w:bookmarkStart w:id="82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2"/>
    <w:bookmarkStart w:id="84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4"/>
    <w:bookmarkStart w:id="86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6"/>
    <w:bookmarkStart w:id="88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88"/>
    <w:bookmarkStart w:id="90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https://doi.org/10.2514/6.2026-1794</w:t>
        </w:r>
      </w:hyperlink>
    </w:p>
    <w:bookmarkEnd w:id="90"/>
    <w:bookmarkStart w:id="92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2"/>
    <w:bookmarkStart w:id="93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3"/>
    <w:bookmarkStart w:id="95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https://doi.org/10.48550/arXiv.2605.07364</w:t>
        </w:r>
      </w:hyperlink>
    </w:p>
    <w:bookmarkEnd w:id="95"/>
    <w:bookmarkStart w:id="97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https://arxiv.org/abs/1703.06118</w:t>
        </w:r>
      </w:hyperlink>
    </w:p>
    <w:bookmarkEnd w:id="97"/>
    <w:bookmarkStart w:id="98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51" Target="https://airplanes.live/api-guide/" TargetMode="External" /><Relationship Type="http://schemas.openxmlformats.org/officeDocument/2006/relationships/hyperlink" Id="rId56" Target="https://amadeus.com/en/airlines/products/flight-operations-control" TargetMode="External" /><Relationship Type="http://schemas.openxmlformats.org/officeDocument/2006/relationships/hyperlink" Id="rId49" Target="https://api.adsb.lol/docs" TargetMode="External" /><Relationship Type="http://schemas.openxmlformats.org/officeDocument/2006/relationships/hyperlink" Id="rId96" Target="https://arxiv.org/abs/1703.06118" TargetMode="External" /><Relationship Type="http://schemas.openxmlformats.org/officeDocument/2006/relationships/hyperlink" Id="rId83" Target="https://aviationweather.gov/data/api/" TargetMode="External" /><Relationship Type="http://schemas.openxmlformats.org/officeDocument/2006/relationships/hyperlink" Id="rId77" Target="https://cdn.lhsystems.com/2025-02/2025_02_Product_information_NetLine_Ops_%2B%2B_aiOCC.pdf" TargetMode="External" /><Relationship Type="http://schemas.openxmlformats.org/officeDocument/2006/relationships/hyperlink" Id="rId75" Target="https://doi.org/10.2514/6.2024-4011" TargetMode="External" /><Relationship Type="http://schemas.openxmlformats.org/officeDocument/2006/relationships/hyperlink" Id="rId89" Target="https://doi.org/10.2514/6.2026-1794" TargetMode="External" /><Relationship Type="http://schemas.openxmlformats.org/officeDocument/2006/relationships/hyperlink" Id="rId94" Target="https://doi.org/10.48550/arXiv.2605.07364" TargetMode="External" /><Relationship Type="http://schemas.openxmlformats.org/officeDocument/2006/relationships/hyperlink" Id="rId79" Target="https://github.com/nasa/atd2-fuser" TargetMode="External" /><Relationship Type="http://schemas.openxmlformats.org/officeDocument/2006/relationships/hyperlink" Id="rId85" Target="https://openflights.org/data.html" TargetMode="External" /><Relationship Type="http://schemas.openxmlformats.org/officeDocument/2006/relationships/hyperlink" Id="rId87" Target="https://ourairports.com/data/" TargetMode="External" /><Relationship Type="http://schemas.openxmlformats.org/officeDocument/2006/relationships/hyperlink" Id="rId72" Target="https://uk.flightaware.com/commercial/foresight/" TargetMode="External" /><Relationship Type="http://schemas.openxmlformats.org/officeDocument/2006/relationships/hyperlink" Id="rId53" Target="https://www.airspace-intelligence.com/platform" TargetMode="External" /><Relationship Type="http://schemas.openxmlformats.org/officeDocument/2006/relationships/hyperlink" Id="rId58" Target="https://www.assaia.com/solutions/apron-ai" TargetMode="External" /><Relationship Type="http://schemas.openxmlformats.org/officeDocument/2006/relationships/hyperlink" Id="rId68" Target="https://www.faa.gov/air_traffic/technology/swim" TargetMode="External" /><Relationship Type="http://schemas.openxmlformats.org/officeDocument/2006/relationships/hyperlink" Id="rId64" Target="https://www.faa.gov/air_traffic/technology/tfdm/capabilities" TargetMode="External" /><Relationship Type="http://schemas.openxmlformats.org/officeDocument/2006/relationships/hyperlink" Id="rId66" Target="https://www.faa.gov/media/82891" TargetMode="External" /><Relationship Type="http://schemas.openxmlformats.org/officeDocument/2006/relationships/hyperlink" Id="rId70" Target="https://www.faa.gov/newsroom/nextgen" TargetMode="External" /><Relationship Type="http://schemas.openxmlformats.org/officeDocument/2006/relationships/hyperlink" Id="rId81" Target="https://www.ncei.noaa.gov/products/land-based-station/integrated-surface-database" TargetMode="External" /><Relationship Type="http://schemas.openxmlformats.org/officeDocument/2006/relationships/hyperlink" Id="rId91" Target="https://www.sabre.com/airline-mosaic/service-suite/disruption-management/" TargetMode="External" /><Relationship Type="http://schemas.openxmlformats.org/officeDocument/2006/relationships/hyperlink" Id="rId62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irplanes.live/api-guide/" TargetMode="External" /><Relationship Type="http://schemas.openxmlformats.org/officeDocument/2006/relationships/hyperlink" Id="rId56" Target="https://amadeus.com/en/airlines/products/flight-operations-control" TargetMode="External" /><Relationship Type="http://schemas.openxmlformats.org/officeDocument/2006/relationships/hyperlink" Id="rId49" Target="https://api.adsb.lol/docs" TargetMode="External" /><Relationship Type="http://schemas.openxmlformats.org/officeDocument/2006/relationships/hyperlink" Id="rId96" Target="https://arxiv.org/abs/1703.06118" TargetMode="External" /><Relationship Type="http://schemas.openxmlformats.org/officeDocument/2006/relationships/hyperlink" Id="rId83" Target="https://aviationweather.gov/data/api/" TargetMode="External" /><Relationship Type="http://schemas.openxmlformats.org/officeDocument/2006/relationships/hyperlink" Id="rId77" Target="https://cdn.lhsystems.com/2025-02/2025_02_Product_information_NetLine_Ops_%2B%2B_aiOCC.pdf" TargetMode="External" /><Relationship Type="http://schemas.openxmlformats.org/officeDocument/2006/relationships/hyperlink" Id="rId75" Target="https://doi.org/10.2514/6.2024-4011" TargetMode="External" /><Relationship Type="http://schemas.openxmlformats.org/officeDocument/2006/relationships/hyperlink" Id="rId89" Target="https://doi.org/10.2514/6.2026-1794" TargetMode="External" /><Relationship Type="http://schemas.openxmlformats.org/officeDocument/2006/relationships/hyperlink" Id="rId94" Target="https://doi.org/10.48550/arXiv.2605.07364" TargetMode="External" /><Relationship Type="http://schemas.openxmlformats.org/officeDocument/2006/relationships/hyperlink" Id="rId79" Target="https://github.com/nasa/atd2-fuser" TargetMode="External" /><Relationship Type="http://schemas.openxmlformats.org/officeDocument/2006/relationships/hyperlink" Id="rId85" Target="https://openflights.org/data.html" TargetMode="External" /><Relationship Type="http://schemas.openxmlformats.org/officeDocument/2006/relationships/hyperlink" Id="rId87" Target="https://ourairports.com/data/" TargetMode="External" /><Relationship Type="http://schemas.openxmlformats.org/officeDocument/2006/relationships/hyperlink" Id="rId72" Target="https://uk.flightaware.com/commercial/foresight/" TargetMode="External" /><Relationship Type="http://schemas.openxmlformats.org/officeDocument/2006/relationships/hyperlink" Id="rId53" Target="https://www.airspace-intelligence.com/platform" TargetMode="External" /><Relationship Type="http://schemas.openxmlformats.org/officeDocument/2006/relationships/hyperlink" Id="rId58" Target="https://www.assaia.com/solutions/apron-ai" TargetMode="External" /><Relationship Type="http://schemas.openxmlformats.org/officeDocument/2006/relationships/hyperlink" Id="rId68" Target="https://www.faa.gov/air_traffic/technology/swim" TargetMode="External" /><Relationship Type="http://schemas.openxmlformats.org/officeDocument/2006/relationships/hyperlink" Id="rId64" Target="https://www.faa.gov/air_traffic/technology/tfdm/capabilities" TargetMode="External" /><Relationship Type="http://schemas.openxmlformats.org/officeDocument/2006/relationships/hyperlink" Id="rId66" Target="https://www.faa.gov/media/82891" TargetMode="External" /><Relationship Type="http://schemas.openxmlformats.org/officeDocument/2006/relationships/hyperlink" Id="rId70" Target="https://www.faa.gov/newsroom/nextgen" TargetMode="External" /><Relationship Type="http://schemas.openxmlformats.org/officeDocument/2006/relationships/hyperlink" Id="rId81" Target="https://www.ncei.noaa.gov/products/land-based-station/integrated-surface-database" TargetMode="External" /><Relationship Type="http://schemas.openxmlformats.org/officeDocument/2006/relationships/hyperlink" Id="rId91" Target="https://www.sabre.com/airline-mosaic/service-suite/disruption-management/" TargetMode="External" /><Relationship Type="http://schemas.openxmlformats.org/officeDocument/2006/relationships/hyperlink" Id="rId62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</dc:creator>
  <cp:keywords/>
  <dcterms:created xsi:type="dcterms:W3CDTF">2026-08-16T14:27:26Z</dcterms:created>
  <dcterms:modified xsi:type="dcterms:W3CDTF">2026-08-16T14:27:26Z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August 20,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