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Formal Project Proposal</w:t>
      </w:r>
    </w:p>
    <w:p>
      <w:pPr>
        <w:pStyle w:val="Author"/>
      </w:pPr>
      <w:r>
        <w:t xml:space="preserve">Jonathan Wilson</w:t>
      </w:r>
    </w:p>
    <w:p>
      <w:pPr>
        <w:pStyle w:val="Date"/>
      </w:pPr>
      <w:r>
        <w:t xml:space="preserve">2026-07-18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 Existing airline and airport tools remain</w:t>
      </w:r>
      <w:r>
        <w:t xml:space="preserve"> </w:t>
      </w:r>
      <w:r>
        <w:t xml:space="preserve">largely retrospective or single-source, reporting delays after they occur rather</w:t>
      </w:r>
      <w:r>
        <w:t xml:space="preserve"> </w:t>
      </w:r>
      <w:r>
        <w:t xml:space="preserve">than anticipating them from the live state of the airspace.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AeroFlux Stage 2 builds a</w:t>
      </w:r>
      <w:r>
        <w:t xml:space="preserve"> </w:t>
      </w:r>
      <w:r>
        <w:rPr>
          <w:i/>
          <w:iCs/>
        </w:rPr>
        <w:t xml:space="preserve">scalable, modular, configurable, portable,</w:t>
      </w:r>
      <w:r>
        <w:rPr>
          <w:i/>
          <w:iCs/>
        </w:rPr>
        <w:t xml:space="preserve"> </w:t>
      </w:r>
      <w:r>
        <w:rPr>
          <w:i/>
          <w:iCs/>
        </w:rPr>
        <w:t xml:space="preserve">and decoupled</w:t>
      </w:r>
      <w:r>
        <w:t xml:space="preserve"> </w:t>
      </w:r>
      <w:r>
        <w:t xml:space="preserve">big-data platform that ingests, fuses, processes, and analyzes</w:t>
      </w:r>
      <w:r>
        <w:t xml:space="preserve"> </w:t>
      </w:r>
      <w:r>
        <w:t xml:space="preserve">aviation and weather data in real time. The primary use case is flight-delay</w:t>
      </w:r>
      <w:r>
        <w:t xml:space="preserve"> </w:t>
      </w:r>
      <w:r>
        <w:t xml:space="preserve">prediction; the same architecture is designed to support congestion analysis,</w:t>
      </w:r>
      <w:r>
        <w:t xml:space="preserve"> </w:t>
      </w:r>
      <w:r>
        <w:t xml:space="preserve">delay-propagation modeling, operational monitoring, decision support, and</w:t>
      </w:r>
      <w:r>
        <w:t xml:space="preserve"> </w:t>
      </w:r>
      <w:r>
        <w:t xml:space="preserve">agentic AI.</w:t>
      </w:r>
      <w:r>
        <w:t xml:space="preserve"> </w:t>
      </w:r>
      <w:hyperlink r:id="rId9">
        <w:r>
          <w:rPr>
            <w:rStyle w:val="Hyperlink"/>
          </w:rPr>
          <w:t xml:space="preserve">Stage 1</w:t>
        </w:r>
      </w:hyperlink>
      <w:r>
        <w:t xml:space="preserve"> </w:t>
      </w:r>
      <w:r>
        <w:t xml:space="preserve">established a historical machine-learning pipeline and an interactive prototype</w:t>
      </w:r>
      <w:r>
        <w:t xml:space="preserve"> </w:t>
      </w:r>
      <w:r>
        <w:t xml:space="preserve">(Wilson et al., 2026)</w:t>
      </w:r>
      <w:r>
        <w:t xml:space="preserve">; Stage 2 adds the live data platform, a</w:t>
      </w:r>
      <w:r>
        <w:t xml:space="preserve"> </w:t>
      </w:r>
      <w:r>
        <w:t xml:space="preserve">baseline-versus-advanced model comparison, and an explainable analyst agent.</w:t>
      </w:r>
    </w:p>
    <w:p>
      <w:pPr>
        <w:pStyle w:val="BodyText"/>
      </w:pPr>
      <w:r>
        <w:rPr>
          <w:b/>
          <w:bCs/>
        </w:rPr>
        <w:t xml:space="preserve">Technical challenges.</w:t>
      </w:r>
      <w:r>
        <w:t xml:space="preserve"> </w:t>
      </w:r>
      <w:r>
        <w:t xml:space="preserve">Building this platform requires solving several</w:t>
      </w:r>
      <w:r>
        <w:t xml:space="preserve"> </w:t>
      </w:r>
      <w:r>
        <w:t xml:space="preserve">non-trivial problems:</w:t>
      </w:r>
    </w:p>
    <w:p>
      <w:pPr>
        <w:pStyle w:val="Compact"/>
        <w:numPr>
          <w:ilvl w:val="0"/>
          <w:numId w:val="1001"/>
        </w:numPr>
      </w:pPr>
      <w:r>
        <w:t xml:space="preserve">Ingesting heterogeneous, error-prone streaming sources</w:t>
      </w:r>
      <w:r>
        <w:t xml:space="preserve"> </w:t>
      </w:r>
      <w:r>
        <w:t xml:space="preserve">(FAA SWIM XML, ADS-B, weather) without data loss;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Entity resolution</w:t>
      </w:r>
      <w:r>
        <w:t xml:space="preserve"> </w:t>
      </w:r>
      <w:r>
        <w:t xml:space="preserve">across</w:t>
      </w:r>
      <w:r>
        <w:t xml:space="preserve"> </w:t>
      </w:r>
      <w:r>
        <w:t xml:space="preserve">systems that share no universal key—for example, the aircraft tail number is not</w:t>
      </w:r>
      <w:r>
        <w:t xml:space="preserve"> </w:t>
      </w:r>
      <w:r>
        <w:t xml:space="preserve">published in SWIM flight data and must be recovered from ADS-B which itself has limitations</w:t>
      </w:r>
      <w:r>
        <w:t xml:space="preserve"> </w:t>
      </w:r>
      <w:r>
        <w:t xml:space="preserve">due to lack of coverage;</w:t>
      </w:r>
    </w:p>
    <w:p>
      <w:pPr>
        <w:pStyle w:val="Compact"/>
        <w:numPr>
          <w:ilvl w:val="0"/>
          <w:numId w:val="1001"/>
        </w:numPr>
      </w:pPr>
      <w:r>
        <w:t xml:space="preserve">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 while its</w:t>
      </w:r>
      <w:r>
        <w:t xml:space="preserve"> </w:t>
      </w:r>
      <w:r>
        <w:t xml:space="preserve">Globally Unique Flight Identifier (GUFI) remains stable;</w:t>
      </w:r>
    </w:p>
    <w:p>
      <w:pPr>
        <w:pStyle w:val="Compact"/>
        <w:numPr>
          <w:ilvl w:val="0"/>
          <w:numId w:val="1001"/>
        </w:numPr>
      </w:pPr>
      <w:r>
        <w:t xml:space="preserve">Train-serve skew, because historical labels (Bureau of Transportation Statistics) and live</w:t>
      </w:r>
      <w:r>
        <w:t xml:space="preserve"> </w:t>
      </w:r>
      <w:r>
        <w:t xml:space="preserve">features are measured differently; and</w:t>
      </w:r>
    </w:p>
    <w:p>
      <w:pPr>
        <w:pStyle w:val="Compact"/>
        <w:numPr>
          <w:ilvl w:val="0"/>
          <w:numId w:val="1001"/>
        </w:numPr>
      </w:pPr>
      <w:r>
        <w:t xml:space="preserve">Delivering all of this at demo quality on a portable, low-cost footprint.</w:t>
      </w:r>
    </w:p>
    <w:p>
      <w:pPr>
        <w:pStyle w:val="FirstParagraph"/>
      </w:pPr>
      <w:r>
        <w:t xml:space="preserve">Several of these challenges have already been partially addressed through a working end-to-end prototype pipeline. However, the proposed implementation is intended to reduce and manage these limitations rather than eliminate every possible source of missing data, ambiguity, or operational uncertainty.</w:t>
      </w:r>
    </w:p>
    <w:bookmarkEnd w:id="10"/>
    <w:bookmarkStart w:id="11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Most prior work frames delay prediction</w:t>
      </w:r>
      <w:r>
        <w:t xml:space="preserve"> </w:t>
      </w:r>
      <w:r>
        <w:t xml:space="preserve">as supervised classification or regression over historical records. The review</w:t>
      </w:r>
      <w:r>
        <w:t xml:space="preserve"> </w:t>
      </w:r>
      <w:r>
        <w:t xml:space="preserve">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accuracy on curated historical data, but they are often</w:t>
      </w:r>
      <w:r>
        <w:t xml:space="preserve"> </w:t>
      </w:r>
      <w:r>
        <w:t xml:space="preserve">retrospective, single-source, and treat flights as independent observations,</w:t>
      </w:r>
      <w:r>
        <w:t xml:space="preserve"> </w:t>
      </w:r>
      <w:r>
        <w:t xml:space="preserve">which limits their ability to represent the network coupling that drives</w:t>
      </w:r>
      <w:r>
        <w:t xml:space="preserve"> </w:t>
      </w:r>
      <w:r>
        <w:t xml:space="preserve">real-world disruptions.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 flight-</w:t>
      </w:r>
      <w:r>
        <w:t xml:space="preserve"> </w:t>
      </w:r>
      <w:r>
        <w:t xml:space="preserve">delay prediction, establishing the value of big-data tooling while leaving room</w:t>
      </w:r>
      <w:r>
        <w:t xml:space="preserve"> </w:t>
      </w:r>
      <w:r>
        <w:t xml:space="preserve">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agent—integrating capabilities that prior work often treats separately.</w:t>
      </w:r>
    </w:p>
    <w:bookmarkEnd w:id="11"/>
    <w:bookmarkStart w:id="12" w:name="objectives"/>
    <w:p>
      <w:pPr>
        <w:pStyle w:val="Heading1"/>
      </w:pPr>
      <w:r>
        <w:t xml:space="preserve">3. Objectives</w:t>
      </w:r>
    </w:p>
    <w:p>
      <w:pPr>
        <w:pStyle w:val="Compact"/>
        <w:numPr>
          <w:ilvl w:val="0"/>
          <w:numId w:val="1002"/>
        </w:numPr>
      </w:pPr>
      <w:r>
        <w:t xml:space="preserve">Ingest and fuse FAA SWIM, ADS-B, and weather data into a validated, per-flight</w:t>
      </w:r>
      <w:r>
        <w:t xml:space="preserve"> </w:t>
      </w:r>
      <w:r>
        <w:t xml:space="preserve">canonical state in real time.</w:t>
      </w:r>
    </w:p>
    <w:p>
      <w:pPr>
        <w:pStyle w:val="Compact"/>
        <w:numPr>
          <w:ilvl w:val="0"/>
          <w:numId w:val="1002"/>
        </w:numPr>
      </w:pPr>
      <w:r>
        <w:t xml:space="preserve">Deliver a portable, decoupled platform that runs unchanged on a laptop,</w:t>
      </w:r>
      <w:r>
        <w:t xml:space="preserve"> </w:t>
      </w:r>
      <w:r>
        <w:t xml:space="preserve">school hardware, or any cloud VM (container-first, cloud-agnostic).</w:t>
      </w:r>
    </w:p>
    <w:p>
      <w:pPr>
        <w:pStyle w:val="Compact"/>
        <w:numPr>
          <w:ilvl w:val="0"/>
          <w:numId w:val="1002"/>
        </w:numPr>
      </w:pPr>
      <w:r>
        <w:t xml:space="preserve">Compare a baseline model against an advanced, propagation- and</w:t>
      </w:r>
      <w:r>
        <w:t xml:space="preserve"> </w:t>
      </w:r>
      <w:r>
        <w:t xml:space="preserve">weather-aware model for arrival-delay prediction.</w:t>
      </w:r>
    </w:p>
    <w:p>
      <w:pPr>
        <w:pStyle w:val="Compact"/>
        <w:numPr>
          <w:ilvl w:val="0"/>
          <w:numId w:val="1002"/>
        </w:numPr>
      </w:pPr>
      <w:r>
        <w:t xml:space="preserve">Evaluate both</w:t>
      </w:r>
      <w:r>
        <w:t xml:space="preserve"> </w:t>
      </w:r>
      <w:r>
        <w:rPr>
          <w:b/>
          <w:bCs/>
        </w:rPr>
        <w:t xml:space="preserve">predictive</w:t>
      </w:r>
      <w:r>
        <w:t xml:space="preserve"> </w:t>
      </w:r>
      <w:r>
        <w:t xml:space="preserve">performance and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performance.</w:t>
      </w:r>
    </w:p>
    <w:p>
      <w:pPr>
        <w:pStyle w:val="Compact"/>
        <w:numPr>
          <w:ilvl w:val="0"/>
          <w:numId w:val="1002"/>
        </w:numPr>
      </w:pPr>
      <w:r>
        <w:t xml:space="preserve">Provide a starter</w:t>
      </w:r>
      <w:r>
        <w:t xml:space="preserve"> </w:t>
      </w:r>
      <w:r>
        <w:rPr>
          <w:i/>
          <w:iCs/>
        </w:rPr>
        <w:t xml:space="preserve">Aviation Operations Analyst Agent</w:t>
      </w:r>
      <w:r>
        <w:t xml:space="preserve"> </w:t>
      </w:r>
      <w:r>
        <w:t xml:space="preserve">that retrieves evidence,</w:t>
      </w:r>
      <w:r>
        <w:t xml:space="preserve"> </w:t>
      </w:r>
      <w:r>
        <w:t xml:space="preserve">explains model predictions, and recommends analytical next steps—without</w:t>
      </w:r>
      <w:r>
        <w:t xml:space="preserve"> </w:t>
      </w:r>
      <w:r>
        <w:t xml:space="preserve">making operational decisions.</w:t>
      </w:r>
    </w:p>
    <w:p>
      <w:pPr>
        <w:pStyle w:val="Compact"/>
        <w:numPr>
          <w:ilvl w:val="0"/>
          <w:numId w:val="1002"/>
        </w:numPr>
      </w:pPr>
      <w:r>
        <w:t xml:space="preserve">Achieve a demonstrable minimum implementation within approximately one month.</w:t>
      </w:r>
    </w:p>
    <w:bookmarkEnd w:id="12"/>
    <w:bookmarkStart w:id="16" w:name="datasets"/>
    <w:p>
      <w:pPr>
        <w:pStyle w:val="Heading1"/>
      </w:pPr>
      <w:r>
        <w:t xml:space="preserve">4. Datasets</w:t>
      </w:r>
    </w:p>
    <w:p>
      <w:pPr>
        <w:pStyle w:val="FirstParagraph"/>
      </w:pPr>
      <w:r>
        <w:t xml:space="preserve">The platform fuses four aviation and weather sources plus a documentation corpus,</w:t>
      </w:r>
      <w:r>
        <w:t xml:space="preserve"> </w:t>
      </w:r>
      <w:r>
        <w:t xml:space="preserve">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 FAA SWIM provides the authoritative live NAS flight</w:t>
      </w:r>
      <w:r>
        <w:t xml:space="preserve"> </w:t>
      </w:r>
      <w:r>
        <w:t xml:space="preserve">state; ADS-B supplies the physical airframe identity (ICAO 24-bit address and</w:t>
      </w:r>
      <w:r>
        <w:t xml:space="preserve"> </w:t>
      </w:r>
      <w:r>
        <w:t xml:space="preserve">registration) needed to link an aircraft’s successive legs; NOAA METAR/TAF</w:t>
      </w:r>
      <w:r>
        <w:t xml:space="preserve"> </w:t>
      </w:r>
      <w:r>
        <w:t xml:space="preserve">supplies weather, a leading delay driver; and the BTS On-Time Performance</w:t>
      </w:r>
      <w:r>
        <w:t xml:space="preserve"> </w:t>
      </w:r>
      <w:r>
        <w:t xml:space="preserve">dataset—which includes actual gate times and tail numbers—provides historical</w:t>
      </w:r>
      <w:r>
        <w:t xml:space="preserve"> </w:t>
      </w:r>
      <w:r>
        <w:t xml:space="preserve">training labels. Large-scale ADS-B research networks such as OpenSky demonstrate</w:t>
      </w:r>
      <w:r>
        <w:t xml:space="preserve"> </w:t>
      </w:r>
      <w:r>
        <w:t xml:space="preserve">the usefulness of distributed aircraft surveillance data for aviation research</w:t>
      </w:r>
      <w:r>
        <w:t xml:space="preserve"> </w:t>
      </w:r>
      <w:r>
        <w:t xml:space="preserve">(Schäfer et al., 2014)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METAR / TAF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 observations and forecasts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15"/>
        </w:tc>
      </w:tr>
    </w:tbl>
    <w:bookmarkEnd w:id="16"/>
    <w:bookmarkStart w:id="22" w:name="methodology-and-proposed-solution"/>
    <w:p>
      <w:pPr>
        <w:pStyle w:val="Heading1"/>
      </w:pPr>
      <w:r>
        <w:t xml:space="preserve">5. Methodology and Proposed Solution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Ingestion services publish each source to a dedicated Kafka topic</w:t>
      </w:r>
      <w:r>
        <w:t xml:space="preserve"> </w:t>
      </w:r>
      <w:r>
        <w:t xml:space="preserve">(48-hour retention). Apache Spark Structured Streaming consumes these topics and</w:t>
      </w:r>
      <w:r>
        <w:t xml:space="preserve"> </w:t>
      </w:r>
      <w:r>
        <w:t xml:space="preserve">applies the existing</w:t>
      </w:r>
      <w:r>
        <w:t xml:space="preserve"> </w:t>
      </w:r>
      <w:r>
        <w:rPr>
          <w:rStyle w:val="VerbatimChar"/>
        </w:rPr>
        <w:t xml:space="preserve">aeroflux_parser</w:t>
      </w:r>
      <w:r>
        <w:t xml:space="preserve"> </w:t>
      </w:r>
      <w:r>
        <w:t xml:space="preserve">library to parse, normalize, validate</w:t>
      </w:r>
      <w:r>
        <w:t xml:space="preserve"> </w:t>
      </w:r>
      <w:r>
        <w:t xml:space="preserve">against a strict schema contract, and fuse messages into per-flight records via</w:t>
      </w:r>
      <w:r>
        <w:t xml:space="preserve"> </w:t>
      </w:r>
      <w:r>
        <w:t xml:space="preserve">GUFI-keyed, source-priority mediation, with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used only as a</w:t>
      </w:r>
      <w:r>
        <w:t xml:space="preserve"> </w:t>
      </w:r>
      <w:r>
        <w:t xml:space="preserve">reconciliation bridge and ADS-B used to resolve the tail. Fused records land in</w:t>
      </w:r>
      <w:r>
        <w:t xml:space="preserve"> </w:t>
      </w:r>
      <w:r>
        <w:t xml:space="preserve">MongoDB (silver, 48-hour TTL) and, together with BTS backfill, in a MinIO</w:t>
      </w:r>
      <w:r>
        <w:t xml:space="preserve"> </w:t>
      </w:r>
      <w:r>
        <w:t xml:space="preserve">data lake (gold parquet). The full architecture is shown in</w:t>
      </w:r>
      <w:r>
        <w:t xml:space="preserve"> </w:t>
      </w:r>
      <w:hyperlink w:anchor="fig-aeroflux2-arch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eroflux2-arch"/>
          <w:p>
            <w:pPr>
              <w:pStyle w:val="Compact"/>
              <w:jc w:val="center"/>
            </w:pPr>
            <w:r>
              <w:drawing>
                <wp:inline>
                  <wp:extent cx="5334000" cy="9406344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/images/design/aeroflux2-arch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4063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0"/>
        </w:tc>
      </w:tr>
    </w:tbl>
    <w:p>
      <w:pPr>
        <w:pStyle w:val="BodyText"/>
      </w:pPr>
      <w:r>
        <w:rPr>
          <w:b/>
          <w:bCs/>
        </w:rPr>
        <w:t xml:space="preserve">Baseline versus advanced models.</w:t>
      </w:r>
      <w:r>
        <w:t xml:space="preserve"> </w:t>
      </w:r>
      <w:r>
        <w:t xml:space="preserve">The baseline is a logistic-regression</w:t>
      </w:r>
      <w:r>
        <w:t xml:space="preserve"> </w:t>
      </w:r>
      <w:r>
        <w:t xml:space="preserve">classifier on flight-level features (carrier, origin, destination, scheduled</w:t>
      </w:r>
      <w:r>
        <w:t xml:space="preserve"> </w:t>
      </w:r>
      <w:r>
        <w:t xml:space="preserve">times). The advanced model is a gradient-boosted tree using XGBoost</w:t>
      </w:r>
      <w:r>
        <w:t xml:space="preserve"> </w:t>
      </w:r>
      <w:r>
        <w:t xml:space="preserve">(Chen &amp; Guestrin, 2016)</w:t>
      </w:r>
      <w:r>
        <w:t xml:space="preserve"> </w:t>
      </w:r>
      <w:r>
        <w:t xml:space="preserve">and is enriched with</w:t>
      </w:r>
      <w:r>
        <w:t xml:space="preserve"> </w:t>
      </w:r>
      <w:r>
        <w:rPr>
          <w:i/>
          <w:iCs/>
        </w:rPr>
        <w:t xml:space="preserve">propagation</w:t>
      </w:r>
      <w:r>
        <w:t xml:space="preserve"> </w:t>
      </w:r>
      <w:r>
        <w:t xml:space="preserve">features (previous-leg</w:t>
      </w:r>
      <w:r>
        <w:t xml:space="preserve"> </w:t>
      </w:r>
      <w:r>
        <w:t xml:space="preserve">arrival delay and scheduled turnaround buffer), weather features, and rolling</w:t>
      </w:r>
      <w:r>
        <w:t xml:space="preserve"> </w:t>
      </w:r>
      <w:r>
        <w:t xml:space="preserve">airport demand. This design directly operationalizes findings from the delay-</w:t>
      </w:r>
      <w:r>
        <w:t xml:space="preserve"> </w:t>
      </w:r>
      <w:r>
        <w:t xml:space="preserve">propagation literature</w:t>
      </w:r>
      <w:r>
        <w:t xml:space="preserve"> </w:t>
      </w:r>
      <w:r>
        <w:t xml:space="preserve">(Beatty et al., 1999; Kafle &amp; Zou, 2016)</w:t>
      </w:r>
      <w:r>
        <w:t xml:space="preserve">. Both</w:t>
      </w:r>
      <w:r>
        <w:t xml:space="preserve"> </w:t>
      </w:r>
      <w:r>
        <w:t xml:space="preserve">models target a 15-minute arrival-delay classification, with class imbalance</w:t>
      </w:r>
      <w:r>
        <w:t xml:space="preserve"> </w:t>
      </w:r>
      <w:r>
        <w:t xml:space="preserve">addressed through resampling, a concern emphasized in recent delay-prediction</w:t>
      </w:r>
      <w:r>
        <w:t xml:space="preserve"> </w:t>
      </w:r>
      <w:r>
        <w:t xml:space="preserve">research</w:t>
      </w:r>
      <w:r>
        <w:t xml:space="preserve"> </w:t>
      </w:r>
      <w:r>
        <w:t xml:space="preserve">(AlBassam &amp; AlShahrani, 2025)</w:t>
      </w:r>
      <w:r>
        <w:t xml:space="preserve">. Models are tracked in MLflow and explained with</w:t>
      </w:r>
      <w:r>
        <w:t xml:space="preserve"> </w:t>
      </w:r>
      <w:r>
        <w:t xml:space="preserve">SHAP</w:t>
      </w:r>
      <w:r>
        <w:t xml:space="preserve"> </w:t>
      </w:r>
      <w:r>
        <w:t xml:space="preserve">(Lundberg &amp; Lee, 2017)</w:t>
      </w:r>
      <w:r>
        <w:t xml:space="preserve">, whose outputs feed the agent.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Both predictive and system performance are evaluated</w:t>
      </w:r>
      <w:r>
        <w:t xml:space="preserve"> </w:t>
      </w:r>
      <w:r>
        <w:t xml:space="preserve">(</w:t>
      </w:r>
      <w:hyperlink w:anchor="tbl-models">
        <w:r>
          <w:rPr>
            <w:rStyle w:val="Hyperlink"/>
          </w:rPr>
          <w:t xml:space="preserve">Table 2</w:t>
        </w:r>
      </w:hyperlink>
      <w:r>
        <w:t xml:space="preserve">). Predictive metrics include ROC-AUC, PR-AUC, F1, and Brier score</w:t>
      </w:r>
      <w:r>
        <w:t xml:space="preserve"> </w:t>
      </w:r>
      <w:r>
        <w:t xml:space="preserve">and calibration, using point-in-time features to prevent leakage. System metrics</w:t>
      </w:r>
      <w:r>
        <w:t xml:space="preserve"> </w:t>
      </w:r>
      <w:r>
        <w:t xml:space="preserve">include end-to-end latency, sustained message throughput, fusion completeness</w:t>
      </w:r>
      <w:r>
        <w:t xml:space="preserve"> </w:t>
      </w:r>
      <w:r>
        <w:t xml:space="preserve">(fields populated per flight), and resource footprint.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Baseline-versus-advanced comparison and evaluation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XGBoost + propagation + weather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ROC-AUC, PR-AUC, F1, 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Flight-level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propagation, weather, demand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 importance (SHAP)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pipeline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Latency, throughput, completeness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b/>
          <w:bCs/>
        </w:rPr>
        <w:t xml:space="preserve">Agentic AI and LLM approach.</w:t>
      </w:r>
      <w:r>
        <w:t xml:space="preserve"> </w:t>
      </w:r>
      <w:r>
        <w:t xml:space="preserve">The starter</w:t>
      </w:r>
      <w:r>
        <w:t xml:space="preserve"> </w:t>
      </w:r>
      <w:r>
        <w:rPr>
          <w:i/>
          <w:iCs/>
        </w:rPr>
        <w:t xml:space="preserve">Aviation Operations Analyst Agent</w:t>
      </w:r>
      <w:r>
        <w:t xml:space="preserve"> </w:t>
      </w:r>
      <w:r>
        <w:t xml:space="preserve">answers natural-language questions (for example,</w:t>
      </w:r>
      <w:r>
        <w:t xml:space="preserve"> </w:t>
      </w:r>
      <w:r>
        <w:t xml:space="preserve">“Why is this flight likely</w:t>
      </w:r>
      <w:r>
        <w:t xml:space="preserve"> </w:t>
      </w:r>
      <w:r>
        <w:t xml:space="preserve">delayed?”</w:t>
      </w:r>
      <w:r>
        <w:t xml:space="preserve">) by combining retrieval-augmented generation</w:t>
      </w:r>
      <w:r>
        <w:t xml:space="preserve"> </w:t>
      </w:r>
      <w:r>
        <w:t xml:space="preserve">(Lewis et al., 2020)</w:t>
      </w:r>
      <w:r>
        <w:t xml:space="preserve"> </w:t>
      </w:r>
      <w:r>
        <w:t xml:space="preserve">over the</w:t>
      </w:r>
      <w:r>
        <w:t xml:space="preserve"> </w:t>
      </w:r>
      <w:r>
        <w:t xml:space="preserve">aviation-documentation corpus (embeddings in pgvector) with tool calls that query</w:t>
      </w:r>
      <w:r>
        <w:t xml:space="preserve"> </w:t>
      </w:r>
      <w:r>
        <w:t xml:space="preserve">the fused databases, invoke the delay model, and return SHAP explanations. The</w:t>
      </w:r>
      <w:r>
        <w:t xml:space="preserve"> </w:t>
      </w:r>
      <w:r>
        <w:t xml:space="preserve">agent retrieves evidence, explains predictions, and recommends next steps;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execute operational aviation decisions.</w:t>
      </w:r>
    </w:p>
    <w:bookmarkEnd w:id="22"/>
    <w:bookmarkStart w:id="24" w:name="development-environment"/>
    <w:p>
      <w:pPr>
        <w:pStyle w:val="Heading1"/>
      </w:pPr>
      <w:r>
        <w:t xml:space="preserve">6. Development Environment</w:t>
      </w:r>
    </w:p>
    <w:p>
      <w:pPr>
        <w:pStyle w:val="FirstParagraph"/>
      </w:pPr>
      <w:r>
        <w:t xml:space="preserve">The stack (</w:t>
      </w:r>
      <w:hyperlink w:anchor="tbl-stack">
        <w:r>
          <w:rPr>
            <w:rStyle w:val="Hyperlink"/>
          </w:rPr>
          <w:t xml:space="preserve">Table 3</w:t>
        </w:r>
      </w:hyperlink>
      <w:r>
        <w:t xml:space="preserve">) is entirely open-source and container-first. Every</w:t>
      </w:r>
      <w:r>
        <w:t xml:space="preserve"> </w:t>
      </w:r>
      <w:r>
        <w:t xml:space="preserve">component runs as a Docker Compose service, so the platform deploys unchanged on</w:t>
      </w:r>
      <w:r>
        <w:t xml:space="preserve"> </w:t>
      </w:r>
      <w:r>
        <w:t xml:space="preserve">a laptop, university hardware, or a single cloud VM; managed AWS services (MSK,</w:t>
      </w:r>
      <w:r>
        <w:t xml:space="preserve"> </w:t>
      </w:r>
      <w:r>
        <w:t xml:space="preserve">EMR, SageMaker) are an optional scale path rather than a requirement. MinIO</w:t>
      </w:r>
      <w:r>
        <w:t xml:space="preserve"> </w:t>
      </w:r>
      <w:r>
        <w:t xml:space="preserve">provides an S3-compatible object store that swaps to real S3 with no code change.</w:t>
      </w:r>
      <w:r>
        <w:t xml:space="preserve"> </w:t>
      </w:r>
      <w:r>
        <w:t xml:space="preserve">Short retention keeps storage and cost minimal (target budget: a modest VM plus a</w:t>
      </w:r>
      <w:r>
        <w:t xml:space="preserve"> </w:t>
      </w:r>
      <w:r>
        <w:t xml:space="preserve">few dollars of LLM API usage).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Development environment and technology stack.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Kafka, Spark Structured Streaming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MongoDB, PostgreSQL + pgvector, MinIO (S3-compatible)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</w:t>
                  </w:r>
                  <w:r>
                    <w:t xml:space="preserve"> </w:t>
                  </w:r>
                  <w:r>
                    <w:t xml:space="preserve">(Chen &amp; Guestrin, 2016)</w:t>
                  </w:r>
                  <w:r>
                    <w:t xml:space="preserve">, MLflow, SHAP</w:t>
                  </w:r>
                  <w:r>
                    <w:t xml:space="preserve"> </w:t>
                  </w:r>
                  <w:r>
                    <w:t xml:space="preserve">(Lundberg &amp; Lee, 2017)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LLM / RAG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API, pgvector, tool-calling agent loop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FastAPI, Dash / Plotly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Packaging / Platform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 + Docker Compose; optional AWS EC2 + S3</w:t>
                  </w:r>
                </w:p>
              </w:tc>
            </w:tr>
          </w:tbl>
          <w:bookmarkEnd w:id="23"/>
          <w:p/>
        </w:tc>
      </w:tr>
    </w:tbl>
    <w:bookmarkEnd w:id="24"/>
    <w:bookmarkStart w:id="26" w:name="project-tasks-and-timeline"/>
    <w:p>
      <w:pPr>
        <w:pStyle w:val="Heading1"/>
      </w:pPr>
      <w:r>
        <w:t xml:space="preserve">7. Project Tasks and Timeline</w:t>
      </w:r>
    </w:p>
    <w:p>
      <w:pPr>
        <w:pStyle w:val="FirstParagraph"/>
      </w:pPr>
      <w:r>
        <w:t xml:space="preserve">The minimum implementation is scoped to approximately one month (</w:t>
      </w:r>
      <w:hyperlink w:anchor="tbl-timeline">
        <w:r>
          <w:rPr>
            <w:rStyle w:val="Hyperlink"/>
          </w:rPr>
          <w:t xml:space="preserve">Table 4</w:t>
        </w:r>
      </w:hyperlink>
      <w:r>
        <w:t xml:space="preserve">),</w:t>
      </w:r>
      <w:r>
        <w:t xml:space="preserve"> </w:t>
      </w:r>
      <w:r>
        <w:t xml:space="preserve">building on Stage 1’s completed ingestion, fusion, entity-resolution, schema</w:t>
      </w:r>
      <w:r>
        <w:t xml:space="preserve"> </w:t>
      </w:r>
      <w:r>
        <w:t xml:space="preserve">contract, and baseline model. Future capabilities—graph analytics, simulation,</w:t>
      </w:r>
      <w:r>
        <w:t xml:space="preserve"> </w:t>
      </w:r>
      <w:r>
        <w:t xml:space="preserve">digital twin, and a multi-agent system—are explicitly out of scope for this</w:t>
      </w:r>
      <w:r>
        <w:t xml:space="preserve"> </w:t>
      </w:r>
      <w:r>
        <w:t xml:space="preserve">timeline.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tim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One-month project timeline and effort allocation.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Est. hours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 weather source; Spark Structured Streaming pipeline; MongoDB silver store + TTL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 engineering (propagation, demand, weather); gold dataset; baseline vs. advanced training; MLflow;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FastAPI inference API + SHAP; pgvector RAG; analyst agent + tools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Integration, UI wiring, system + predictive evaluation, demo, write-up; buffer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bookmarkEnd w:id="25"/>
          <w:p/>
        </w:tc>
      </w:tr>
    </w:tbl>
    <w:bookmarkEnd w:id="26"/>
    <w:bookmarkStart w:id="42" w:name="references"/>
    <w:p>
      <w:pPr>
        <w:pStyle w:val="Heading1"/>
      </w:pPr>
      <w:r>
        <w:t xml:space="preserve">References</w:t>
      </w:r>
    </w:p>
    <w:bookmarkStart w:id="41" w:name="refs"/>
    <w:bookmarkStart w:id="27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27"/>
    <w:bookmarkStart w:id="28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28"/>
    <w:bookmarkStart w:id="29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29"/>
    <w:bookmarkStart w:id="30" w:name="ref-chen2016xgboost"/>
    <w:p>
      <w:pPr>
        <w:pStyle w:val="Bibliography"/>
      </w:pPr>
      <w:r>
        <w:t xml:space="preserve">Chen, T., &amp; Guestrin, C. (2016).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785–794.</w:t>
      </w:r>
    </w:p>
    <w:bookmarkEnd w:id="30"/>
    <w:bookmarkStart w:id="31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31"/>
    <w:bookmarkStart w:id="32" w:name="ref-lewis2020rag"/>
    <w:p>
      <w:pPr>
        <w:pStyle w:val="Bibliography"/>
      </w:pPr>
      <w:r>
        <w:t xml:space="preserve">Lewis, P., Perez, E., Piktus, A., Petroni, F., Karpukhin, V., Goyal, N., Küttler, H., Lewis, M., Yih, W., Rocktäschel, T., Riedel, S., &amp; Kiela, D. (2020). Retrieval-augmented generation for knowledge-intensive</w:t>
      </w:r>
      <w:r>
        <w:t xml:space="preserve"> </w:t>
      </w:r>
      <w:r>
        <w:t xml:space="preserve">NLP</w:t>
      </w:r>
      <w:r>
        <w:t xml:space="preserve"> </w:t>
      </w:r>
      <w:r>
        <w:t xml:space="preserve">tasks.</w:t>
      </w:r>
      <w:r>
        <w:t xml:space="preserve"> </w:t>
      </w:r>
      <w:r>
        <w:rPr>
          <w:i/>
          <w:iCs/>
        </w:rPr>
        <w:t xml:space="preserve">Advances in Neural Information Processing Systems 33</w:t>
      </w:r>
      <w:r>
        <w:t xml:space="preserve">, 9459–9474.</w:t>
      </w:r>
    </w:p>
    <w:bookmarkEnd w:id="32"/>
    <w:bookmarkStart w:id="33" w:name="ref-lundberg2017shap"/>
    <w:p>
      <w:pPr>
        <w:pStyle w:val="Bibliography"/>
      </w:pPr>
      <w:r>
        <w:t xml:space="preserve">Lundberg, S. M., &amp;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 Neural Information Processing Systems 30</w:t>
      </w:r>
      <w:r>
        <w:t xml:space="preserve">, 4765–4774.</w:t>
      </w:r>
    </w:p>
    <w:bookmarkEnd w:id="33"/>
    <w:bookmarkStart w:id="35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34">
        <w:r>
          <w:rPr>
            <w:rStyle w:val="Hyperlink"/>
          </w:rPr>
          <w:t xml:space="preserve">https://github.com/nasa/atd2-fuser</w:t>
        </w:r>
      </w:hyperlink>
    </w:p>
    <w:bookmarkEnd w:id="35"/>
    <w:bookmarkStart w:id="36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36"/>
    <w:bookmarkStart w:id="38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https://arxiv.org/abs/1703.06118</w:t>
        </w:r>
      </w:hyperlink>
    </w:p>
    <w:bookmarkEnd w:id="38"/>
    <w:bookmarkStart w:id="39" w:name="ref-wilson2026flightdelay"/>
    <w:p>
      <w:pPr>
        <w:pStyle w:val="Bibliography"/>
      </w:pPr>
      <w:r>
        <w:t xml:space="preserve">Wilson, J., Nindra, K., Austin, I., &amp; Sokolow, V. (2026).</w:t>
      </w:r>
      <w:r>
        <w:t xml:space="preserve"> </w:t>
      </w:r>
      <w:r>
        <w:rPr>
          <w:i/>
          <w:iCs/>
        </w:rPr>
        <w:t xml:space="preserve">From prediction to digital twin: A propagation-aware machine learning framework for flight delay modeling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https://jonathanwilsonami.github.io/OR568_ML_Project/</w:t>
        </w:r>
      </w:hyperlink>
    </w:p>
    <w:bookmarkEnd w:id="39"/>
    <w:bookmarkStart w:id="40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7" Target="https://arxiv.org/abs/1703.06118" TargetMode="External" /><Relationship Type="http://schemas.openxmlformats.org/officeDocument/2006/relationships/hyperlink" Id="rId34" Target="https://github.com/nasa/atd2-fuser" TargetMode="External" /><Relationship Type="http://schemas.openxmlformats.org/officeDocument/2006/relationships/hyperlink" Id="rId9" Target="https://jonathanwilsonami.github.io/OR568_ML_Projec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rxiv.org/abs/1703.06118" TargetMode="External" /><Relationship Type="http://schemas.openxmlformats.org/officeDocument/2006/relationships/hyperlink" Id="rId34" Target="https://github.com/nasa/atd2-fuser" TargetMode="External" /><Relationship Type="http://schemas.openxmlformats.org/officeDocument/2006/relationships/hyperlink" Id="rId9" Target="https://jonathanwilsonami.github.io/OR568_ML_Projec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</dc:creator>
  <cp:keywords/>
  <dcterms:created xsi:type="dcterms:W3CDTF">2026-07-25T18:29:49Z</dcterms:created>
  <dcterms:modified xsi:type="dcterms:W3CDTF">2026-07-25T18:29:49Z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2026-07-18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ghtbox">
    <vt:lpwstr>True</vt:lpwstr>
  </property>
  <property fmtid="{D5CDD505-2E9C-101B-9397-08002B2CF9AE}" pid="14" name="subtitle">
    <vt:lpwstr>Formal Project Proposal</vt:lpwstr>
  </property>
  <property fmtid="{D5CDD505-2E9C-101B-9397-08002B2CF9AE}" pid="15" name="toc-title">
    <vt:lpwstr>Table of contents</vt:lpwstr>
  </property>
</Properties>
</file>