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before="160"/>
        <w:jc w:val="center"/>
      </w:pPr>
      <w:r>
        <w:t>Informe técnico del simulador digestivo de la gallina</w:t>
      </w:r>
    </w:p>
    <w:p>
      <w:pPr>
        <w:widowControl/>
        <w:spacing w:after="280"/>
        <w:jc w:val="center"/>
      </w:pPr>
      <w:r>
        <w:rPr>
          <w:rFonts w:ascii="Arial" w:hAnsi="Arial" w:eastAsia="Arial"/>
          <w:color w:val="666666"/>
          <w:sz w:val="28"/>
        </w:rPr>
        <w:t>Modelo tridimensional interactivo de fisiología digestiva y nutrición aviar</w:t>
      </w:r>
    </w:p>
    <w:p>
      <w:pPr>
        <w:widowControl/>
        <w:jc w:val="center"/>
      </w:pPr>
      <w:r>
        <w:drawing>
          <wp:inline xmlns:a="http://schemas.openxmlformats.org/drawingml/2006/main" xmlns:pic="http://schemas.openxmlformats.org/drawingml/2006/picture">
            <wp:extent cx="3977639" cy="3977639"/>
            <wp:docPr id="1" name="Picture 1" title="Modelo digestivo de gallina" descr="Vista lateral de la gallina semitransparente con el aparato digestivo visible en su interior"/>
            <wp:cNvGraphicFramePr>
              <a:graphicFrameLocks noChangeAspect="1"/>
            </wp:cNvGraphicFramePr>
            <a:graphic>
              <a:graphicData uri="http://schemas.openxmlformats.org/drawingml/2006/picture">
                <pic:pic>
                  <pic:nvPicPr>
                    <pic:cNvPr id="0" name="chicken_digestive_preview.png"/>
                    <pic:cNvPicPr/>
                  </pic:nvPicPr>
                  <pic:blipFill>
                    <a:blip r:embed="rId11"/>
                    <a:stretch>
                      <a:fillRect/>
                    </a:stretch>
                  </pic:blipFill>
                  <pic:spPr>
                    <a:xfrm>
                      <a:off x="0" y="0"/>
                      <a:ext cx="3977639" cy="3977639"/>
                    </a:xfrm>
                    <a:prstGeom prst="rect"/>
                  </pic:spPr>
                </pic:pic>
              </a:graphicData>
            </a:graphic>
          </wp:inline>
        </w:drawing>
      </w:r>
    </w:p>
    <w:p>
      <w:pPr>
        <w:pStyle w:val="Caption"/>
        <w:widowControl/>
        <w:spacing w:before="80" w:after="180"/>
        <w:jc w:val="center"/>
      </w:pPr>
      <w:r>
        <w:rPr>
          <w:rFonts w:ascii="Arial" w:hAnsi="Arial" w:eastAsia="Arial"/>
          <w:i/>
          <w:color w:val="666666"/>
          <w:sz w:val="18"/>
        </w:rPr>
        <w:t>Vista de integración anatómica del modelo tridimensional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649"/>
        <w:gridCol w:w="4649"/>
      </w:tblGrid>
      <w:tr>
        <w:tc>
          <w:tcPr>
            <w:tcW w:type="dxa" w:w="2268"/>
            <w:tcMar>
              <w:top w:w="125" w:type="dxa"/>
              <w:start w:w="120" w:type="dxa"/>
              <w:bottom w:w="125" w:type="dxa"/>
              <w:end w:w="120" w:type="dxa"/>
            </w:tcMar>
            <w:shd w:fill="DCE6F1"/>
          </w:tcPr>
          <w:p>
            <w:pPr>
              <w:spacing w:after="0"/>
            </w:pPr>
            <w:r>
              <w:rPr>
                <w:rFonts w:ascii="Arial" w:hAnsi="Arial" w:eastAsia="Arial"/>
                <w:b/>
                <w:color w:val="000000"/>
                <w:sz w:val="19"/>
              </w:rPr>
              <w:t>Institución</w:t>
            </w:r>
          </w:p>
        </w:tc>
        <w:tc>
          <w:tcPr>
            <w:tcW w:type="dxa" w:w="5953"/>
            <w:tcMar>
              <w:top w:w="125" w:type="dxa"/>
              <w:start w:w="120" w:type="dxa"/>
              <w:bottom w:w="125" w:type="dxa"/>
              <w:end w:w="120" w:type="dxa"/>
            </w:tcMar>
          </w:tcPr>
          <w:p>
            <w:pPr>
              <w:spacing w:after="0"/>
            </w:pPr>
            <w:r>
              <w:t xml:space="preserve"> </w:t>
            </w:r>
          </w:p>
        </w:tc>
      </w:tr>
      <w:tr>
        <w:tc>
          <w:tcPr>
            <w:tcW w:type="dxa" w:w="2268"/>
            <w:tcMar>
              <w:top w:w="125" w:type="dxa"/>
              <w:start w:w="120" w:type="dxa"/>
              <w:bottom w:w="125" w:type="dxa"/>
              <w:end w:w="120" w:type="dxa"/>
            </w:tcMar>
            <w:shd w:fill="DCE6F1"/>
          </w:tcPr>
          <w:p>
            <w:pPr>
              <w:spacing w:after="0"/>
            </w:pPr>
            <w:r>
              <w:rPr>
                <w:rFonts w:ascii="Arial" w:hAnsi="Arial" w:eastAsia="Arial"/>
                <w:b/>
                <w:color w:val="000000"/>
                <w:sz w:val="19"/>
              </w:rPr>
              <w:t>Curso</w:t>
            </w:r>
          </w:p>
        </w:tc>
        <w:tc>
          <w:tcPr>
            <w:tcW w:type="dxa" w:w="5953"/>
            <w:tcMar>
              <w:top w:w="125" w:type="dxa"/>
              <w:start w:w="120" w:type="dxa"/>
              <w:bottom w:w="125" w:type="dxa"/>
              <w:end w:w="120" w:type="dxa"/>
            </w:tcMar>
          </w:tcPr>
          <w:p>
            <w:pPr>
              <w:spacing w:after="0"/>
            </w:pPr>
            <w:r>
              <w:t xml:space="preserve"> </w:t>
            </w:r>
          </w:p>
        </w:tc>
      </w:tr>
      <w:tr>
        <w:tc>
          <w:tcPr>
            <w:tcW w:type="dxa" w:w="2268"/>
            <w:tcMar>
              <w:top w:w="125" w:type="dxa"/>
              <w:start w:w="120" w:type="dxa"/>
              <w:bottom w:w="125" w:type="dxa"/>
              <w:end w:w="120" w:type="dxa"/>
            </w:tcMar>
            <w:shd w:fill="DCE6F1"/>
          </w:tcPr>
          <w:p>
            <w:pPr>
              <w:spacing w:after="0"/>
            </w:pPr>
            <w:r>
              <w:rPr>
                <w:rFonts w:ascii="Arial" w:hAnsi="Arial" w:eastAsia="Arial"/>
                <w:b/>
                <w:color w:val="000000"/>
                <w:sz w:val="19"/>
              </w:rPr>
              <w:t>Docente</w:t>
            </w:r>
          </w:p>
        </w:tc>
        <w:tc>
          <w:tcPr>
            <w:tcW w:type="dxa" w:w="5953"/>
            <w:tcMar>
              <w:top w:w="125" w:type="dxa"/>
              <w:start w:w="120" w:type="dxa"/>
              <w:bottom w:w="125" w:type="dxa"/>
              <w:end w:w="120" w:type="dxa"/>
            </w:tcMar>
          </w:tcPr>
          <w:p>
            <w:pPr>
              <w:spacing w:after="0"/>
            </w:pPr>
            <w:r>
              <w:t xml:space="preserve"> </w:t>
            </w:r>
          </w:p>
        </w:tc>
      </w:tr>
      <w:tr>
        <w:tc>
          <w:tcPr>
            <w:tcW w:type="dxa" w:w="2268"/>
            <w:tcMar>
              <w:top w:w="125" w:type="dxa"/>
              <w:start w:w="120" w:type="dxa"/>
              <w:bottom w:w="125" w:type="dxa"/>
              <w:end w:w="120" w:type="dxa"/>
            </w:tcMar>
            <w:shd w:fill="DCE6F1"/>
          </w:tcPr>
          <w:p>
            <w:pPr>
              <w:spacing w:after="0"/>
            </w:pPr>
            <w:r>
              <w:rPr>
                <w:rFonts w:ascii="Arial" w:hAnsi="Arial" w:eastAsia="Arial"/>
                <w:b/>
                <w:color w:val="000000"/>
                <w:sz w:val="19"/>
              </w:rPr>
              <w:t>Integrantes</w:t>
            </w:r>
          </w:p>
        </w:tc>
        <w:tc>
          <w:tcPr>
            <w:tcW w:type="dxa" w:w="5953"/>
            <w:tcMar>
              <w:top w:w="125" w:type="dxa"/>
              <w:start w:w="120" w:type="dxa"/>
              <w:bottom w:w="125" w:type="dxa"/>
              <w:end w:w="120" w:type="dxa"/>
            </w:tcMar>
          </w:tcPr>
          <w:p>
            <w:pPr>
              <w:spacing w:after="0"/>
            </w:pPr>
            <w:r>
              <w:t xml:space="preserve"> </w:t>
            </w:r>
          </w:p>
        </w:tc>
      </w:tr>
      <w:tr>
        <w:tc>
          <w:tcPr>
            <w:tcW w:type="dxa" w:w="2268"/>
            <w:tcMar>
              <w:top w:w="125" w:type="dxa"/>
              <w:start w:w="120" w:type="dxa"/>
              <w:bottom w:w="125" w:type="dxa"/>
              <w:end w:w="120" w:type="dxa"/>
            </w:tcMar>
            <w:shd w:fill="DCE6F1"/>
          </w:tcPr>
          <w:p>
            <w:pPr>
              <w:spacing w:after="0"/>
            </w:pPr>
            <w:r>
              <w:rPr>
                <w:rFonts w:ascii="Arial" w:hAnsi="Arial" w:eastAsia="Arial"/>
                <w:b/>
                <w:color w:val="000000"/>
                <w:sz w:val="19"/>
              </w:rPr>
              <w:t>Fecha de entrega</w:t>
            </w:r>
          </w:p>
        </w:tc>
        <w:tc>
          <w:tcPr>
            <w:tcW w:type="dxa" w:w="5953"/>
            <w:tcMar>
              <w:top w:w="125" w:type="dxa"/>
              <w:start w:w="120" w:type="dxa"/>
              <w:bottom w:w="125" w:type="dxa"/>
              <w:end w:w="120" w:type="dxa"/>
            </w:tcMar>
          </w:tcPr>
          <w:p>
            <w:pPr>
              <w:spacing w:after="0"/>
            </w:pPr>
            <w:r>
              <w:t xml:space="preserve"> </w:t>
            </w:r>
          </w:p>
        </w:tc>
      </w:tr>
    </w:tbl>
    <w:p>
      <w:pPr>
        <w:widowControl/>
        <w:spacing w:before="240"/>
        <w:jc w:val="center"/>
      </w:pPr>
      <w:r>
        <w:rPr>
          <w:rFonts w:ascii="Arial" w:hAnsi="Arial" w:eastAsia="Arial"/>
          <w:color w:val="666666"/>
          <w:sz w:val="20"/>
        </w:rPr>
        <w:t>Guatemala 2026</w:t>
      </w:r>
    </w:p>
    <w:p>
      <w:pPr>
        <w:widowControl/>
      </w:pPr>
      <w:r>
        <w:br w:type="page"/>
      </w:r>
    </w:p>
    <w:p>
      <w:pPr>
        <w:pStyle w:val="Heading1"/>
        <w:keepNext w:val="0"/>
        <w:keepLines/>
        <w:widowControl/>
        <w:spacing w:before="240" w:after="120"/>
      </w:pPr>
      <w:r>
        <w:rPr>
          <w:rFonts w:ascii="Arial" w:hAnsi="Arial" w:eastAsia="Arial"/>
          <w:b/>
          <w:color w:val="000000"/>
          <w:sz w:val="32"/>
        </w:rPr>
        <w:t>Resumen ejecutivo</w:t>
      </w:r>
    </w:p>
    <w:p>
      <w:pPr>
        <w:widowControl/>
        <w:spacing w:before="40" w:after="120" w:line="276" w:lineRule="auto"/>
        <w:jc w:val="both"/>
      </w:pPr>
      <w:r>
        <w:rPr>
          <w:rFonts w:ascii="Arial" w:hAnsi="Arial" w:eastAsia="Arial"/>
          <w:color w:val="000000"/>
          <w:sz w:val="21"/>
        </w:rPr>
        <w:t>El proyecto desarrolla un simulador educativo del aparato digestivo de la gallina doméstica mediante un modelo tridimensional interactivo. La aplicación conecta anatomía, motilidad, digestión mecánica, digestión química, fermentación cecal, absorción, control neuroendocrino y respuesta ante diez ingredientes. El usuario puede recorrer trece etapas luminales, seleccionar órganos, rotar y acercar el modelo, escuchar narraciones y consultar fichas científicas con referencias.</w:t>
      </w:r>
    </w:p>
    <w:p>
      <w:pPr>
        <w:widowControl/>
        <w:spacing w:before="40" w:after="120" w:line="276" w:lineRule="auto"/>
        <w:jc w:val="both"/>
      </w:pPr>
      <w:r>
        <w:rPr>
          <w:rFonts w:ascii="Arial" w:hAnsi="Arial" w:eastAsia="Arial"/>
          <w:color w:val="000000"/>
          <w:sz w:val="21"/>
        </w:rPr>
        <w:t>El modelo se generó de forma reproducible con Python dentro de Blender, se exportó en formato GLB y se integró en Unity. Los datos científicos se almacenan en archivos JSON independientes del código. Esta separación permite modificar especies, órganos, alimentos y perfiles sin reconstruir toda la aplicación. El resultado se compiló como WebGL y se publicó mediante GitHub Pages para ejecutarse desde un navegador.</w:t>
      </w:r>
    </w:p>
    <w:p>
      <w:pPr>
        <w:widowControl/>
        <w:spacing w:before="40" w:after="120" w:line="276" w:lineRule="auto"/>
        <w:jc w:val="both"/>
      </w:pPr>
      <w:r>
        <w:rPr>
          <w:rFonts w:ascii="Arial" w:hAnsi="Arial" w:eastAsia="Arial"/>
          <w:color w:val="000000"/>
          <w:sz w:val="21"/>
        </w:rPr>
        <w:t>La versión actual constituye un recurso didáctico funcional. Los contenidos científicos internos se encuentran revisados y registrados con estado reviewed en la versión 0.4.0. Aun así, se mantiene como siguiente control de calidad una validación académica externa de la anatomía, la nutrición y la correspondencia auditiva. La animación comunica relaciones funcionales y no reproduce tiempos fisiológicos ni concentraciones hormonales a escala real.</w:t>
      </w:r>
    </w:p>
    <w:p>
      <w:pPr>
        <w:pStyle w:val="Heading1"/>
        <w:keepNext w:val="0"/>
        <w:keepLines/>
        <w:widowControl/>
        <w:spacing w:before="240" w:after="120"/>
      </w:pPr>
      <w:r>
        <w:rPr>
          <w:rFonts w:ascii="Arial" w:hAnsi="Arial" w:eastAsia="Arial"/>
          <w:b/>
          <w:color w:val="000000"/>
          <w:sz w:val="32"/>
        </w:rPr>
        <w:t>Contenido</w:t>
      </w:r>
    </w:p>
    <w:p>
      <w:pPr>
        <w:pStyle w:val="ListBullet"/>
        <w:widowControl/>
        <w:spacing w:after="30" w:line="247" w:lineRule="auto"/>
      </w:pPr>
      <w:r>
        <w:rPr>
          <w:rFonts w:ascii="Arial" w:hAnsi="Arial" w:eastAsia="Arial"/>
          <w:color w:val="000000"/>
          <w:sz w:val="19"/>
        </w:rPr>
        <w:t>1 Propósito y objetivos</w:t>
      </w:r>
    </w:p>
    <w:p>
      <w:pPr>
        <w:pStyle w:val="ListBullet"/>
        <w:widowControl/>
        <w:spacing w:after="30" w:line="247" w:lineRule="auto"/>
      </w:pPr>
      <w:r>
        <w:rPr>
          <w:rFonts w:ascii="Arial" w:hAnsi="Arial" w:eastAsia="Arial"/>
          <w:color w:val="000000"/>
          <w:sz w:val="19"/>
        </w:rPr>
        <w:t>2 Especie seleccionada y alcance del modelo</w:t>
      </w:r>
    </w:p>
    <w:p>
      <w:pPr>
        <w:pStyle w:val="ListBullet"/>
        <w:widowControl/>
        <w:spacing w:after="30" w:line="247" w:lineRule="auto"/>
      </w:pPr>
      <w:r>
        <w:rPr>
          <w:rFonts w:ascii="Arial" w:hAnsi="Arial" w:eastAsia="Arial"/>
          <w:color w:val="000000"/>
          <w:sz w:val="19"/>
        </w:rPr>
        <w:t>3 Recursos utilizados</w:t>
      </w:r>
    </w:p>
    <w:p>
      <w:pPr>
        <w:pStyle w:val="ListBullet"/>
        <w:widowControl/>
        <w:spacing w:after="30" w:line="247" w:lineRule="auto"/>
      </w:pPr>
      <w:r>
        <w:rPr>
          <w:rFonts w:ascii="Arial" w:hAnsi="Arial" w:eastAsia="Arial"/>
          <w:color w:val="000000"/>
          <w:sz w:val="19"/>
        </w:rPr>
        <w:t>4 Construcción del modelo tridimensional</w:t>
      </w:r>
    </w:p>
    <w:p>
      <w:pPr>
        <w:pStyle w:val="ListBullet"/>
        <w:widowControl/>
        <w:spacing w:after="30" w:line="247" w:lineRule="auto"/>
      </w:pPr>
      <w:r>
        <w:rPr>
          <w:rFonts w:ascii="Arial" w:hAnsi="Arial" w:eastAsia="Arial"/>
          <w:color w:val="000000"/>
          <w:sz w:val="19"/>
        </w:rPr>
        <w:t>5 Integración fisiológica y funcionamiento del simulador</w:t>
      </w:r>
    </w:p>
    <w:p>
      <w:pPr>
        <w:pStyle w:val="ListBullet"/>
        <w:widowControl/>
        <w:spacing w:after="30" w:line="247" w:lineRule="auto"/>
      </w:pPr>
      <w:r>
        <w:rPr>
          <w:rFonts w:ascii="Arial" w:hAnsi="Arial" w:eastAsia="Arial"/>
          <w:color w:val="000000"/>
          <w:sz w:val="19"/>
        </w:rPr>
        <w:t>6 Alimentos seleccionados y justificación</w:t>
      </w:r>
    </w:p>
    <w:p>
      <w:pPr>
        <w:pStyle w:val="ListBullet"/>
        <w:widowControl/>
        <w:spacing w:after="30" w:line="247" w:lineRule="auto"/>
      </w:pPr>
      <w:r>
        <w:rPr>
          <w:rFonts w:ascii="Arial" w:hAnsi="Arial" w:eastAsia="Arial"/>
          <w:color w:val="000000"/>
          <w:sz w:val="19"/>
        </w:rPr>
        <w:t>7 Originalidad y criterios de evaluación</w:t>
      </w:r>
    </w:p>
    <w:p>
      <w:pPr>
        <w:pStyle w:val="ListBullet"/>
        <w:widowControl/>
        <w:spacing w:after="30" w:line="247" w:lineRule="auto"/>
      </w:pPr>
      <w:r>
        <w:rPr>
          <w:rFonts w:ascii="Arial" w:hAnsi="Arial" w:eastAsia="Arial"/>
          <w:color w:val="000000"/>
          <w:sz w:val="19"/>
        </w:rPr>
        <w:t>8 Alcances y limitaciones</w:t>
      </w:r>
    </w:p>
    <w:p>
      <w:pPr>
        <w:pStyle w:val="ListBullet"/>
        <w:widowControl/>
        <w:spacing w:after="30" w:line="247" w:lineRule="auto"/>
      </w:pPr>
      <w:r>
        <w:rPr>
          <w:rFonts w:ascii="Arial" w:hAnsi="Arial" w:eastAsia="Arial"/>
          <w:color w:val="000000"/>
          <w:sz w:val="19"/>
        </w:rPr>
        <w:t>Anexo A Guion general de narración</w:t>
      </w:r>
    </w:p>
    <w:p>
      <w:pPr>
        <w:pStyle w:val="ListBullet"/>
        <w:widowControl/>
        <w:spacing w:after="30" w:line="247" w:lineRule="auto"/>
      </w:pPr>
      <w:r>
        <w:rPr>
          <w:rFonts w:ascii="Arial" w:hAnsi="Arial" w:eastAsia="Arial"/>
          <w:color w:val="000000"/>
          <w:sz w:val="19"/>
        </w:rPr>
        <w:t>Anexo B Guiones específicos por alimento</w:t>
      </w:r>
    </w:p>
    <w:p>
      <w:pPr>
        <w:pStyle w:val="ListBullet"/>
        <w:widowControl/>
        <w:spacing w:after="30" w:line="247" w:lineRule="auto"/>
      </w:pPr>
      <w:r>
        <w:rPr>
          <w:rFonts w:ascii="Arial" w:hAnsi="Arial" w:eastAsia="Arial"/>
          <w:color w:val="000000"/>
          <w:sz w:val="19"/>
        </w:rPr>
        <w:t>Referencias bibliográficas</w:t>
      </w:r>
    </w:p>
    <w:p>
      <w:pPr>
        <w:widowControl/>
      </w:pPr>
      <w:r>
        <w:br w:type="page"/>
      </w:r>
    </w:p>
    <w:p>
      <w:pPr>
        <w:pStyle w:val="Heading1"/>
        <w:keepNext w:val="0"/>
        <w:keepLines/>
        <w:widowControl/>
        <w:spacing w:before="240" w:after="120"/>
      </w:pPr>
      <w:r>
        <w:rPr>
          <w:rFonts w:ascii="Arial" w:hAnsi="Arial" w:eastAsia="Arial"/>
          <w:b/>
          <w:color w:val="000000"/>
          <w:sz w:val="32"/>
        </w:rPr>
        <w:t>1 Propósito y objetivos</w:t>
      </w:r>
    </w:p>
    <w:p>
      <w:pPr>
        <w:widowControl/>
        <w:spacing w:before="40" w:after="120" w:line="276" w:lineRule="auto"/>
        <w:jc w:val="both"/>
      </w:pPr>
      <w:r>
        <w:rPr>
          <w:rFonts w:ascii="Arial" w:hAnsi="Arial" w:eastAsia="Arial"/>
          <w:color w:val="000000"/>
          <w:sz w:val="21"/>
        </w:rPr>
        <w:t>El informe documenta la metodología empleada para crear el modelo, los recursos técnicos utilizados, la elección de la especie y de los alimentos, el funcionamiento del simulador y los guiones incorporados. También registra la originalidad del recurso, la fluidez funcional, el manejo del espacio tridimensional y el uso técnico del lenguaje.</w:t>
      </w:r>
    </w:p>
    <w:p>
      <w:pPr>
        <w:pStyle w:val="Heading2"/>
        <w:keepNext w:val="0"/>
        <w:keepLines/>
        <w:widowControl/>
        <w:spacing w:before="180" w:after="180"/>
      </w:pPr>
      <w:r>
        <w:rPr>
          <w:rFonts w:ascii="Arial" w:hAnsi="Arial" w:eastAsia="Arial"/>
          <w:b/>
          <w:color w:val="000000"/>
          <w:sz w:val="25"/>
        </w:rPr>
        <w:t>1 1 Objetivo general</w:t>
      </w:r>
    </w:p>
    <w:p>
      <w:pPr>
        <w:widowControl/>
        <w:spacing w:before="40" w:after="120" w:line="276" w:lineRule="auto"/>
        <w:jc w:val="both"/>
      </w:pPr>
      <w:r>
        <w:rPr>
          <w:rFonts w:ascii="Arial" w:hAnsi="Arial" w:eastAsia="Arial"/>
          <w:color w:val="000000"/>
          <w:sz w:val="21"/>
        </w:rPr>
        <w:t>Desarrollar un recurso tridimensional e interactivo que facilite la comprensión del proceso digestivo de la gallina y permita relacionar la anatomía con la transformación de distintos ingredientes alimentarios.</w:t>
      </w:r>
    </w:p>
    <w:p>
      <w:pPr>
        <w:pStyle w:val="Heading2"/>
        <w:keepNext w:val="0"/>
        <w:keepLines/>
        <w:widowControl/>
        <w:spacing w:before="180" w:after="180"/>
      </w:pPr>
      <w:r>
        <w:rPr>
          <w:rFonts w:ascii="Arial" w:hAnsi="Arial" w:eastAsia="Arial"/>
          <w:b/>
          <w:color w:val="000000"/>
          <w:sz w:val="25"/>
        </w:rPr>
        <w:t>1 2 Objetivos específicos</w:t>
      </w:r>
    </w:p>
    <w:p>
      <w:pPr>
        <w:pStyle w:val="ListBullet"/>
        <w:widowControl/>
        <w:spacing w:after="30" w:line="247" w:lineRule="auto"/>
      </w:pPr>
      <w:r>
        <w:rPr>
          <w:rFonts w:ascii="Arial" w:hAnsi="Arial" w:eastAsia="Arial"/>
          <w:color w:val="000000"/>
          <w:sz w:val="19"/>
        </w:rPr>
        <w:t>Representar los órganos digestivos aviares en su posición relativa dentro de una silueta de gallina.</w:t>
      </w:r>
    </w:p>
    <w:p>
      <w:pPr>
        <w:pStyle w:val="ListBullet"/>
        <w:widowControl/>
        <w:spacing w:after="30" w:line="247" w:lineRule="auto"/>
      </w:pPr>
      <w:r>
        <w:rPr>
          <w:rFonts w:ascii="Arial" w:hAnsi="Arial" w:eastAsia="Arial"/>
          <w:color w:val="000000"/>
          <w:sz w:val="19"/>
        </w:rPr>
        <w:t>Explicar cronológicamente la ingestión, el transporte, el almacenamiento, la trituración, la digestión química, la absorción, la fermentación cecal y la eliminación.</w:t>
      </w:r>
    </w:p>
    <w:p>
      <w:pPr>
        <w:pStyle w:val="ListBullet"/>
        <w:widowControl/>
        <w:spacing w:after="30" w:line="247" w:lineRule="auto"/>
      </w:pPr>
      <w:r>
        <w:rPr>
          <w:rFonts w:ascii="Arial" w:hAnsi="Arial" w:eastAsia="Arial"/>
          <w:color w:val="000000"/>
          <w:sz w:val="19"/>
        </w:rPr>
        <w:t>Comparar la respuesta fisiológica ante cereales, harinas proteicas, un forraje deshidratado y una fuente lipídica.</w:t>
      </w:r>
    </w:p>
    <w:p>
      <w:pPr>
        <w:pStyle w:val="ListBullet"/>
        <w:widowControl/>
        <w:spacing w:after="30" w:line="247" w:lineRule="auto"/>
      </w:pPr>
      <w:r>
        <w:rPr>
          <w:rFonts w:ascii="Arial" w:hAnsi="Arial" w:eastAsia="Arial"/>
          <w:color w:val="000000"/>
          <w:sz w:val="19"/>
        </w:rPr>
        <w:t>Mostrar rutas de absorción, destinos metabólicos y señales neuroendocrinas con apoyo visual y narrativo.</w:t>
      </w:r>
    </w:p>
    <w:p>
      <w:pPr>
        <w:pStyle w:val="ListBullet"/>
        <w:widowControl/>
        <w:spacing w:after="30" w:line="247" w:lineRule="auto"/>
      </w:pPr>
      <w:r>
        <w:rPr>
          <w:rFonts w:ascii="Arial" w:hAnsi="Arial" w:eastAsia="Arial"/>
          <w:color w:val="000000"/>
          <w:sz w:val="19"/>
        </w:rPr>
        <w:t>Publicar el recurso en WebGL para permitir su consulta desde un navegador sin instalar Unity.</w:t>
      </w:r>
    </w:p>
    <w:p>
      <w:pPr>
        <w:pStyle w:val="Heading1"/>
        <w:keepNext w:val="0"/>
        <w:keepLines/>
        <w:widowControl/>
        <w:spacing w:before="240" w:after="120"/>
      </w:pPr>
      <w:r>
        <w:rPr>
          <w:rFonts w:ascii="Arial" w:hAnsi="Arial" w:eastAsia="Arial"/>
          <w:b/>
          <w:color w:val="000000"/>
          <w:sz w:val="32"/>
        </w:rPr>
        <w:t>2 Especie seleccionada y alcance del modelo</w:t>
      </w:r>
    </w:p>
    <w:p>
      <w:pPr>
        <w:widowControl/>
        <w:spacing w:before="40" w:after="120" w:line="276" w:lineRule="auto"/>
        <w:jc w:val="both"/>
      </w:pPr>
      <w:r>
        <w:rPr>
          <w:rFonts w:ascii="Arial" w:hAnsi="Arial" w:eastAsia="Arial"/>
          <w:color w:val="000000"/>
          <w:sz w:val="21"/>
        </w:rPr>
        <w:t>La especie representada es la gallina doméstica, Gallus gallus domesticus. Se eligió porque su aparato digestivo presenta adaptaciones que permiten explicar con claridad la relación entre estructura, función y alimentación: ausencia de dientes, buche para almacenamiento, proventrículo glandular, molleja muscular, asa duodenal asociada con el páncreas, dos ciegos y una cloaca dividida en regiones.</w:t>
      </w:r>
    </w:p>
    <w:p>
      <w:pPr>
        <w:widowControl/>
        <w:spacing w:before="40" w:after="120" w:line="276" w:lineRule="auto"/>
        <w:jc w:val="both"/>
      </w:pPr>
      <w:r>
        <w:rPr>
          <w:rFonts w:ascii="Arial" w:hAnsi="Arial" w:eastAsia="Arial"/>
          <w:color w:val="000000"/>
          <w:sz w:val="21"/>
        </w:rPr>
        <w:t>La gallina es una especie monogástrica aviar. No posee rumen ni abomaso. La fermentación microbiana principal se asocia con los ciegos, donde parte de la fibra y otros sustratos no digeridos puede transformarse en ácidos grasos de cadena corta. Esta precisión evita trasladar términos propios de los rumiantes al modelo aviar.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99"/>
        <w:gridCol w:w="3099"/>
        <w:gridCol w:w="3099"/>
      </w:tblGrid>
      <w:tr>
        <w:trPr>
          <w:tblHeader w:val="true"/>
        </w:trPr>
        <w:tc>
          <w:tcPr>
            <w:tcW w:type="dxa" w:w="1757"/>
            <w:shd w:fill="17365D"/>
            <w:tcMar>
              <w:top w:w="110" w:type="dxa"/>
              <w:start w:w="120" w:type="dxa"/>
              <w:bottom w:w="110" w:type="dxa"/>
              <w:end w:w="120" w:type="dxa"/>
            </w:tcMar>
            <w:vAlign w:val="center"/>
          </w:tcPr>
          <w:p>
            <w:pPr>
              <w:spacing w:after="0"/>
              <w:jc w:val="center"/>
            </w:pPr>
            <w:r>
              <w:rPr>
                <w:rFonts w:ascii="Arial" w:hAnsi="Arial" w:eastAsia="Arial"/>
                <w:b/>
                <w:color w:val="FFFFFF"/>
                <w:sz w:val="17"/>
              </w:rPr>
              <w:t>Componente</w:t>
            </w:r>
          </w:p>
        </w:tc>
        <w:tc>
          <w:tcPr>
            <w:tcW w:type="dxa" w:w="3798"/>
            <w:shd w:fill="17365D"/>
            <w:tcMar>
              <w:top w:w="110" w:type="dxa"/>
              <w:start w:w="120" w:type="dxa"/>
              <w:bottom w:w="110" w:type="dxa"/>
              <w:end w:w="120" w:type="dxa"/>
            </w:tcMar>
            <w:vAlign w:val="center"/>
          </w:tcPr>
          <w:p>
            <w:pPr>
              <w:spacing w:after="0"/>
              <w:jc w:val="center"/>
            </w:pPr>
            <w:r>
              <w:rPr>
                <w:rFonts w:ascii="Arial" w:hAnsi="Arial" w:eastAsia="Arial"/>
                <w:b/>
                <w:color w:val="FFFFFF"/>
                <w:sz w:val="17"/>
              </w:rPr>
              <w:t>Representación en el modelo</w:t>
            </w:r>
          </w:p>
        </w:tc>
        <w:tc>
          <w:tcPr>
            <w:tcW w:type="dxa" w:w="3402"/>
            <w:shd w:fill="17365D"/>
            <w:tcMar>
              <w:top w:w="110" w:type="dxa"/>
              <w:start w:w="120" w:type="dxa"/>
              <w:bottom w:w="110" w:type="dxa"/>
              <w:end w:w="120" w:type="dxa"/>
            </w:tcMar>
            <w:vAlign w:val="center"/>
          </w:tcPr>
          <w:p>
            <w:pPr>
              <w:spacing w:after="0"/>
              <w:jc w:val="center"/>
            </w:pPr>
            <w:r>
              <w:rPr>
                <w:rFonts w:ascii="Arial" w:hAnsi="Arial" w:eastAsia="Arial"/>
                <w:b/>
                <w:color w:val="FFFFFF"/>
                <w:sz w:val="17"/>
              </w:rPr>
              <w:t>Importancia didáctica</w:t>
            </w:r>
          </w:p>
        </w:tc>
      </w:tr>
      <w:tr>
        <w:trPr>
          <w:cantSplit/>
        </w:trPr>
        <w:tc>
          <w:tcPr>
            <w:tcW w:type="dxa" w:w="1757"/>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Tracto superior</w:t>
            </w:r>
          </w:p>
        </w:tc>
        <w:tc>
          <w:tcPr>
            <w:tcW w:type="dxa" w:w="3798"/>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Pico, cavidad oral, lengua, glándulas salivales, faringe y esófago</w:t>
            </w:r>
          </w:p>
        </w:tc>
        <w:tc>
          <w:tcPr>
            <w:tcW w:type="dxa" w:w="3402"/>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Explica prensión, humectación, deglución y transporte</w:t>
            </w:r>
          </w:p>
        </w:tc>
      </w:tr>
      <w:tr>
        <w:trPr>
          <w:cantSplit/>
        </w:trPr>
        <w:tc>
          <w:tcPr>
            <w:tcW w:type="dxa" w:w="1757"/>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Región gástrica</w:t>
            </w:r>
          </w:p>
        </w:tc>
        <w:tc>
          <w:tcPr>
            <w:tcW w:type="dxa" w:w="3798"/>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Buche, proventrículo y molleja</w:t>
            </w:r>
          </w:p>
        </w:tc>
        <w:tc>
          <w:tcPr>
            <w:tcW w:type="dxa" w:w="3402"/>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Distingue almacenamiento, secreción ácida y trituración muscular</w:t>
            </w:r>
          </w:p>
        </w:tc>
      </w:tr>
      <w:tr>
        <w:trPr>
          <w:cantSplit/>
        </w:trPr>
        <w:tc>
          <w:tcPr>
            <w:tcW w:type="dxa" w:w="1757"/>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Intestino delgado</w:t>
            </w:r>
          </w:p>
        </w:tc>
        <w:tc>
          <w:tcPr>
            <w:tcW w:type="dxa" w:w="3798"/>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Duodeno, yeyuno, íleon y divertículo de Meckel</w:t>
            </w:r>
          </w:p>
        </w:tc>
        <w:tc>
          <w:tcPr>
            <w:tcW w:type="dxa" w:w="3402"/>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Integra enzimas, bilis, motilidad y absorción</w:t>
            </w:r>
          </w:p>
        </w:tc>
      </w:tr>
      <w:tr>
        <w:trPr>
          <w:cantSplit/>
        </w:trPr>
        <w:tc>
          <w:tcPr>
            <w:tcW w:type="dxa" w:w="1757"/>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Órganos accesorios</w:t>
            </w:r>
          </w:p>
        </w:tc>
        <w:tc>
          <w:tcPr>
            <w:tcW w:type="dxa" w:w="3798"/>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Hígado, vías biliares y páncreas</w:t>
            </w:r>
          </w:p>
        </w:tc>
        <w:tc>
          <w:tcPr>
            <w:tcW w:type="dxa" w:w="3402"/>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Muestra secreciones y destinos metabólicos</w:t>
            </w:r>
          </w:p>
        </w:tc>
      </w:tr>
      <w:tr>
        <w:trPr>
          <w:cantSplit/>
        </w:trPr>
        <w:tc>
          <w:tcPr>
            <w:tcW w:type="dxa" w:w="1757"/>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Intestino posterior</w:t>
            </w:r>
          </w:p>
        </w:tc>
        <w:tc>
          <w:tcPr>
            <w:tcW w:type="dxa" w:w="3798"/>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Ciegos pares, colon y cloaca</w:t>
            </w:r>
          </w:p>
        </w:tc>
        <w:tc>
          <w:tcPr>
            <w:tcW w:type="dxa" w:w="3402"/>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Representa fermentación cecal, recuperación de agua y eliminación</w:t>
            </w:r>
          </w:p>
        </w:tc>
      </w:tr>
    </w:tbl>
    <w:p>
      <w:pPr>
        <w:widowControl/>
        <w:spacing w:after="0"/>
      </w:pPr>
    </w:p>
    <w:p>
      <w:pPr>
        <w:widowControl/>
      </w:pPr>
      <w:r>
        <w:br w:type="page"/>
      </w:r>
    </w:p>
    <w:p>
      <w:pPr>
        <w:pStyle w:val="Heading1"/>
        <w:keepNext w:val="0"/>
        <w:keepLines/>
        <w:widowControl/>
        <w:spacing w:before="240" w:after="120"/>
      </w:pPr>
      <w:r>
        <w:rPr>
          <w:rFonts w:ascii="Arial" w:hAnsi="Arial" w:eastAsia="Arial"/>
          <w:b/>
          <w:color w:val="000000"/>
          <w:sz w:val="32"/>
        </w:rPr>
        <w:t>3 Recursos utilizados</w:t>
      </w:r>
    </w:p>
    <w:p>
      <w:pPr>
        <w:widowControl/>
        <w:spacing w:before="40" w:after="120" w:line="276" w:lineRule="auto"/>
        <w:jc w:val="both"/>
      </w:pPr>
      <w:r>
        <w:rPr>
          <w:rFonts w:ascii="Arial" w:hAnsi="Arial" w:eastAsia="Arial"/>
          <w:color w:val="000000"/>
          <w:sz w:val="21"/>
        </w:rPr>
        <w:t>El proyecto combina herramientas de modelado, programación, gestión de datos, síntesis de voz y publicación web. Cada recurso cumple una función específica dentro de una cadena reproducible.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99"/>
        <w:gridCol w:w="3099"/>
        <w:gridCol w:w="3099"/>
      </w:tblGrid>
      <w:tr>
        <w:trPr>
          <w:tblHeader w:val="true"/>
        </w:trPr>
        <w:tc>
          <w:tcPr>
            <w:tcW w:type="dxa" w:w="2041"/>
            <w:shd w:fill="17365D"/>
            <w:tcMar>
              <w:top w:w="110" w:type="dxa"/>
              <w:start w:w="120" w:type="dxa"/>
              <w:bottom w:w="110" w:type="dxa"/>
              <w:end w:w="120" w:type="dxa"/>
            </w:tcMar>
            <w:vAlign w:val="center"/>
          </w:tcPr>
          <w:p>
            <w:pPr>
              <w:spacing w:after="0"/>
              <w:jc w:val="center"/>
            </w:pPr>
            <w:r>
              <w:rPr>
                <w:rFonts w:ascii="Arial" w:hAnsi="Arial" w:eastAsia="Arial"/>
                <w:b/>
                <w:color w:val="FFFFFF"/>
                <w:sz w:val="17"/>
              </w:rPr>
              <w:t>Recurso</w:t>
            </w:r>
          </w:p>
        </w:tc>
        <w:tc>
          <w:tcPr>
            <w:tcW w:type="dxa" w:w="3515"/>
            <w:shd w:fill="17365D"/>
            <w:tcMar>
              <w:top w:w="110" w:type="dxa"/>
              <w:start w:w="120" w:type="dxa"/>
              <w:bottom w:w="110" w:type="dxa"/>
              <w:end w:w="120" w:type="dxa"/>
            </w:tcMar>
            <w:vAlign w:val="center"/>
          </w:tcPr>
          <w:p>
            <w:pPr>
              <w:spacing w:after="0"/>
              <w:jc w:val="center"/>
            </w:pPr>
            <w:r>
              <w:rPr>
                <w:rFonts w:ascii="Arial" w:hAnsi="Arial" w:eastAsia="Arial"/>
                <w:b/>
                <w:color w:val="FFFFFF"/>
                <w:sz w:val="17"/>
              </w:rPr>
              <w:t>Uso</w:t>
            </w:r>
          </w:p>
        </w:tc>
        <w:tc>
          <w:tcPr>
            <w:tcW w:type="dxa" w:w="3402"/>
            <w:shd w:fill="17365D"/>
            <w:tcMar>
              <w:top w:w="110" w:type="dxa"/>
              <w:start w:w="120" w:type="dxa"/>
              <w:bottom w:w="110" w:type="dxa"/>
              <w:end w:w="120" w:type="dxa"/>
            </w:tcMar>
            <w:vAlign w:val="center"/>
          </w:tcPr>
          <w:p>
            <w:pPr>
              <w:spacing w:after="0"/>
              <w:jc w:val="center"/>
            </w:pPr>
            <w:r>
              <w:rPr>
                <w:rFonts w:ascii="Arial" w:hAnsi="Arial" w:eastAsia="Arial"/>
                <w:b/>
                <w:color w:val="FFFFFF"/>
                <w:sz w:val="17"/>
              </w:rPr>
              <w:t>Aporte al proyecto</w:t>
            </w:r>
          </w:p>
        </w:tc>
      </w:tr>
      <w:tr>
        <w:trPr>
          <w:cantSplit/>
        </w:trPr>
        <w:tc>
          <w:tcPr>
            <w:tcW w:type="dxa" w:w="2041"/>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Blender 5.2</w:t>
            </w:r>
          </w:p>
        </w:tc>
        <w:tc>
          <w:tcPr>
            <w:tcW w:type="dxa" w:w="3515"/>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Modelado tridimensional, materiales, organización de objetos y exportación GLB</w:t>
            </w:r>
          </w:p>
        </w:tc>
        <w:tc>
          <w:tcPr>
            <w:tcW w:type="dxa" w:w="3402"/>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Permite editar la fuente y regenerar la anatomía</w:t>
            </w:r>
          </w:p>
        </w:tc>
      </w:tr>
      <w:tr>
        <w:trPr>
          <w:cantSplit/>
        </w:trPr>
        <w:tc>
          <w:tcPr>
            <w:tcW w:type="dxa" w:w="2041"/>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Python</w:t>
            </w:r>
          </w:p>
        </w:tc>
        <w:tc>
          <w:tcPr>
            <w:tcW w:type="dxa" w:w="3515"/>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Generación paramétrica y validación de las mallas</w:t>
            </w:r>
          </w:p>
        </w:tc>
        <w:tc>
          <w:tcPr>
            <w:tcW w:type="dxa" w:w="3402"/>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Reduce errores manuales y conserva medidas reproducibles</w:t>
            </w:r>
          </w:p>
        </w:tc>
      </w:tr>
      <w:tr>
        <w:trPr>
          <w:cantSplit/>
        </w:trPr>
        <w:tc>
          <w:tcPr>
            <w:tcW w:type="dxa" w:w="2041"/>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Unity 6000.5.7f1</w:t>
            </w:r>
          </w:p>
        </w:tc>
        <w:tc>
          <w:tcPr>
            <w:tcW w:type="dxa" w:w="3515"/>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Interacción, cámara, simulación, audio e interfaz</w:t>
            </w:r>
          </w:p>
        </w:tc>
        <w:tc>
          <w:tcPr>
            <w:tcW w:type="dxa" w:w="3402"/>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Integra el contenido científico con el modelo 3D</w:t>
            </w:r>
          </w:p>
        </w:tc>
      </w:tr>
      <w:tr>
        <w:trPr>
          <w:cantSplit/>
        </w:trPr>
        <w:tc>
          <w:tcPr>
            <w:tcW w:type="dxa" w:w="2041"/>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C Sharp</w:t>
            </w:r>
          </w:p>
        </w:tc>
        <w:tc>
          <w:tcPr>
            <w:tcW w:type="dxa" w:w="3515"/>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Carga de datos, lógica de etapas y presentación</w:t>
            </w:r>
          </w:p>
        </w:tc>
        <w:tc>
          <w:tcPr>
            <w:tcW w:type="dxa" w:w="3402"/>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Mantiene separada la lógica de la información científica</w:t>
            </w:r>
          </w:p>
        </w:tc>
      </w:tr>
      <w:tr>
        <w:trPr>
          <w:cantSplit/>
        </w:trPr>
        <w:tc>
          <w:tcPr>
            <w:tcW w:type="dxa" w:w="2041"/>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glTFast 6.14.1</w:t>
            </w:r>
          </w:p>
        </w:tc>
        <w:tc>
          <w:tcPr>
            <w:tcW w:type="dxa" w:w="3515"/>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Carga de modelos GLB</w:t>
            </w:r>
          </w:p>
        </w:tc>
        <w:tc>
          <w:tcPr>
            <w:tcW w:type="dxa" w:w="3402"/>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Conserva una ruta compatible con escritorio y WebGL</w:t>
            </w:r>
          </w:p>
        </w:tc>
      </w:tr>
      <w:tr>
        <w:trPr>
          <w:cantSplit/>
        </w:trPr>
        <w:tc>
          <w:tcPr>
            <w:tcW w:type="dxa" w:w="2041"/>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URP 17.5.0</w:t>
            </w:r>
          </w:p>
        </w:tc>
        <w:tc>
          <w:tcPr>
            <w:tcW w:type="dxa" w:w="3515"/>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Materiales y renderizado</w:t>
            </w:r>
          </w:p>
        </w:tc>
        <w:tc>
          <w:tcPr>
            <w:tcW w:type="dxa" w:w="3402"/>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Sustituye el pipeline integrado obsoleto</w:t>
            </w:r>
          </w:p>
        </w:tc>
      </w:tr>
      <w:tr>
        <w:trPr>
          <w:cantSplit/>
        </w:trPr>
        <w:tc>
          <w:tcPr>
            <w:tcW w:type="dxa" w:w="2041"/>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JSON y Newtonsoft JSON</w:t>
            </w:r>
          </w:p>
        </w:tc>
        <w:tc>
          <w:tcPr>
            <w:tcW w:type="dxa" w:w="3515"/>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Especies, órganos, alimentos, perfiles y referencias</w:t>
            </w:r>
          </w:p>
        </w:tc>
        <w:tc>
          <w:tcPr>
            <w:tcW w:type="dxa" w:w="3402"/>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Facilita ampliar el catálogo sin condicionales rígidos</w:t>
            </w:r>
          </w:p>
        </w:tc>
      </w:tr>
      <w:tr>
        <w:trPr>
          <w:cantSplit/>
        </w:trPr>
        <w:tc>
          <w:tcPr>
            <w:tcW w:type="dxa" w:w="2041"/>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MP3 y síntesis de voz</w:t>
            </w:r>
          </w:p>
        </w:tc>
        <w:tc>
          <w:tcPr>
            <w:tcW w:type="dxa" w:w="3515"/>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Narración general y específica por ingrediente</w:t>
            </w:r>
          </w:p>
        </w:tc>
        <w:tc>
          <w:tcPr>
            <w:tcW w:type="dxa" w:w="3402"/>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Apoya diferentes estilos de aprendizaje</w:t>
            </w:r>
          </w:p>
        </w:tc>
      </w:tr>
      <w:tr>
        <w:trPr>
          <w:cantSplit/>
        </w:trPr>
        <w:tc>
          <w:tcPr>
            <w:tcW w:type="dxa" w:w="2041"/>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WebGL</w:t>
            </w:r>
          </w:p>
        </w:tc>
        <w:tc>
          <w:tcPr>
            <w:tcW w:type="dxa" w:w="3515"/>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Ejecución en navegador</w:t>
            </w:r>
          </w:p>
        </w:tc>
        <w:tc>
          <w:tcPr>
            <w:tcW w:type="dxa" w:w="3402"/>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Evita depender de una instalación local de Unity</w:t>
            </w:r>
          </w:p>
        </w:tc>
      </w:tr>
      <w:tr>
        <w:trPr>
          <w:cantSplit/>
        </w:trPr>
        <w:tc>
          <w:tcPr>
            <w:tcW w:type="dxa" w:w="2041"/>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GitHub y GitHub Pages</w:t>
            </w:r>
          </w:p>
        </w:tc>
        <w:tc>
          <w:tcPr>
            <w:tcW w:type="dxa" w:w="3515"/>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Versionado, automatización y publicación</w:t>
            </w:r>
          </w:p>
        </w:tc>
        <w:tc>
          <w:tcPr>
            <w:tcW w:type="dxa" w:w="3402"/>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Mantiene una versión pública y reproducible</w:t>
            </w:r>
          </w:p>
        </w:tc>
      </w:tr>
    </w:tbl>
    <w:p>
      <w:pPr>
        <w:widowControl/>
        <w:spacing w:after="0"/>
      </w:pPr>
    </w:p>
    <w:p>
      <w:pPr>
        <w:widowControl/>
        <w:spacing w:before="40" w:after="120" w:line="276" w:lineRule="auto"/>
        <w:jc w:val="both"/>
      </w:pPr>
      <w:r>
        <w:rPr>
          <w:rFonts w:ascii="Arial" w:hAnsi="Arial" w:eastAsia="Arial"/>
          <w:color w:val="000000"/>
          <w:sz w:val="21"/>
        </w:rPr>
        <w:t>El simulador público se encuentra en https://jonathnadelgadoch.github.io/simulador-digestivo-gallina/. El repositorio conserva las fuentes Blender, los GLB, el proyecto Unity, los datos científicos y el flujo automatizado de publicación.</w:t>
      </w:r>
    </w:p>
    <w:p>
      <w:pPr>
        <w:widowControl/>
      </w:pPr>
      <w:r>
        <w:br w:type="page"/>
      </w:r>
    </w:p>
    <w:p>
      <w:pPr>
        <w:pStyle w:val="Heading1"/>
        <w:keepNext w:val="0"/>
        <w:keepLines/>
        <w:widowControl/>
        <w:spacing w:before="240" w:after="120"/>
      </w:pPr>
      <w:r>
        <w:rPr>
          <w:rFonts w:ascii="Arial" w:hAnsi="Arial" w:eastAsia="Arial"/>
          <w:b/>
          <w:color w:val="000000"/>
          <w:sz w:val="32"/>
        </w:rPr>
        <w:t>4 Construcción del modelo tridimensional</w:t>
      </w:r>
    </w:p>
    <w:p>
      <w:pPr>
        <w:pStyle w:val="Heading2"/>
        <w:keepNext w:val="0"/>
        <w:keepLines/>
        <w:widowControl/>
        <w:spacing w:before="180" w:after="180"/>
      </w:pPr>
      <w:r>
        <w:rPr>
          <w:rFonts w:ascii="Arial" w:hAnsi="Arial" w:eastAsia="Arial"/>
          <w:b/>
          <w:color w:val="000000"/>
          <w:sz w:val="25"/>
        </w:rPr>
        <w:t>4 1 Diseño reproducible</w:t>
      </w:r>
    </w:p>
    <w:p>
      <w:pPr>
        <w:widowControl/>
        <w:spacing w:before="40" w:after="120" w:line="276" w:lineRule="auto"/>
        <w:jc w:val="both"/>
      </w:pPr>
      <w:r>
        <w:rPr>
          <w:rFonts w:ascii="Arial" w:hAnsi="Arial" w:eastAsia="Arial"/>
          <w:color w:val="000000"/>
          <w:sz w:val="21"/>
        </w:rPr>
        <w:t>La geometría se construyó mediante un generador escrito en Python y ejecutado dentro de Blender. El programa crea la silueta exterior, los órganos, los materiales y los metadatos; después guarda una fuente editable y exporta dos archivos GLB. El primero contiene la envolvente de la gallina y el segundo contiene diecinueve objetos digestivos seleccionables.</w:t>
      </w:r>
    </w:p>
    <w:p>
      <w:pPr>
        <w:widowControl/>
        <w:spacing w:before="40" w:after="120" w:line="276" w:lineRule="auto"/>
        <w:jc w:val="both"/>
      </w:pPr>
      <w:r>
        <w:rPr>
          <w:rFonts w:ascii="Arial" w:hAnsi="Arial" w:eastAsia="Arial"/>
          <w:color w:val="000000"/>
          <w:sz w:val="21"/>
        </w:rPr>
        <w:t>Cada órgano mantiene el mismo identificador en cuatro niveles: definición JSON, grafo digestivo, nombre del objeto GLB y clave interna de Unity. Por ejemplo, gizzard identifica la molleja en todos los componentes. Esta convención permite seleccionar una malla y recuperar inmediatamente su ficha científica.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99"/>
        <w:gridCol w:w="3099"/>
        <w:gridCol w:w="3099"/>
      </w:tblGrid>
      <w:tr>
        <w:trPr>
          <w:tblHeader w:val="true"/>
        </w:trPr>
        <w:tc>
          <w:tcPr>
            <w:tcW w:type="dxa" w:w="793"/>
            <w:shd w:fill="17365D"/>
            <w:tcMar>
              <w:top w:w="110" w:type="dxa"/>
              <w:start w:w="120" w:type="dxa"/>
              <w:bottom w:w="110" w:type="dxa"/>
              <w:end w:w="120" w:type="dxa"/>
            </w:tcMar>
            <w:vAlign w:val="center"/>
          </w:tcPr>
          <w:p>
            <w:pPr>
              <w:spacing w:after="0"/>
              <w:jc w:val="center"/>
            </w:pPr>
            <w:r>
              <w:rPr>
                <w:rFonts w:ascii="Arial" w:hAnsi="Arial" w:eastAsia="Arial"/>
                <w:b/>
                <w:color w:val="FFFFFF"/>
                <w:sz w:val="17"/>
              </w:rPr>
              <w:t>Etapa</w:t>
            </w:r>
          </w:p>
        </w:tc>
        <w:tc>
          <w:tcPr>
            <w:tcW w:type="dxa" w:w="2551"/>
            <w:shd w:fill="17365D"/>
            <w:tcMar>
              <w:top w:w="110" w:type="dxa"/>
              <w:start w:w="120" w:type="dxa"/>
              <w:bottom w:w="110" w:type="dxa"/>
              <w:end w:w="120" w:type="dxa"/>
            </w:tcMar>
            <w:vAlign w:val="center"/>
          </w:tcPr>
          <w:p>
            <w:pPr>
              <w:spacing w:after="0"/>
              <w:jc w:val="center"/>
            </w:pPr>
            <w:r>
              <w:rPr>
                <w:rFonts w:ascii="Arial" w:hAnsi="Arial" w:eastAsia="Arial"/>
                <w:b/>
                <w:color w:val="FFFFFF"/>
                <w:sz w:val="17"/>
              </w:rPr>
              <w:t>Acción</w:t>
            </w:r>
          </w:p>
        </w:tc>
        <w:tc>
          <w:tcPr>
            <w:tcW w:type="dxa" w:w="5613"/>
            <w:shd w:fill="17365D"/>
            <w:tcMar>
              <w:top w:w="110" w:type="dxa"/>
              <w:start w:w="120" w:type="dxa"/>
              <w:bottom w:w="110" w:type="dxa"/>
              <w:end w:w="120" w:type="dxa"/>
            </w:tcMar>
            <w:vAlign w:val="center"/>
          </w:tcPr>
          <w:p>
            <w:pPr>
              <w:spacing w:after="0"/>
              <w:jc w:val="center"/>
            </w:pPr>
            <w:r>
              <w:rPr>
                <w:rFonts w:ascii="Arial" w:hAnsi="Arial" w:eastAsia="Arial"/>
                <w:b/>
                <w:color w:val="FFFFFF"/>
                <w:sz w:val="17"/>
              </w:rPr>
              <w:t>Resultado</w:t>
            </w:r>
          </w:p>
        </w:tc>
      </w:tr>
      <w:tr>
        <w:trPr>
          <w:cantSplit/>
        </w:trPr>
        <w:tc>
          <w:tcPr>
            <w:tcW w:type="dxa" w:w="793"/>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1</w:t>
            </w:r>
          </w:p>
        </w:tc>
        <w:tc>
          <w:tcPr>
            <w:tcW w:type="dxa" w:w="2551"/>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Definir referencias anatómicas</w:t>
            </w:r>
          </w:p>
        </w:tc>
        <w:tc>
          <w:tcPr>
            <w:tcW w:type="dxa" w:w="5613"/>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Se establecieron la silueta, la posición relativa y la secuencia digestiva</w:t>
            </w:r>
          </w:p>
        </w:tc>
      </w:tr>
      <w:tr>
        <w:trPr>
          <w:cantSplit/>
        </w:trPr>
        <w:tc>
          <w:tcPr>
            <w:tcW w:type="dxa" w:w="793"/>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2</w:t>
            </w:r>
          </w:p>
        </w:tc>
        <w:tc>
          <w:tcPr>
            <w:tcW w:type="dxa" w:w="2551"/>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Generar la envolvente</w:t>
            </w:r>
          </w:p>
        </w:tc>
        <w:tc>
          <w:tcPr>
            <w:tcW w:type="dxa" w:w="5613"/>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Se combinaron volúmenes para cuerpo, cuello, cabeza, alas, cola, patas, pico, cresta y barbillas</w:t>
            </w:r>
          </w:p>
        </w:tc>
      </w:tr>
      <w:tr>
        <w:trPr>
          <w:cantSplit/>
        </w:trPr>
        <w:tc>
          <w:tcPr>
            <w:tcW w:type="dxa" w:w="793"/>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3</w:t>
            </w:r>
          </w:p>
        </w:tc>
        <w:tc>
          <w:tcPr>
            <w:tcW w:type="dxa" w:w="2551"/>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Construir los órganos</w:t>
            </w:r>
          </w:p>
        </w:tc>
        <w:tc>
          <w:tcPr>
            <w:tcW w:type="dxa" w:w="5613"/>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Se usaron mallas elipsoidales, perfiles, tubos Bézier y piezas continuas</w:t>
            </w:r>
          </w:p>
        </w:tc>
      </w:tr>
      <w:tr>
        <w:trPr>
          <w:cantSplit/>
        </w:trPr>
        <w:tc>
          <w:tcPr>
            <w:tcW w:type="dxa" w:w="793"/>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4</w:t>
            </w:r>
          </w:p>
        </w:tc>
        <w:tc>
          <w:tcPr>
            <w:tcW w:type="dxa" w:w="2551"/>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Remodelar por bloques</w:t>
            </w:r>
          </w:p>
        </w:tc>
        <w:tc>
          <w:tcPr>
            <w:tcW w:type="dxa" w:w="5613"/>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Se refinaron región gástrica, asa duodenal, intestino delgado, intestino posterior, tracto superior y vías biliares</w:t>
            </w:r>
          </w:p>
        </w:tc>
      </w:tr>
      <w:tr>
        <w:trPr>
          <w:cantSplit/>
        </w:trPr>
        <w:tc>
          <w:tcPr>
            <w:tcW w:type="dxa" w:w="793"/>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5</w:t>
            </w:r>
          </w:p>
        </w:tc>
        <w:tc>
          <w:tcPr>
            <w:tcW w:type="dxa" w:w="2551"/>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Normalizar</w:t>
            </w:r>
          </w:p>
        </w:tc>
        <w:tc>
          <w:tcPr>
            <w:tcW w:type="dxa" w:w="5613"/>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Se corrigieron escalas, rotaciones, pivotes, normales, UV, materiales y nombres</w:t>
            </w:r>
          </w:p>
        </w:tc>
      </w:tr>
      <w:tr>
        <w:trPr>
          <w:cantSplit/>
        </w:trPr>
        <w:tc>
          <w:tcPr>
            <w:tcW w:type="dxa" w:w="793"/>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6</w:t>
            </w:r>
          </w:p>
        </w:tc>
        <w:tc>
          <w:tcPr>
            <w:tcW w:type="dxa" w:w="2551"/>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Exportar</w:t>
            </w:r>
          </w:p>
        </w:tc>
        <w:tc>
          <w:tcPr>
            <w:tcW w:type="dxa" w:w="5613"/>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Se generaron model glb y digestive system glb</w:t>
            </w:r>
          </w:p>
        </w:tc>
      </w:tr>
      <w:tr>
        <w:trPr>
          <w:cantSplit/>
        </w:trPr>
        <w:tc>
          <w:tcPr>
            <w:tcW w:type="dxa" w:w="793"/>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7</w:t>
            </w:r>
          </w:p>
        </w:tc>
        <w:tc>
          <w:tcPr>
            <w:tcW w:type="dxa" w:w="2551"/>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Reimportar y validar</w:t>
            </w:r>
          </w:p>
        </w:tc>
        <w:tc>
          <w:tcPr>
            <w:tcW w:type="dxa" w:w="5613"/>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El validador comprobó nombres, continuidad, compactación y presupuesto geométrico</w:t>
            </w:r>
          </w:p>
        </w:tc>
      </w:tr>
      <w:tr>
        <w:trPr>
          <w:cantSplit/>
        </w:trPr>
        <w:tc>
          <w:tcPr>
            <w:tcW w:type="dxa" w:w="793"/>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8</w:t>
            </w:r>
          </w:p>
        </w:tc>
        <w:tc>
          <w:tcPr>
            <w:tcW w:type="dxa" w:w="2551"/>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Integrar en Unity</w:t>
            </w:r>
          </w:p>
        </w:tc>
        <w:tc>
          <w:tcPr>
            <w:tcW w:type="dxa" w:w="5613"/>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glTFast cargó los modelos y Unity agregó colliders, selección, transparencia e interacción</w:t>
            </w:r>
          </w:p>
        </w:tc>
      </w:tr>
      <w:tr>
        <w:trPr>
          <w:cantSplit/>
        </w:trPr>
        <w:tc>
          <w:tcPr>
            <w:tcW w:type="dxa" w:w="793"/>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9</w:t>
            </w:r>
          </w:p>
        </w:tc>
        <w:tc>
          <w:tcPr>
            <w:tcW w:type="dxa" w:w="2551"/>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Compilar para WebGL</w:t>
            </w:r>
          </w:p>
        </w:tc>
        <w:tc>
          <w:tcPr>
            <w:tcW w:type="dxa" w:w="5613"/>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El build se preparó para alojamiento estático y publicación automatizada</w:t>
            </w:r>
          </w:p>
        </w:tc>
      </w:tr>
    </w:tbl>
    <w:p>
      <w:pPr>
        <w:widowControl/>
        <w:spacing w:after="0"/>
      </w:pPr>
    </w:p>
    <w:p>
      <w:pPr>
        <w:pStyle w:val="Heading2"/>
        <w:keepNext w:val="0"/>
        <w:keepLines/>
        <w:widowControl/>
        <w:spacing w:before="180" w:after="180"/>
      </w:pPr>
      <w:r>
        <w:rPr>
          <w:rFonts w:ascii="Arial" w:hAnsi="Arial" w:eastAsia="Arial"/>
          <w:b/>
          <w:color w:val="000000"/>
          <w:sz w:val="25"/>
        </w:rPr>
        <w:t>4 2 Remodelación anatómica</w:t>
      </w:r>
    </w:p>
    <w:p>
      <w:pPr>
        <w:widowControl/>
        <w:spacing w:before="40" w:after="120" w:line="276" w:lineRule="auto"/>
        <w:jc w:val="both"/>
      </w:pPr>
      <w:r>
        <w:rPr>
          <w:rFonts w:ascii="Arial" w:hAnsi="Arial" w:eastAsia="Arial"/>
          <w:color w:val="000000"/>
          <w:sz w:val="21"/>
        </w:rPr>
        <w:t>La remodelación se dividió en bloques para controlar la complejidad. El primer bloque diferenció hígado, molleja, buche y proventrículo. El segundo formó el asa duodenal alrededor de un páncreas alargado. El tercero creó asas yeyunales irregulares, un íleon afinado y el divertículo de Meckel. El cuarto desarrolló ciegos pares, colon y las regiones de la cloaca. El quinto completó el pico, la cavidad oral, la lengua, las glándulas salivales, la faringe, el esófago y las conexiones biliares.</w:t>
      </w:r>
    </w:p>
    <w:p>
      <w:pPr>
        <w:widowControl/>
        <w:spacing w:before="40" w:after="120" w:line="276" w:lineRule="auto"/>
        <w:jc w:val="both"/>
      </w:pPr>
      <w:r>
        <w:rPr>
          <w:rFonts w:ascii="Arial" w:hAnsi="Arial" w:eastAsia="Arial"/>
          <w:color w:val="000000"/>
          <w:sz w:val="21"/>
        </w:rPr>
        <w:t>El aparato digestivo utiliza 85 132 triángulos y la envolvente exterior 7 196, para un total de 92 328. Este nivel mejora la definición de las formas sin exceder el límite automático de 120 000 triángulos aplicado al conjunto digestivo.</w:t>
      </w:r>
    </w:p>
    <w:p>
      <w:pPr>
        <w:widowControl/>
        <w:jc w:val="center"/>
      </w:pPr>
      <w:r>
        <w:drawing>
          <wp:inline xmlns:a="http://schemas.openxmlformats.org/drawingml/2006/main" xmlns:pic="http://schemas.openxmlformats.org/drawingml/2006/picture">
            <wp:extent cx="4297680" cy="4297680"/>
            <wp:docPr id="2" name="Picture 2" title="Órganos digestivos aislados" descr="Vista tridimensional aislada de los órganos digestivos de la gallina"/>
            <wp:cNvGraphicFramePr>
              <a:graphicFrameLocks noChangeAspect="1"/>
            </wp:cNvGraphicFramePr>
            <a:graphic>
              <a:graphicData uri="http://schemas.openxmlformats.org/drawingml/2006/picture">
                <pic:pic>
                  <pic:nvPicPr>
                    <pic:cNvPr id="0" name="chicken_digestive_organs_preview.png"/>
                    <pic:cNvPicPr/>
                  </pic:nvPicPr>
                  <pic:blipFill>
                    <a:blip r:embed="rId12"/>
                    <a:stretch>
                      <a:fillRect/>
                    </a:stretch>
                  </pic:blipFill>
                  <pic:spPr>
                    <a:xfrm>
                      <a:off x="0" y="0"/>
                      <a:ext cx="4297680" cy="4297680"/>
                    </a:xfrm>
                    <a:prstGeom prst="rect"/>
                  </pic:spPr>
                </pic:pic>
              </a:graphicData>
            </a:graphic>
          </wp:inline>
        </w:drawing>
      </w:r>
    </w:p>
    <w:p>
      <w:pPr>
        <w:pStyle w:val="Caption"/>
        <w:widowControl/>
        <w:spacing w:before="80" w:after="180"/>
        <w:jc w:val="center"/>
      </w:pPr>
      <w:r>
        <w:rPr>
          <w:rFonts w:ascii="Arial" w:hAnsi="Arial" w:eastAsia="Arial"/>
          <w:i/>
          <w:color w:val="666666"/>
          <w:sz w:val="18"/>
        </w:rPr>
        <w:t>Figura 1 Conjunto digestivo aislado después de la remodelación</w:t>
      </w:r>
    </w:p>
    <w:p>
      <w:pPr>
        <w:widowControl/>
      </w:pPr>
      <w:r>
        <w:br w:type="page"/>
      </w:r>
    </w:p>
    <w:p>
      <w:pPr>
        <w:widowControl/>
        <w:jc w:val="center"/>
      </w:pPr>
      <w:r>
        <w:drawing>
          <wp:inline xmlns:a="http://schemas.openxmlformats.org/drawingml/2006/main" xmlns:pic="http://schemas.openxmlformats.org/drawingml/2006/picture">
            <wp:extent cx="5120640" cy="5120640"/>
            <wp:docPr id="3" name="Picture 3" title="Integración anatómica" descr="Gallina semitransparente con órganos digestivos compactados dentro de la silueta"/>
            <wp:cNvGraphicFramePr>
              <a:graphicFrameLocks noChangeAspect="1"/>
            </wp:cNvGraphicFramePr>
            <a:graphic>
              <a:graphicData uri="http://schemas.openxmlformats.org/drawingml/2006/picture">
                <pic:pic>
                  <pic:nvPicPr>
                    <pic:cNvPr id="0" name="chicken_digestive_preview.png"/>
                    <pic:cNvPicPr/>
                  </pic:nvPicPr>
                  <pic:blipFill>
                    <a:blip r:embed="rId11"/>
                    <a:stretch>
                      <a:fillRect/>
                    </a:stretch>
                  </pic:blipFill>
                  <pic:spPr>
                    <a:xfrm>
                      <a:off x="0" y="0"/>
                      <a:ext cx="5120640" cy="5120640"/>
                    </a:xfrm>
                    <a:prstGeom prst="rect"/>
                  </pic:spPr>
                </pic:pic>
              </a:graphicData>
            </a:graphic>
          </wp:inline>
        </w:drawing>
      </w:r>
    </w:p>
    <w:p>
      <w:pPr>
        <w:pStyle w:val="Caption"/>
        <w:widowControl/>
        <w:spacing w:before="80" w:after="180"/>
        <w:jc w:val="center"/>
      </w:pPr>
      <w:r>
        <w:rPr>
          <w:rFonts w:ascii="Arial" w:hAnsi="Arial" w:eastAsia="Arial"/>
          <w:i/>
          <w:color w:val="666666"/>
          <w:sz w:val="18"/>
        </w:rPr>
        <w:t>Figura 2 Integración de los órganos dentro de la silueta de la gallina</w:t>
      </w:r>
    </w:p>
    <w:p>
      <w:pPr>
        <w:pStyle w:val="Heading2"/>
        <w:keepNext w:val="0"/>
        <w:keepLines/>
        <w:widowControl/>
        <w:spacing w:before="180" w:after="180"/>
      </w:pPr>
      <w:r>
        <w:rPr>
          <w:rFonts w:ascii="Arial" w:hAnsi="Arial" w:eastAsia="Arial"/>
          <w:b/>
          <w:color w:val="000000"/>
          <w:sz w:val="25"/>
        </w:rPr>
        <w:t>4 3 Manejo del espacio</w:t>
      </w:r>
    </w:p>
    <w:p>
      <w:pPr>
        <w:widowControl/>
        <w:spacing w:before="40" w:after="120" w:line="276" w:lineRule="auto"/>
        <w:jc w:val="both"/>
      </w:pPr>
      <w:r>
        <w:rPr>
          <w:rFonts w:ascii="Arial" w:hAnsi="Arial" w:eastAsia="Arial"/>
          <w:color w:val="000000"/>
          <w:sz w:val="21"/>
        </w:rPr>
        <w:t>Los órganos se compactaron dentro del volumen corporal para evitar que sobresalieran de la silueta. La interfaz permite rotar el modelo con el mouse, acercar o alejar la cámara, desplazar el encuadre y enfocar un órgano. El exterior semitransparente conserva la referencia corporal sin ocultar las estructuras internas. La separación visual de las mallas facilita la selección y reduce la ambigüedad durante la explicación.</w:t>
      </w:r>
    </w:p>
    <w:p>
      <w:pPr>
        <w:widowControl/>
      </w:pPr>
      <w:r>
        <w:br w:type="page"/>
      </w:r>
    </w:p>
    <w:p>
      <w:pPr>
        <w:pStyle w:val="Heading1"/>
        <w:keepNext w:val="0"/>
        <w:keepLines/>
        <w:widowControl/>
        <w:spacing w:before="240" w:after="120"/>
      </w:pPr>
      <w:r>
        <w:rPr>
          <w:rFonts w:ascii="Arial" w:hAnsi="Arial" w:eastAsia="Arial"/>
          <w:b/>
          <w:color w:val="000000"/>
          <w:sz w:val="32"/>
        </w:rPr>
        <w:t>5 Integración fisiológica y funcionamiento del simulador</w:t>
      </w:r>
    </w:p>
    <w:p>
      <w:pPr>
        <w:widowControl/>
        <w:spacing w:before="40" w:after="120" w:line="276" w:lineRule="auto"/>
        <w:jc w:val="both"/>
      </w:pPr>
      <w:r>
        <w:rPr>
          <w:rFonts w:ascii="Arial" w:hAnsi="Arial" w:eastAsia="Arial"/>
          <w:color w:val="000000"/>
          <w:sz w:val="21"/>
        </w:rPr>
        <w:t>El recorrido se construye desde un grafo digestivo. Cada nodo declara el órgano, el proceso que representa y la etapa siguiente. El motor recorre trece etapas luminales y mantiene aparte los órganos accesorios, que aportan secreciones o señales sin convertirse en pasos por donde transita el bolo.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99"/>
        <w:gridCol w:w="3099"/>
        <w:gridCol w:w="3099"/>
      </w:tblGrid>
      <w:tr>
        <w:trPr>
          <w:tblHeader w:val="true"/>
        </w:trPr>
        <w:tc>
          <w:tcPr>
            <w:tcW w:type="dxa" w:w="1701"/>
            <w:shd w:fill="17365D"/>
            <w:tcMar>
              <w:top w:w="110" w:type="dxa"/>
              <w:start w:w="120" w:type="dxa"/>
              <w:bottom w:w="110" w:type="dxa"/>
              <w:end w:w="120" w:type="dxa"/>
            </w:tcMar>
            <w:vAlign w:val="center"/>
          </w:tcPr>
          <w:p>
            <w:pPr>
              <w:spacing w:after="0"/>
              <w:jc w:val="center"/>
            </w:pPr>
            <w:r>
              <w:rPr>
                <w:rFonts w:ascii="Arial" w:hAnsi="Arial" w:eastAsia="Arial"/>
                <w:b/>
                <w:color w:val="FFFFFF"/>
                <w:sz w:val="16"/>
              </w:rPr>
              <w:t>Etapa</w:t>
            </w:r>
          </w:p>
        </w:tc>
        <w:tc>
          <w:tcPr>
            <w:tcW w:type="dxa" w:w="2835"/>
            <w:shd w:fill="17365D"/>
            <w:tcMar>
              <w:top w:w="110" w:type="dxa"/>
              <w:start w:w="120" w:type="dxa"/>
              <w:bottom w:w="110" w:type="dxa"/>
              <w:end w:w="120" w:type="dxa"/>
            </w:tcMar>
            <w:vAlign w:val="center"/>
          </w:tcPr>
          <w:p>
            <w:pPr>
              <w:spacing w:after="0"/>
              <w:jc w:val="center"/>
            </w:pPr>
            <w:r>
              <w:rPr>
                <w:rFonts w:ascii="Arial" w:hAnsi="Arial" w:eastAsia="Arial"/>
                <w:b/>
                <w:color w:val="FFFFFF"/>
                <w:sz w:val="16"/>
              </w:rPr>
              <w:t>Proceso principal</w:t>
            </w:r>
          </w:p>
        </w:tc>
        <w:tc>
          <w:tcPr>
            <w:tcW w:type="dxa" w:w="4422"/>
            <w:shd w:fill="17365D"/>
            <w:tcMar>
              <w:top w:w="110" w:type="dxa"/>
              <w:start w:w="120" w:type="dxa"/>
              <w:bottom w:w="110" w:type="dxa"/>
              <w:end w:w="120" w:type="dxa"/>
            </w:tcMar>
            <w:vAlign w:val="center"/>
          </w:tcPr>
          <w:p>
            <w:pPr>
              <w:spacing w:after="0"/>
              <w:jc w:val="center"/>
            </w:pPr>
            <w:r>
              <w:rPr>
                <w:rFonts w:ascii="Arial" w:hAnsi="Arial" w:eastAsia="Arial"/>
                <w:b/>
                <w:color w:val="FFFFFF"/>
                <w:sz w:val="16"/>
              </w:rPr>
              <w:t>Elementos técnicos</w:t>
            </w:r>
          </w:p>
        </w:tc>
      </w:tr>
      <w:tr>
        <w:trPr>
          <w:cantSplit/>
        </w:trPr>
        <w:tc>
          <w:tcPr>
            <w:tcW w:type="dxa" w:w="1701"/>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Pico</w:t>
            </w:r>
          </w:p>
        </w:tc>
        <w:tc>
          <w:tcPr>
            <w:tcW w:type="dxa" w:w="2835"/>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Ingestión y fraccionamiento superficial</w:t>
            </w:r>
          </w:p>
        </w:tc>
        <w:tc>
          <w:tcPr>
            <w:tcW w:type="dxa" w:w="4422"/>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Prensión; no existe masticación dental</w:t>
            </w:r>
          </w:p>
        </w:tc>
      </w:tr>
      <w:tr>
        <w:trPr>
          <w:cantSplit/>
        </w:trPr>
        <w:tc>
          <w:tcPr>
            <w:tcW w:type="dxa" w:w="1701"/>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Cavidad oral</w:t>
            </w:r>
          </w:p>
        </w:tc>
        <w:tc>
          <w:tcPr>
            <w:tcW w:type="dxa" w:w="2835"/>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Humectación y formación del bolo</w:t>
            </w:r>
          </w:p>
        </w:tc>
        <w:tc>
          <w:tcPr>
            <w:tcW w:type="dxa" w:w="4422"/>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Saliva, moco y manipulación lingual</w:t>
            </w:r>
          </w:p>
        </w:tc>
      </w:tr>
      <w:tr>
        <w:trPr>
          <w:cantSplit/>
        </w:trPr>
        <w:tc>
          <w:tcPr>
            <w:tcW w:type="dxa" w:w="1701"/>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Faringe</w:t>
            </w:r>
          </w:p>
        </w:tc>
        <w:tc>
          <w:tcPr>
            <w:tcW w:type="dxa" w:w="2835"/>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Deglución</w:t>
            </w:r>
          </w:p>
        </w:tc>
        <w:tc>
          <w:tcPr>
            <w:tcW w:type="dxa" w:w="4422"/>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Transporte reflejo hacia el esófago</w:t>
            </w:r>
          </w:p>
        </w:tc>
      </w:tr>
      <w:tr>
        <w:trPr>
          <w:cantSplit/>
        </w:trPr>
        <w:tc>
          <w:tcPr>
            <w:tcW w:type="dxa" w:w="1701"/>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Esófago</w:t>
            </w:r>
          </w:p>
        </w:tc>
        <w:tc>
          <w:tcPr>
            <w:tcW w:type="dxa" w:w="2835"/>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Propulsión</w:t>
            </w:r>
          </w:p>
        </w:tc>
        <w:tc>
          <w:tcPr>
            <w:tcW w:type="dxa" w:w="4422"/>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Motilidad peristáltica y lubricación</w:t>
            </w:r>
          </w:p>
        </w:tc>
      </w:tr>
      <w:tr>
        <w:trPr>
          <w:cantSplit/>
        </w:trPr>
        <w:tc>
          <w:tcPr>
            <w:tcW w:type="dxa" w:w="1701"/>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Buche</w:t>
            </w:r>
          </w:p>
        </w:tc>
        <w:tc>
          <w:tcPr>
            <w:tcW w:type="dxa" w:w="2835"/>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Almacenamiento</w:t>
            </w:r>
          </w:p>
        </w:tc>
        <w:tc>
          <w:tcPr>
            <w:tcW w:type="dxa" w:w="4422"/>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Humectación y fermentación microbiana limitada</w:t>
            </w:r>
          </w:p>
        </w:tc>
      </w:tr>
      <w:tr>
        <w:trPr>
          <w:cantSplit/>
        </w:trPr>
        <w:tc>
          <w:tcPr>
            <w:tcW w:type="dxa" w:w="1701"/>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Proventrículo</w:t>
            </w:r>
          </w:p>
        </w:tc>
        <w:tc>
          <w:tcPr>
            <w:tcW w:type="dxa" w:w="2835"/>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Digestión química gástrica</w:t>
            </w:r>
          </w:p>
        </w:tc>
        <w:tc>
          <w:tcPr>
            <w:tcW w:type="dxa" w:w="4422"/>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Ácido clorhídrico, pepsinógeno y moco</w:t>
            </w:r>
          </w:p>
        </w:tc>
      </w:tr>
      <w:tr>
        <w:trPr>
          <w:cantSplit/>
        </w:trPr>
        <w:tc>
          <w:tcPr>
            <w:tcW w:type="dxa" w:w="1701"/>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Molleja</w:t>
            </w:r>
          </w:p>
        </w:tc>
        <w:tc>
          <w:tcPr>
            <w:tcW w:type="dxa" w:w="2835"/>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Digestión mecánica</w:t>
            </w:r>
          </w:p>
        </w:tc>
        <w:tc>
          <w:tcPr>
            <w:tcW w:type="dxa" w:w="4422"/>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Trituración, mezcla, clasificación y retención selectiva</w:t>
            </w:r>
          </w:p>
        </w:tc>
      </w:tr>
      <w:tr>
        <w:trPr>
          <w:cantSplit/>
        </w:trPr>
        <w:tc>
          <w:tcPr>
            <w:tcW w:type="dxa" w:w="1701"/>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Duodeno</w:t>
            </w:r>
          </w:p>
        </w:tc>
        <w:tc>
          <w:tcPr>
            <w:tcW w:type="dxa" w:w="2835"/>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Digestión y absorción inicial</w:t>
            </w:r>
          </w:p>
        </w:tc>
        <w:tc>
          <w:tcPr>
            <w:tcW w:type="dxa" w:w="4422"/>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Bicarbonato, enzimas pancreáticas y bilis</w:t>
            </w:r>
          </w:p>
        </w:tc>
      </w:tr>
      <w:tr>
        <w:trPr>
          <w:cantSplit/>
        </w:trPr>
        <w:tc>
          <w:tcPr>
            <w:tcW w:type="dxa" w:w="1701"/>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Yeyuno</w:t>
            </w:r>
          </w:p>
        </w:tc>
        <w:tc>
          <w:tcPr>
            <w:tcW w:type="dxa" w:w="2835"/>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Digestión final y absorción</w:t>
            </w:r>
          </w:p>
        </w:tc>
        <w:tc>
          <w:tcPr>
            <w:tcW w:type="dxa" w:w="4422"/>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Monosacáridos, aminoácidos y productos lipídicos</w:t>
            </w:r>
          </w:p>
        </w:tc>
      </w:tr>
      <w:tr>
        <w:trPr>
          <w:cantSplit/>
        </w:trPr>
        <w:tc>
          <w:tcPr>
            <w:tcW w:type="dxa" w:w="1701"/>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Íleon</w:t>
            </w:r>
          </w:p>
        </w:tc>
        <w:tc>
          <w:tcPr>
            <w:tcW w:type="dxa" w:w="2835"/>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Absorción remanente</w:t>
            </w:r>
          </w:p>
        </w:tc>
        <w:tc>
          <w:tcPr>
            <w:tcW w:type="dxa" w:w="4422"/>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Nutrientes, agua y electrolitos</w:t>
            </w:r>
          </w:p>
        </w:tc>
      </w:tr>
      <w:tr>
        <w:trPr>
          <w:cantSplit/>
        </w:trPr>
        <w:tc>
          <w:tcPr>
            <w:tcW w:type="dxa" w:w="1701"/>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Ciegos</w:t>
            </w:r>
          </w:p>
        </w:tc>
        <w:tc>
          <w:tcPr>
            <w:tcW w:type="dxa" w:w="2835"/>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Fermentación microbiana</w:t>
            </w:r>
          </w:p>
        </w:tc>
        <w:tc>
          <w:tcPr>
            <w:tcW w:type="dxa" w:w="4422"/>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Ácidos grasos de cadena corta y recuperación de agua</w:t>
            </w:r>
          </w:p>
        </w:tc>
      </w:tr>
      <w:tr>
        <w:trPr>
          <w:cantSplit/>
        </w:trPr>
        <w:tc>
          <w:tcPr>
            <w:tcW w:type="dxa" w:w="1701"/>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Colon</w:t>
            </w:r>
          </w:p>
        </w:tc>
        <w:tc>
          <w:tcPr>
            <w:tcW w:type="dxa" w:w="2835"/>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Transporte final</w:t>
            </w:r>
          </w:p>
        </w:tc>
        <w:tc>
          <w:tcPr>
            <w:tcW w:type="dxa" w:w="4422"/>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Recuperación de agua y electrolitos</w:t>
            </w:r>
          </w:p>
        </w:tc>
      </w:tr>
      <w:tr>
        <w:trPr>
          <w:cantSplit/>
        </w:trPr>
        <w:tc>
          <w:tcPr>
            <w:tcW w:type="dxa" w:w="1701"/>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Cloaca</w:t>
            </w:r>
          </w:p>
        </w:tc>
        <w:tc>
          <w:tcPr>
            <w:tcW w:type="dxa" w:w="2835"/>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Integración terminal y eliminación</w:t>
            </w:r>
          </w:p>
        </w:tc>
        <w:tc>
          <w:tcPr>
            <w:tcW w:type="dxa" w:w="4422"/>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Coprodeo, urodeo y proctodeo</w:t>
            </w:r>
          </w:p>
        </w:tc>
      </w:tr>
    </w:tbl>
    <w:p>
      <w:pPr>
        <w:widowControl/>
        <w:spacing w:after="0"/>
      </w:pPr>
    </w:p>
    <w:p>
      <w:pPr>
        <w:pStyle w:val="Heading2"/>
        <w:keepNext w:val="0"/>
        <w:keepLines/>
        <w:widowControl/>
        <w:spacing w:before="180" w:after="180"/>
      </w:pPr>
      <w:r>
        <w:rPr>
          <w:rFonts w:ascii="Arial" w:hAnsi="Arial" w:eastAsia="Arial"/>
          <w:b/>
          <w:color w:val="000000"/>
          <w:sz w:val="25"/>
        </w:rPr>
        <w:t>5 1 Rutas de absorción</w:t>
      </w:r>
    </w:p>
    <w:p>
      <w:pPr>
        <w:widowControl/>
        <w:spacing w:before="40" w:after="120" w:line="276" w:lineRule="auto"/>
        <w:jc w:val="both"/>
      </w:pPr>
      <w:r>
        <w:rPr>
          <w:rFonts w:ascii="Arial" w:hAnsi="Arial" w:eastAsia="Arial"/>
          <w:color w:val="000000"/>
          <w:sz w:val="21"/>
        </w:rPr>
        <w:t>La simulación distingue cuatro rutas. Los carbohidratos absorbidos como monosacáridos, los aminoácidos y los productos lipídicos se conectan con la circulación portal y el hígado. Para los lípidos se representa la particularidad aviar de transporte sanguíneo mediante portomicrones, en lugar de reutilizar el esquema linfático típico de los mamíferos. Los productos de la fermentación cecal se vinculan con el epitelio cecal y la circulación portal.</w:t>
      </w:r>
    </w:p>
    <w:p>
      <w:pPr>
        <w:pStyle w:val="Heading2"/>
        <w:keepNext w:val="0"/>
        <w:keepLines/>
        <w:widowControl/>
        <w:spacing w:before="180" w:after="180"/>
      </w:pPr>
      <w:r>
        <w:rPr>
          <w:rFonts w:ascii="Arial" w:hAnsi="Arial" w:eastAsia="Arial"/>
          <w:b/>
          <w:color w:val="000000"/>
          <w:sz w:val="25"/>
        </w:rPr>
        <w:t>5 2 Control nervioso y endocrino</w:t>
      </w:r>
    </w:p>
    <w:p>
      <w:pPr>
        <w:widowControl/>
        <w:spacing w:before="40" w:after="120" w:line="276" w:lineRule="auto"/>
        <w:jc w:val="both"/>
      </w:pPr>
      <w:r>
        <w:rPr>
          <w:rFonts w:ascii="Arial" w:hAnsi="Arial" w:eastAsia="Arial"/>
          <w:color w:val="000000"/>
          <w:sz w:val="21"/>
        </w:rPr>
        <w:t>Las fichas describen el sistema nervioso entérico y la modulación autónoma. La interfaz representa señales como la colecistoquinina, la gastrina y el reflejo de distensión del buche. Las trayectorias visuales conectan el origen con el órgano objetivo y explican la respuesta, por ejemplo secreción pancreática, entrega de bilis o regulación gástrica. La animación es cualitativa: no calcula concentración hormonal, latencia ni relaciones dosis respuesta.</w:t>
      </w:r>
    </w:p>
    <w:p>
      <w:pPr>
        <w:pStyle w:val="Heading2"/>
        <w:keepNext w:val="0"/>
        <w:keepLines/>
        <w:widowControl/>
        <w:spacing w:before="180" w:after="180"/>
      </w:pPr>
      <w:r>
        <w:rPr>
          <w:rFonts w:ascii="Arial" w:hAnsi="Arial" w:eastAsia="Arial"/>
          <w:b/>
          <w:color w:val="000000"/>
          <w:sz w:val="25"/>
        </w:rPr>
        <w:t>5 3 Interacción y narración</w:t>
      </w:r>
    </w:p>
    <w:p>
      <w:pPr>
        <w:pStyle w:val="ListBullet"/>
        <w:widowControl/>
        <w:spacing w:after="30" w:line="247" w:lineRule="auto"/>
      </w:pPr>
      <w:r>
        <w:rPr>
          <w:rFonts w:ascii="Arial" w:hAnsi="Arial" w:eastAsia="Arial"/>
          <w:color w:val="000000"/>
          <w:sz w:val="19"/>
        </w:rPr>
        <w:t>Selección de órganos por lista o clic directo sobre la malla.</w:t>
      </w:r>
    </w:p>
    <w:p>
      <w:pPr>
        <w:pStyle w:val="ListBullet"/>
        <w:widowControl/>
        <w:spacing w:after="30" w:line="247" w:lineRule="auto"/>
      </w:pPr>
      <w:r>
        <w:rPr>
          <w:rFonts w:ascii="Arial" w:hAnsi="Arial" w:eastAsia="Arial"/>
          <w:color w:val="000000"/>
          <w:sz w:val="19"/>
        </w:rPr>
        <w:t>Rotación orbital, zoom, desplazamiento y recentrado de la cámara.</w:t>
      </w:r>
    </w:p>
    <w:p>
      <w:pPr>
        <w:pStyle w:val="ListBullet"/>
        <w:widowControl/>
        <w:spacing w:after="30" w:line="247" w:lineRule="auto"/>
      </w:pPr>
      <w:r>
        <w:rPr>
          <w:rFonts w:ascii="Arial" w:hAnsi="Arial" w:eastAsia="Arial"/>
          <w:color w:val="000000"/>
          <w:sz w:val="19"/>
        </w:rPr>
        <w:t>Controles de reproducción, pausa, reinicio y avance por etapas.</w:t>
      </w:r>
    </w:p>
    <w:p>
      <w:pPr>
        <w:pStyle w:val="ListBullet"/>
        <w:widowControl/>
        <w:spacing w:after="30" w:line="247" w:lineRule="auto"/>
      </w:pPr>
      <w:r>
        <w:rPr>
          <w:rFonts w:ascii="Arial" w:hAnsi="Arial" w:eastAsia="Arial"/>
          <w:color w:val="000000"/>
          <w:sz w:val="19"/>
        </w:rPr>
        <w:t>Partícula alimentaria con cambios cualitativos de tamaño y marcadores para almidón, proteína, lípidos y fibra.</w:t>
      </w:r>
    </w:p>
    <w:p>
      <w:pPr>
        <w:pStyle w:val="ListBullet"/>
        <w:widowControl/>
        <w:spacing w:after="30" w:line="247" w:lineRule="auto"/>
      </w:pPr>
      <w:r>
        <w:rPr>
          <w:rFonts w:ascii="Arial" w:hAnsi="Arial" w:eastAsia="Arial"/>
          <w:color w:val="000000"/>
          <w:sz w:val="19"/>
        </w:rPr>
        <w:t>Quince audios anatómicos generales y treinta narraciones específicas por alimento.</w:t>
      </w:r>
    </w:p>
    <w:p>
      <w:pPr>
        <w:pStyle w:val="ListBullet"/>
        <w:widowControl/>
        <w:spacing w:after="30" w:line="247" w:lineRule="auto"/>
      </w:pPr>
      <w:r>
        <w:rPr>
          <w:rFonts w:ascii="Arial" w:hAnsi="Arial" w:eastAsia="Arial"/>
          <w:color w:val="000000"/>
          <w:sz w:val="19"/>
        </w:rPr>
        <w:t>Recorrido guiado de cinco pasos para usuarios nuevos.</w:t>
      </w:r>
    </w:p>
    <w:p>
      <w:pPr>
        <w:pStyle w:val="ListBullet"/>
        <w:widowControl/>
        <w:spacing w:after="30" w:line="247" w:lineRule="auto"/>
      </w:pPr>
      <w:r>
        <w:rPr>
          <w:rFonts w:ascii="Arial" w:hAnsi="Arial" w:eastAsia="Arial"/>
          <w:color w:val="000000"/>
          <w:sz w:val="19"/>
        </w:rPr>
        <w:t>Bibliografía visible y separación entre valores medidos, tabulados y pendientes.</w:t>
      </w:r>
    </w:p>
    <w:p>
      <w:pPr>
        <w:pStyle w:val="Heading1"/>
        <w:keepNext w:val="0"/>
        <w:keepLines/>
        <w:widowControl/>
        <w:spacing w:before="240" w:after="120"/>
      </w:pPr>
      <w:r>
        <w:rPr>
          <w:rFonts w:ascii="Arial" w:hAnsi="Arial" w:eastAsia="Arial"/>
          <w:b/>
          <w:color w:val="000000"/>
          <w:sz w:val="32"/>
        </w:rPr>
        <w:t>6 Alimentos seleccionados y justificación</w:t>
      </w:r>
    </w:p>
    <w:p>
      <w:pPr>
        <w:widowControl/>
        <w:spacing w:before="40" w:after="120" w:line="276" w:lineRule="auto"/>
        <w:jc w:val="both"/>
      </w:pPr>
      <w:r>
        <w:rPr>
          <w:rFonts w:ascii="Arial" w:hAnsi="Arial" w:eastAsia="Arial"/>
          <w:color w:val="000000"/>
          <w:sz w:val="21"/>
        </w:rPr>
        <w:t>Se seleccionaron diez ingredientes para cubrir contrastes relevantes en nutrición aviar. Los cereales permiten comparar almidón, fibra soluble, taninos y tamaño de partícula. Las harinas proteicas permiten explicar proteólisis, aminoácidos, fibra residual y efecto del procesamiento. La harina de alfalfa representa un forraje deshidratado con alta fibra. El aceite de soya concentra el componente lipídico y permite explicar emulsificación, lipasa, CCK y transporte mediante portomicrones.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24"/>
        <w:gridCol w:w="2324"/>
        <w:gridCol w:w="2324"/>
        <w:gridCol w:w="2324"/>
      </w:tblGrid>
      <w:tr>
        <w:trPr>
          <w:tblHeader w:val="true"/>
        </w:trPr>
        <w:tc>
          <w:tcPr>
            <w:tcW w:type="dxa" w:w="1701"/>
            <w:shd w:fill="17365D"/>
            <w:tcMar>
              <w:top w:w="110" w:type="dxa"/>
              <w:start w:w="120" w:type="dxa"/>
              <w:bottom w:w="110" w:type="dxa"/>
              <w:end w:w="120" w:type="dxa"/>
            </w:tcMar>
            <w:vAlign w:val="center"/>
          </w:tcPr>
          <w:p>
            <w:pPr>
              <w:spacing w:after="0"/>
              <w:jc w:val="center"/>
            </w:pPr>
            <w:r>
              <w:rPr>
                <w:rFonts w:ascii="Arial" w:hAnsi="Arial" w:eastAsia="Arial"/>
                <w:b/>
                <w:color w:val="FFFFFF"/>
                <w:sz w:val="16"/>
              </w:rPr>
              <w:t>Ingrediente</w:t>
            </w:r>
          </w:p>
        </w:tc>
        <w:tc>
          <w:tcPr>
            <w:tcW w:type="dxa" w:w="1587"/>
            <w:shd w:fill="17365D"/>
            <w:tcMar>
              <w:top w:w="110" w:type="dxa"/>
              <w:start w:w="120" w:type="dxa"/>
              <w:bottom w:w="110" w:type="dxa"/>
              <w:end w:w="120" w:type="dxa"/>
            </w:tcMar>
            <w:vAlign w:val="center"/>
          </w:tcPr>
          <w:p>
            <w:pPr>
              <w:spacing w:after="0"/>
              <w:jc w:val="center"/>
            </w:pPr>
            <w:r>
              <w:rPr>
                <w:rFonts w:ascii="Arial" w:hAnsi="Arial" w:eastAsia="Arial"/>
                <w:b/>
                <w:color w:val="FFFFFF"/>
                <w:sz w:val="16"/>
              </w:rPr>
              <w:t>Categoría</w:t>
            </w:r>
          </w:p>
        </w:tc>
        <w:tc>
          <w:tcPr>
            <w:tcW w:type="dxa" w:w="2494"/>
            <w:shd w:fill="17365D"/>
            <w:tcMar>
              <w:top w:w="110" w:type="dxa"/>
              <w:start w:w="120" w:type="dxa"/>
              <w:bottom w:w="110" w:type="dxa"/>
              <w:end w:w="120" w:type="dxa"/>
            </w:tcMar>
            <w:vAlign w:val="center"/>
          </w:tcPr>
          <w:p>
            <w:pPr>
              <w:spacing w:after="0"/>
              <w:jc w:val="center"/>
            </w:pPr>
            <w:r>
              <w:rPr>
                <w:rFonts w:ascii="Arial" w:hAnsi="Arial" w:eastAsia="Arial"/>
                <w:b/>
                <w:color w:val="FFFFFF"/>
                <w:sz w:val="16"/>
              </w:rPr>
              <w:t>Composición porcentual</w:t>
            </w:r>
          </w:p>
        </w:tc>
        <w:tc>
          <w:tcPr>
            <w:tcW w:type="dxa" w:w="3175"/>
            <w:shd w:fill="17365D"/>
            <w:tcMar>
              <w:top w:w="110" w:type="dxa"/>
              <w:start w:w="120" w:type="dxa"/>
              <w:bottom w:w="110" w:type="dxa"/>
              <w:end w:w="120" w:type="dxa"/>
            </w:tcMar>
            <w:vAlign w:val="center"/>
          </w:tcPr>
          <w:p>
            <w:pPr>
              <w:spacing w:after="0"/>
              <w:jc w:val="center"/>
            </w:pPr>
            <w:r>
              <w:rPr>
                <w:rFonts w:ascii="Arial" w:hAnsi="Arial" w:eastAsia="Arial"/>
                <w:b/>
                <w:color w:val="FFFFFF"/>
                <w:sz w:val="16"/>
              </w:rPr>
              <w:t>Razón de selección</w:t>
            </w:r>
          </w:p>
        </w:tc>
      </w:tr>
      <w:tr>
        <w:trPr>
          <w:cantSplit/>
        </w:trPr>
        <w:tc>
          <w:tcPr>
            <w:tcW w:type="dxa" w:w="1701"/>
            <w:tcMar>
              <w:top w:w="100" w:type="dxa"/>
              <w:start w:w="120" w:type="dxa"/>
              <w:bottom w:w="100" w:type="dxa"/>
              <w:end w:w="120" w:type="dxa"/>
            </w:tcMar>
            <w:vAlign w:val="center"/>
          </w:tcPr>
          <w:p>
            <w:pPr>
              <w:spacing w:after="0" w:line="252" w:lineRule="auto"/>
              <w:jc w:val="center"/>
            </w:pPr>
            <w:r>
              <w:rPr>
                <w:rFonts w:ascii="Arial" w:hAnsi="Arial" w:eastAsia="Arial"/>
                <w:color w:val="000000"/>
                <w:sz w:val="16"/>
              </w:rPr>
              <w:t>Maíz</w:t>
            </w:r>
          </w:p>
        </w:tc>
        <w:tc>
          <w:tcPr>
            <w:tcW w:type="dxa" w:w="1587"/>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Cereal</w:t>
            </w:r>
          </w:p>
        </w:tc>
        <w:tc>
          <w:tcPr>
            <w:tcW w:type="dxa" w:w="2494"/>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PC 9,4; almidón 73,4; fibra 2,5; grasa 4,3</w:t>
            </w:r>
          </w:p>
        </w:tc>
        <w:tc>
          <w:tcPr>
            <w:tcW w:type="dxa" w:w="3175"/>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Referencia energética rica en almidón y con efecto claro del tamaño de partícula</w:t>
            </w:r>
          </w:p>
        </w:tc>
      </w:tr>
      <w:tr>
        <w:trPr>
          <w:cantSplit/>
        </w:trPr>
        <w:tc>
          <w:tcPr>
            <w:tcW w:type="dxa" w:w="1701"/>
            <w:shd w:fill="F3F7FB"/>
            <w:tcMar>
              <w:top w:w="100" w:type="dxa"/>
              <w:start w:w="120" w:type="dxa"/>
              <w:bottom w:w="100" w:type="dxa"/>
              <w:end w:w="120" w:type="dxa"/>
            </w:tcMar>
            <w:vAlign w:val="center"/>
          </w:tcPr>
          <w:p>
            <w:pPr>
              <w:spacing w:after="0" w:line="252" w:lineRule="auto"/>
              <w:jc w:val="center"/>
            </w:pPr>
            <w:r>
              <w:rPr>
                <w:rFonts w:ascii="Arial" w:hAnsi="Arial" w:eastAsia="Arial"/>
                <w:color w:val="000000"/>
                <w:sz w:val="16"/>
              </w:rPr>
              <w:t>Trigo</w:t>
            </w:r>
          </w:p>
        </w:tc>
        <w:tc>
          <w:tcPr>
            <w:tcW w:type="dxa" w:w="1587"/>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Cereal</w:t>
            </w:r>
          </w:p>
        </w:tc>
        <w:tc>
          <w:tcPr>
            <w:tcW w:type="dxa" w:w="2494"/>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PC 12,6; almidón 69,1; fibra 2,6; grasa 1,7</w:t>
            </w:r>
          </w:p>
        </w:tc>
        <w:tc>
          <w:tcPr>
            <w:tcW w:type="dxa" w:w="3175"/>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Contrasta almidón rápido con arabinoxilanos y posible aumento de viscosidad</w:t>
            </w:r>
          </w:p>
        </w:tc>
      </w:tr>
      <w:tr>
        <w:trPr>
          <w:cantSplit/>
        </w:trPr>
        <w:tc>
          <w:tcPr>
            <w:tcW w:type="dxa" w:w="1701"/>
            <w:tcMar>
              <w:top w:w="100" w:type="dxa"/>
              <w:start w:w="120" w:type="dxa"/>
              <w:bottom w:w="100" w:type="dxa"/>
              <w:end w:w="120" w:type="dxa"/>
            </w:tcMar>
            <w:vAlign w:val="center"/>
          </w:tcPr>
          <w:p>
            <w:pPr>
              <w:spacing w:after="0" w:line="252" w:lineRule="auto"/>
              <w:jc w:val="center"/>
            </w:pPr>
            <w:r>
              <w:rPr>
                <w:rFonts w:ascii="Arial" w:hAnsi="Arial" w:eastAsia="Arial"/>
                <w:color w:val="000000"/>
                <w:sz w:val="16"/>
              </w:rPr>
              <w:t>Cebada</w:t>
            </w:r>
          </w:p>
        </w:tc>
        <w:tc>
          <w:tcPr>
            <w:tcW w:type="dxa" w:w="1587"/>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Cereal</w:t>
            </w:r>
          </w:p>
        </w:tc>
        <w:tc>
          <w:tcPr>
            <w:tcW w:type="dxa" w:w="2494"/>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PC 11,8; almidón 59,7; fibra 5,2; grasa 2,0</w:t>
            </w:r>
          </w:p>
        </w:tc>
        <w:tc>
          <w:tcPr>
            <w:tcW w:type="dxa" w:w="3175"/>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Aporta beta glucanos y más fibra que maíz o trigo</w:t>
            </w:r>
          </w:p>
        </w:tc>
      </w:tr>
      <w:tr>
        <w:trPr>
          <w:cantSplit/>
        </w:trPr>
        <w:tc>
          <w:tcPr>
            <w:tcW w:type="dxa" w:w="1701"/>
            <w:shd w:fill="F3F7FB"/>
            <w:tcMar>
              <w:top w:w="100" w:type="dxa"/>
              <w:start w:w="120" w:type="dxa"/>
              <w:bottom w:w="100" w:type="dxa"/>
              <w:end w:w="120" w:type="dxa"/>
            </w:tcMar>
            <w:vAlign w:val="center"/>
          </w:tcPr>
          <w:p>
            <w:pPr>
              <w:spacing w:after="0" w:line="252" w:lineRule="auto"/>
              <w:jc w:val="center"/>
            </w:pPr>
            <w:r>
              <w:rPr>
                <w:rFonts w:ascii="Arial" w:hAnsi="Arial" w:eastAsia="Arial"/>
                <w:color w:val="000000"/>
                <w:sz w:val="16"/>
              </w:rPr>
              <w:t>Avena</w:t>
            </w:r>
          </w:p>
        </w:tc>
        <w:tc>
          <w:tcPr>
            <w:tcW w:type="dxa" w:w="1587"/>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Cereal</w:t>
            </w:r>
          </w:p>
        </w:tc>
        <w:tc>
          <w:tcPr>
            <w:tcW w:type="dxa" w:w="2494"/>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PC 11,0; almidón 40,6; fibra 13,9; grasa 5,4</w:t>
            </w:r>
          </w:p>
        </w:tc>
        <w:tc>
          <w:tcPr>
            <w:tcW w:type="dxa" w:w="3175"/>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Combina cáscara, fibra y mayor contenido de grasa</w:t>
            </w:r>
          </w:p>
        </w:tc>
      </w:tr>
      <w:tr>
        <w:trPr>
          <w:cantSplit/>
        </w:trPr>
        <w:tc>
          <w:tcPr>
            <w:tcW w:type="dxa" w:w="1701"/>
            <w:tcMar>
              <w:top w:w="100" w:type="dxa"/>
              <w:start w:w="120" w:type="dxa"/>
              <w:bottom w:w="100" w:type="dxa"/>
              <w:end w:w="120" w:type="dxa"/>
            </w:tcMar>
            <w:vAlign w:val="center"/>
          </w:tcPr>
          <w:p>
            <w:pPr>
              <w:spacing w:after="0" w:line="252" w:lineRule="auto"/>
              <w:jc w:val="center"/>
            </w:pPr>
            <w:r>
              <w:rPr>
                <w:rFonts w:ascii="Arial" w:hAnsi="Arial" w:eastAsia="Arial"/>
                <w:color w:val="000000"/>
                <w:sz w:val="16"/>
              </w:rPr>
              <w:t>Sorgo</w:t>
            </w:r>
          </w:p>
        </w:tc>
        <w:tc>
          <w:tcPr>
            <w:tcW w:type="dxa" w:w="1587"/>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Cereal</w:t>
            </w:r>
          </w:p>
        </w:tc>
        <w:tc>
          <w:tcPr>
            <w:tcW w:type="dxa" w:w="2494"/>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PC 10,8; almidón 74,5; fibra 2,8; grasa 3,4</w:t>
            </w:r>
          </w:p>
        </w:tc>
        <w:tc>
          <w:tcPr>
            <w:tcW w:type="dxa" w:w="3175"/>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Permite discutir matriz proteica, variedad y taninos</w:t>
            </w:r>
          </w:p>
        </w:tc>
      </w:tr>
      <w:tr>
        <w:trPr>
          <w:cantSplit/>
        </w:trPr>
        <w:tc>
          <w:tcPr>
            <w:tcW w:type="dxa" w:w="1701"/>
            <w:shd w:fill="F3F7FB"/>
            <w:tcMar>
              <w:top w:w="100" w:type="dxa"/>
              <w:start w:w="120" w:type="dxa"/>
              <w:bottom w:w="100" w:type="dxa"/>
              <w:end w:w="120" w:type="dxa"/>
            </w:tcMar>
            <w:vAlign w:val="center"/>
          </w:tcPr>
          <w:p>
            <w:pPr>
              <w:spacing w:after="0" w:line="252" w:lineRule="auto"/>
              <w:jc w:val="center"/>
            </w:pPr>
            <w:r>
              <w:rPr>
                <w:rFonts w:ascii="Arial" w:hAnsi="Arial" w:eastAsia="Arial"/>
                <w:color w:val="000000"/>
                <w:sz w:val="16"/>
              </w:rPr>
              <w:t>Harina de soya</w:t>
            </w:r>
          </w:p>
        </w:tc>
        <w:tc>
          <w:tcPr>
            <w:tcW w:type="dxa" w:w="1587"/>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Harina proteica</w:t>
            </w:r>
          </w:p>
        </w:tc>
        <w:tc>
          <w:tcPr>
            <w:tcW w:type="dxa" w:w="2494"/>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PC 52,6; almidón 5,7; fibra 6,8; grasa 1,8</w:t>
            </w:r>
          </w:p>
        </w:tc>
        <w:tc>
          <w:tcPr>
            <w:tcW w:type="dxa" w:w="3175"/>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Fuente proteica principal y ejemplo del efecto del tratamiento térmico</w:t>
            </w:r>
          </w:p>
        </w:tc>
      </w:tr>
      <w:tr>
        <w:trPr>
          <w:cantSplit/>
        </w:trPr>
        <w:tc>
          <w:tcPr>
            <w:tcW w:type="dxa" w:w="1701"/>
            <w:tcMar>
              <w:top w:w="100" w:type="dxa"/>
              <w:start w:w="120" w:type="dxa"/>
              <w:bottom w:w="100" w:type="dxa"/>
              <w:end w:w="120" w:type="dxa"/>
            </w:tcMar>
            <w:vAlign w:val="center"/>
          </w:tcPr>
          <w:p>
            <w:pPr>
              <w:spacing w:after="0" w:line="252" w:lineRule="auto"/>
              <w:jc w:val="center"/>
            </w:pPr>
            <w:r>
              <w:rPr>
                <w:rFonts w:ascii="Arial" w:hAnsi="Arial" w:eastAsia="Arial"/>
                <w:color w:val="000000"/>
                <w:sz w:val="16"/>
              </w:rPr>
              <w:t>Harina de canola</w:t>
            </w:r>
          </w:p>
        </w:tc>
        <w:tc>
          <w:tcPr>
            <w:tcW w:type="dxa" w:w="1587"/>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Harina proteica</w:t>
            </w:r>
          </w:p>
        </w:tc>
        <w:tc>
          <w:tcPr>
            <w:tcW w:type="dxa" w:w="2494"/>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PC 38,1; almidón 6,3; fibra 14,3; grasa 2,4</w:t>
            </w:r>
          </w:p>
        </w:tc>
        <w:tc>
          <w:tcPr>
            <w:tcW w:type="dxa" w:w="3175"/>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Compara proteína con mayor fibra y diferente perfil de aminoácidos</w:t>
            </w:r>
          </w:p>
        </w:tc>
      </w:tr>
      <w:tr>
        <w:trPr>
          <w:cantSplit/>
        </w:trPr>
        <w:tc>
          <w:tcPr>
            <w:tcW w:type="dxa" w:w="1701"/>
            <w:shd w:fill="F3F7FB"/>
            <w:tcMar>
              <w:top w:w="100" w:type="dxa"/>
              <w:start w:w="120" w:type="dxa"/>
              <w:bottom w:w="100" w:type="dxa"/>
              <w:end w:w="120" w:type="dxa"/>
            </w:tcMar>
            <w:vAlign w:val="center"/>
          </w:tcPr>
          <w:p>
            <w:pPr>
              <w:spacing w:after="0" w:line="252" w:lineRule="auto"/>
              <w:jc w:val="center"/>
            </w:pPr>
            <w:r>
              <w:rPr>
                <w:rFonts w:ascii="Arial" w:hAnsi="Arial" w:eastAsia="Arial"/>
                <w:color w:val="000000"/>
                <w:sz w:val="16"/>
              </w:rPr>
              <w:t>Harina de girasol</w:t>
            </w:r>
          </w:p>
        </w:tc>
        <w:tc>
          <w:tcPr>
            <w:tcW w:type="dxa" w:w="1587"/>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Harina proteica</w:t>
            </w:r>
          </w:p>
        </w:tc>
        <w:tc>
          <w:tcPr>
            <w:tcW w:type="dxa" w:w="2494"/>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PC 37,7; almidón sin dato; fibra 22,8; grasa 1,8</w:t>
            </w:r>
          </w:p>
        </w:tc>
        <w:tc>
          <w:tcPr>
            <w:tcW w:type="dxa" w:w="3175"/>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Muestra el efecto del descascarado sobre proteína y fibra</w:t>
            </w:r>
          </w:p>
        </w:tc>
      </w:tr>
      <w:tr>
        <w:trPr>
          <w:cantSplit/>
        </w:trPr>
        <w:tc>
          <w:tcPr>
            <w:tcW w:type="dxa" w:w="1701"/>
            <w:tcMar>
              <w:top w:w="100" w:type="dxa"/>
              <w:start w:w="120" w:type="dxa"/>
              <w:bottom w:w="100" w:type="dxa"/>
              <w:end w:w="120" w:type="dxa"/>
            </w:tcMar>
            <w:vAlign w:val="center"/>
          </w:tcPr>
          <w:p>
            <w:pPr>
              <w:spacing w:after="0" w:line="252" w:lineRule="auto"/>
              <w:jc w:val="center"/>
            </w:pPr>
            <w:r>
              <w:rPr>
                <w:rFonts w:ascii="Arial" w:hAnsi="Arial" w:eastAsia="Arial"/>
                <w:color w:val="000000"/>
                <w:sz w:val="16"/>
              </w:rPr>
              <w:t>Harina de alfalfa</w:t>
            </w:r>
          </w:p>
        </w:tc>
        <w:tc>
          <w:tcPr>
            <w:tcW w:type="dxa" w:w="1587"/>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Forraje deshidratado</w:t>
            </w:r>
          </w:p>
        </w:tc>
        <w:tc>
          <w:tcPr>
            <w:tcW w:type="dxa" w:w="2494"/>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PC 18,3; almidón 3,3; fibra 28,6; grasa 2,7</w:t>
            </w:r>
          </w:p>
        </w:tc>
        <w:tc>
          <w:tcPr>
            <w:tcW w:type="dxa" w:w="3175"/>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Representa forraje, fibra elevada, pigmentos y baja densidad energética</w:t>
            </w:r>
          </w:p>
        </w:tc>
      </w:tr>
      <w:tr>
        <w:trPr>
          <w:cantSplit/>
        </w:trPr>
        <w:tc>
          <w:tcPr>
            <w:tcW w:type="dxa" w:w="1701"/>
            <w:shd w:fill="F3F7FB"/>
            <w:tcMar>
              <w:top w:w="100" w:type="dxa"/>
              <w:start w:w="120" w:type="dxa"/>
              <w:bottom w:w="100" w:type="dxa"/>
              <w:end w:w="120" w:type="dxa"/>
            </w:tcMar>
            <w:vAlign w:val="center"/>
          </w:tcPr>
          <w:p>
            <w:pPr>
              <w:spacing w:after="0" w:line="252" w:lineRule="auto"/>
              <w:jc w:val="center"/>
            </w:pPr>
            <w:r>
              <w:rPr>
                <w:rFonts w:ascii="Arial" w:hAnsi="Arial" w:eastAsia="Arial"/>
                <w:color w:val="000000"/>
                <w:sz w:val="16"/>
              </w:rPr>
              <w:t>Aceite de soya</w:t>
            </w:r>
          </w:p>
        </w:tc>
        <w:tc>
          <w:tcPr>
            <w:tcW w:type="dxa" w:w="1587"/>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Aceite</w:t>
            </w:r>
          </w:p>
        </w:tc>
        <w:tc>
          <w:tcPr>
            <w:tcW w:type="dxa" w:w="2494"/>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PC 0,0; almidón 0,0; fibra 0,0; grasa 99,0</w:t>
            </w:r>
          </w:p>
        </w:tc>
        <w:tc>
          <w:tcPr>
            <w:tcW w:type="dxa" w:w="3175"/>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Aísla digestión lipídica, bilis, lipasa y transporte portal aviar</w:t>
            </w:r>
          </w:p>
        </w:tc>
      </w:tr>
    </w:tbl>
    <w:p>
      <w:pPr>
        <w:widowControl/>
        <w:spacing w:after="0"/>
      </w:pPr>
    </w:p>
    <w:p>
      <w:pPr>
        <w:widowControl/>
        <w:spacing w:before="40" w:after="120" w:line="276" w:lineRule="auto"/>
        <w:jc w:val="both"/>
      </w:pPr>
      <w:r>
        <w:rPr>
          <w:rFonts w:ascii="Arial" w:hAnsi="Arial" w:eastAsia="Arial"/>
          <w:color w:val="000000"/>
          <w:sz w:val="21"/>
        </w:rPr>
        <w:t>PC significa proteína cruda. Los valores son promedios documentados en las fichas y deben interpretarse según la base indicada para cada ingrediente. Sin dato significa que no se encontró un valor comparable. La composición real cambia con variedad, origen, procesamiento y almacenamiento.</w:t>
      </w:r>
    </w:p>
    <w:p>
      <w:pPr>
        <w:pStyle w:val="Heading2"/>
        <w:keepNext w:val="0"/>
        <w:keepLines/>
        <w:widowControl/>
        <w:spacing w:before="180" w:after="180"/>
      </w:pPr>
      <w:r>
        <w:rPr>
          <w:rFonts w:ascii="Arial" w:hAnsi="Arial" w:eastAsia="Arial"/>
          <w:b/>
          <w:color w:val="000000"/>
          <w:sz w:val="25"/>
        </w:rPr>
        <w:t>6 1 Respuesta esperada por grupo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99"/>
        <w:gridCol w:w="3099"/>
        <w:gridCol w:w="3099"/>
      </w:tblGrid>
      <w:tr>
        <w:trPr>
          <w:tblHeader w:val="true"/>
        </w:trPr>
        <w:tc>
          <w:tcPr>
            <w:tcW w:type="dxa" w:w="1814"/>
            <w:shd w:fill="17365D"/>
            <w:tcMar>
              <w:top w:w="110" w:type="dxa"/>
              <w:start w:w="120" w:type="dxa"/>
              <w:bottom w:w="110" w:type="dxa"/>
              <w:end w:w="120" w:type="dxa"/>
            </w:tcMar>
            <w:vAlign w:val="center"/>
          </w:tcPr>
          <w:p>
            <w:pPr>
              <w:spacing w:after="0"/>
              <w:jc w:val="center"/>
            </w:pPr>
            <w:r>
              <w:rPr>
                <w:rFonts w:ascii="Arial" w:hAnsi="Arial" w:eastAsia="Arial"/>
                <w:b/>
                <w:color w:val="FFFFFF"/>
                <w:sz w:val="17"/>
              </w:rPr>
              <w:t>Grupo</w:t>
            </w:r>
          </w:p>
        </w:tc>
        <w:tc>
          <w:tcPr>
            <w:tcW w:type="dxa" w:w="2551"/>
            <w:shd w:fill="17365D"/>
            <w:tcMar>
              <w:top w:w="110" w:type="dxa"/>
              <w:start w:w="120" w:type="dxa"/>
              <w:bottom w:w="110" w:type="dxa"/>
              <w:end w:w="120" w:type="dxa"/>
            </w:tcMar>
            <w:vAlign w:val="center"/>
          </w:tcPr>
          <w:p>
            <w:pPr>
              <w:spacing w:after="0"/>
              <w:jc w:val="center"/>
            </w:pPr>
            <w:r>
              <w:rPr>
                <w:rFonts w:ascii="Arial" w:hAnsi="Arial" w:eastAsia="Arial"/>
                <w:b/>
                <w:color w:val="FFFFFF"/>
                <w:sz w:val="17"/>
              </w:rPr>
              <w:t>Alimentos</w:t>
            </w:r>
          </w:p>
        </w:tc>
        <w:tc>
          <w:tcPr>
            <w:tcW w:type="dxa" w:w="4592"/>
            <w:shd w:fill="17365D"/>
            <w:tcMar>
              <w:top w:w="110" w:type="dxa"/>
              <w:start w:w="120" w:type="dxa"/>
              <w:bottom w:w="110" w:type="dxa"/>
              <w:end w:w="120" w:type="dxa"/>
            </w:tcMar>
            <w:vAlign w:val="center"/>
          </w:tcPr>
          <w:p>
            <w:pPr>
              <w:spacing w:after="0"/>
              <w:jc w:val="center"/>
            </w:pPr>
            <w:r>
              <w:rPr>
                <w:rFonts w:ascii="Arial" w:hAnsi="Arial" w:eastAsia="Arial"/>
                <w:b/>
                <w:color w:val="FFFFFF"/>
                <w:sz w:val="17"/>
              </w:rPr>
              <w:t>Contraste fisiológico</w:t>
            </w:r>
          </w:p>
        </w:tc>
      </w:tr>
      <w:tr>
        <w:trPr>
          <w:cantSplit/>
        </w:trPr>
        <w:tc>
          <w:tcPr>
            <w:tcW w:type="dxa" w:w="1814"/>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Cereales</w:t>
            </w:r>
          </w:p>
        </w:tc>
        <w:tc>
          <w:tcPr>
            <w:tcW w:type="dxa" w:w="2551"/>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Maíz, trigo, cebada, avena y sorgo</w:t>
            </w:r>
          </w:p>
        </w:tc>
        <w:tc>
          <w:tcPr>
            <w:tcW w:type="dxa" w:w="4592"/>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Predomina el almidón; cambian la fibra, viscosidad, matriz y velocidad de digestión</w:t>
            </w:r>
          </w:p>
        </w:tc>
      </w:tr>
      <w:tr>
        <w:trPr>
          <w:cantSplit/>
        </w:trPr>
        <w:tc>
          <w:tcPr>
            <w:tcW w:type="dxa" w:w="1814"/>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Harinas proteicas</w:t>
            </w:r>
          </w:p>
        </w:tc>
        <w:tc>
          <w:tcPr>
            <w:tcW w:type="dxa" w:w="2551"/>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Soya, canola y girasol</w:t>
            </w:r>
          </w:p>
        </w:tc>
        <w:tc>
          <w:tcPr>
            <w:tcW w:type="dxa" w:w="4592"/>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Predomina la proteína; importan el calentamiento, la extracción, el descascarado y la fibra</w:t>
            </w:r>
          </w:p>
        </w:tc>
      </w:tr>
      <w:tr>
        <w:trPr>
          <w:cantSplit/>
        </w:trPr>
        <w:tc>
          <w:tcPr>
            <w:tcW w:type="dxa" w:w="1814"/>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Forraje deshidratado</w:t>
            </w:r>
          </w:p>
        </w:tc>
        <w:tc>
          <w:tcPr>
            <w:tcW w:type="dxa" w:w="2551"/>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Harina de alfalfa</w:t>
            </w:r>
          </w:p>
        </w:tc>
        <w:tc>
          <w:tcPr>
            <w:tcW w:type="dxa" w:w="4592"/>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Aumenta volumen y trabajo mecánico; aporta fibra y pigmentos con menor densidad energética</w:t>
            </w:r>
          </w:p>
        </w:tc>
      </w:tr>
      <w:tr>
        <w:trPr>
          <w:cantSplit/>
        </w:trPr>
        <w:tc>
          <w:tcPr>
            <w:tcW w:type="dxa" w:w="1814"/>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Fuente lipídica</w:t>
            </w:r>
          </w:p>
        </w:tc>
        <w:tc>
          <w:tcPr>
            <w:tcW w:type="dxa" w:w="2551"/>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Aceite de soya</w:t>
            </w:r>
          </w:p>
        </w:tc>
        <w:tc>
          <w:tcPr>
            <w:tcW w:type="dxa" w:w="4592"/>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No requiere trituración; estimula emulsificación, lipasa y respuesta biliar</w:t>
            </w:r>
          </w:p>
        </w:tc>
      </w:tr>
    </w:tbl>
    <w:p>
      <w:pPr>
        <w:widowControl/>
        <w:spacing w:after="0"/>
      </w:pPr>
    </w:p>
    <w:p>
      <w:pPr>
        <w:pStyle w:val="Heading2"/>
        <w:keepNext w:val="0"/>
        <w:keepLines/>
        <w:widowControl/>
        <w:spacing w:before="180" w:after="180"/>
      </w:pPr>
      <w:r>
        <w:rPr>
          <w:rFonts w:ascii="Arial" w:hAnsi="Arial" w:eastAsia="Arial"/>
          <w:b/>
          <w:color w:val="000000"/>
          <w:sz w:val="25"/>
        </w:rPr>
        <w:t>6 2 Comparación fisiológica implementada</w:t>
      </w:r>
    </w:p>
    <w:p>
      <w:pPr>
        <w:widowControl/>
        <w:spacing w:before="40" w:after="120" w:line="276" w:lineRule="auto"/>
        <w:jc w:val="both"/>
      </w:pPr>
      <w:r>
        <w:rPr>
          <w:rFonts w:ascii="Arial" w:hAnsi="Arial" w:eastAsia="Arial"/>
          <w:color w:val="000000"/>
          <w:sz w:val="21"/>
        </w:rPr>
        <w:t>La comparación central del simulador utiliza tres patrones representativos. El maíz muestra la ruta del almidón y el efecto de la molienda. La harina de soya evidencia que una harina proteica no se comporta como un grano y orienta el proceso hacia proteasas y aminoácidos. El aceite de soya representa un tercer patrón, sin trituración, dependiente de bilis, lipasa y absorción lipídica. Los perfiles restantes amplían estos contrastes con diferencias de fibra, viscosidad, taninos, procesamiento y densidad energética.</w:t>
      </w:r>
    </w:p>
    <w:p>
      <w:pPr>
        <w:pStyle w:val="Heading1"/>
        <w:keepNext w:val="0"/>
        <w:keepLines/>
        <w:widowControl/>
        <w:spacing w:before="240" w:after="120"/>
      </w:pPr>
      <w:r>
        <w:rPr>
          <w:rFonts w:ascii="Arial" w:hAnsi="Arial" w:eastAsia="Arial"/>
          <w:b/>
          <w:color w:val="000000"/>
          <w:sz w:val="32"/>
        </w:rPr>
        <w:t>7 Originalidad y criterios de evaluación</w:t>
      </w:r>
    </w:p>
    <w:p>
      <w:pPr>
        <w:widowControl/>
        <w:spacing w:before="40" w:after="120" w:line="276" w:lineRule="auto"/>
        <w:jc w:val="both"/>
      </w:pPr>
      <w:r>
        <w:rPr>
          <w:rFonts w:ascii="Arial" w:hAnsi="Arial" w:eastAsia="Arial"/>
          <w:color w:val="000000"/>
          <w:sz w:val="21"/>
        </w:rPr>
        <w:t>La originalidad del recurso surge de integrar en una misma experiencia un modelo anatómico reproducible, datos científicos trazables, respuestas específicas por ingrediente, narración sincronizada, rutas de absorción, señales neuroendocrinas y publicación web. La aplicación no se limita a mostrar un órgano estático: relaciona la forma anatómica con una secuencia funcional y permite comparar alimentos.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99"/>
        <w:gridCol w:w="3099"/>
        <w:gridCol w:w="3099"/>
      </w:tblGrid>
      <w:tr>
        <w:trPr>
          <w:tblHeader w:val="true"/>
        </w:trPr>
        <w:tc>
          <w:tcPr>
            <w:tcW w:type="dxa" w:w="1814"/>
            <w:shd w:fill="17365D"/>
            <w:tcMar>
              <w:top w:w="110" w:type="dxa"/>
              <w:start w:w="120" w:type="dxa"/>
              <w:bottom w:w="110" w:type="dxa"/>
              <w:end w:w="120" w:type="dxa"/>
            </w:tcMar>
            <w:vAlign w:val="center"/>
          </w:tcPr>
          <w:p>
            <w:pPr>
              <w:spacing w:after="0"/>
              <w:jc w:val="center"/>
            </w:pPr>
            <w:r>
              <w:rPr>
                <w:rFonts w:ascii="Arial" w:hAnsi="Arial" w:eastAsia="Arial"/>
                <w:b/>
                <w:color w:val="FFFFFF"/>
                <w:sz w:val="16"/>
              </w:rPr>
              <w:t>Criterio</w:t>
            </w:r>
          </w:p>
        </w:tc>
        <w:tc>
          <w:tcPr>
            <w:tcW w:type="dxa" w:w="3969"/>
            <w:shd w:fill="17365D"/>
            <w:tcMar>
              <w:top w:w="110" w:type="dxa"/>
              <w:start w:w="120" w:type="dxa"/>
              <w:bottom w:w="110" w:type="dxa"/>
              <w:end w:w="120" w:type="dxa"/>
            </w:tcMar>
            <w:vAlign w:val="center"/>
          </w:tcPr>
          <w:p>
            <w:pPr>
              <w:spacing w:after="0"/>
              <w:jc w:val="center"/>
            </w:pPr>
            <w:r>
              <w:rPr>
                <w:rFonts w:ascii="Arial" w:hAnsi="Arial" w:eastAsia="Arial"/>
                <w:b/>
                <w:color w:val="FFFFFF"/>
                <w:sz w:val="16"/>
              </w:rPr>
              <w:t>Evidencia en el programa</w:t>
            </w:r>
          </w:p>
        </w:tc>
        <w:tc>
          <w:tcPr>
            <w:tcW w:type="dxa" w:w="3175"/>
            <w:shd w:fill="17365D"/>
            <w:tcMar>
              <w:top w:w="110" w:type="dxa"/>
              <w:start w:w="120" w:type="dxa"/>
              <w:bottom w:w="110" w:type="dxa"/>
              <w:end w:w="120" w:type="dxa"/>
            </w:tcMar>
            <w:vAlign w:val="center"/>
          </w:tcPr>
          <w:p>
            <w:pPr>
              <w:spacing w:after="0"/>
              <w:jc w:val="center"/>
            </w:pPr>
            <w:r>
              <w:rPr>
                <w:rFonts w:ascii="Arial" w:hAnsi="Arial" w:eastAsia="Arial"/>
                <w:b/>
                <w:color w:val="FFFFFF"/>
                <w:sz w:val="16"/>
              </w:rPr>
              <w:t>Contribución académica</w:t>
            </w:r>
          </w:p>
        </w:tc>
      </w:tr>
      <w:tr>
        <w:trPr>
          <w:cantSplit/>
        </w:trPr>
        <w:tc>
          <w:tcPr>
            <w:tcW w:type="dxa" w:w="1814"/>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Integración digestiva</w:t>
            </w:r>
          </w:p>
        </w:tc>
        <w:tc>
          <w:tcPr>
            <w:tcW w:type="dxa" w:w="3969"/>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Secuencia de trece etapas, órganos accesorios, motilidad, secreciones, absorción y fermentación cecal</w:t>
            </w:r>
          </w:p>
        </w:tc>
        <w:tc>
          <w:tcPr>
            <w:tcW w:type="dxa" w:w="3175"/>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Conserva la cronología fisiológica y declara el carácter cualitativo de la animación</w:t>
            </w:r>
          </w:p>
        </w:tc>
      </w:tr>
      <w:tr>
        <w:trPr>
          <w:cantSplit/>
        </w:trPr>
        <w:tc>
          <w:tcPr>
            <w:tcW w:type="dxa" w:w="1814"/>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Control neuroendocrino</w:t>
            </w:r>
          </w:p>
        </w:tc>
        <w:tc>
          <w:tcPr>
            <w:tcW w:type="dxa" w:w="3969"/>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SNE, modulación vagal y autónoma, CCK, gastrina y reflejo del buche</w:t>
            </w:r>
          </w:p>
        </w:tc>
        <w:tc>
          <w:tcPr>
            <w:tcW w:type="dxa" w:w="3175"/>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Relaciona señal, origen, órgano objetivo y respuesta</w:t>
            </w:r>
          </w:p>
        </w:tc>
      </w:tr>
      <w:tr>
        <w:trPr>
          <w:cantSplit/>
        </w:trPr>
        <w:tc>
          <w:tcPr>
            <w:tcW w:type="dxa" w:w="1814"/>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Alimentos y nutrientes</w:t>
            </w:r>
          </w:p>
        </w:tc>
        <w:tc>
          <w:tcPr>
            <w:tcW w:type="dxa" w:w="3969"/>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Diez perfiles con composición, respuesta fisiológica y narración específica</w:t>
            </w:r>
          </w:p>
        </w:tc>
        <w:tc>
          <w:tcPr>
            <w:tcW w:type="dxa" w:w="3175"/>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Diferencia granos, harinas, forraje y aceite sin generalizaciones</w:t>
            </w:r>
          </w:p>
        </w:tc>
      </w:tr>
      <w:tr>
        <w:trPr>
          <w:cantSplit/>
        </w:trPr>
        <w:tc>
          <w:tcPr>
            <w:tcW w:type="dxa" w:w="1814"/>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Innovación</w:t>
            </w:r>
          </w:p>
        </w:tc>
        <w:tc>
          <w:tcPr>
            <w:tcW w:type="dxa" w:w="3969"/>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Unity 3D, Blender paramétrico, WebGL, audio, recorrido guiado y bibliografía visible</w:t>
            </w:r>
          </w:p>
        </w:tc>
        <w:tc>
          <w:tcPr>
            <w:tcW w:type="dxa" w:w="3175"/>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Integra anatomía, interacción, datos y narración en un solo recurso</w:t>
            </w:r>
          </w:p>
        </w:tc>
      </w:tr>
      <w:tr>
        <w:trPr>
          <w:cantSplit/>
        </w:trPr>
        <w:tc>
          <w:tcPr>
            <w:tcW w:type="dxa" w:w="1814"/>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Fluidez</w:t>
            </w:r>
          </w:p>
        </w:tc>
        <w:tc>
          <w:tcPr>
            <w:tcW w:type="dxa" w:w="3969"/>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Controles de avance y guion por etapas</w:t>
            </w:r>
          </w:p>
        </w:tc>
        <w:tc>
          <w:tcPr>
            <w:tcW w:type="dxa" w:w="3175"/>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Mantiene una secuencia coherente entre la interacción y el contenido</w:t>
            </w:r>
          </w:p>
        </w:tc>
      </w:tr>
      <w:tr>
        <w:trPr>
          <w:cantSplit/>
        </w:trPr>
        <w:tc>
          <w:tcPr>
            <w:tcW w:type="dxa" w:w="1814"/>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Manejo del espacio</w:t>
            </w:r>
          </w:p>
        </w:tc>
        <w:tc>
          <w:tcPr>
            <w:tcW w:type="dxa" w:w="3969"/>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Silueta transparente, órganos compactos y cámara orbital</w:t>
            </w:r>
          </w:p>
        </w:tc>
        <w:tc>
          <w:tcPr>
            <w:tcW w:type="dxa" w:w="3175"/>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Permite orientar, centrar y enfocar estructuras anatómicas</w:t>
            </w:r>
          </w:p>
        </w:tc>
      </w:tr>
      <w:tr>
        <w:trPr>
          <w:cantSplit/>
        </w:trPr>
        <w:tc>
          <w:tcPr>
            <w:tcW w:type="dxa" w:w="1814"/>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Lenguaje técnico</w:t>
            </w:r>
          </w:p>
        </w:tc>
        <w:tc>
          <w:tcPr>
            <w:tcW w:type="dxa" w:w="3969"/>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Terminología anatómica y fisiológica consistente</w:t>
            </w:r>
          </w:p>
        </w:tc>
        <w:tc>
          <w:tcPr>
            <w:tcW w:type="dxa" w:w="3175"/>
            <w:tcMar>
              <w:top w:w="100" w:type="dxa"/>
              <w:start w:w="120" w:type="dxa"/>
              <w:bottom w:w="100" w:type="dxa"/>
              <w:end w:w="120" w:type="dxa"/>
            </w:tcMar>
            <w:vAlign w:val="center"/>
          </w:tcPr>
          <w:p>
            <w:pPr>
              <w:spacing w:after="0" w:line="252" w:lineRule="auto"/>
              <w:jc w:val="left"/>
            </w:pPr>
            <w:r>
              <w:rPr>
                <w:rFonts w:ascii="Arial" w:hAnsi="Arial" w:eastAsia="Arial"/>
                <w:color w:val="000000"/>
                <w:sz w:val="16"/>
              </w:rPr>
              <w:t>Aplica motilidad, proventrículo, molleja, quimo, absorción portal y fermentación cecal</w:t>
            </w:r>
          </w:p>
        </w:tc>
      </w:tr>
    </w:tbl>
    <w:p>
      <w:pPr>
        <w:widowControl/>
        <w:spacing w:after="0"/>
      </w:pPr>
    </w:p>
    <w:p>
      <w:pPr>
        <w:pStyle w:val="Heading2"/>
        <w:keepNext w:val="0"/>
        <w:keepLines/>
        <w:widowControl/>
        <w:spacing w:before="180" w:after="180"/>
      </w:pPr>
      <w:r>
        <w:rPr>
          <w:rFonts w:ascii="Arial" w:hAnsi="Arial" w:eastAsia="Arial"/>
          <w:b/>
          <w:color w:val="000000"/>
          <w:sz w:val="25"/>
        </w:rPr>
        <w:t>7 1 Uso técnico del lenguaje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649"/>
        <w:gridCol w:w="4649"/>
      </w:tblGrid>
      <w:tr>
        <w:trPr>
          <w:tblHeader w:val="true"/>
        </w:trPr>
        <w:tc>
          <w:tcPr>
            <w:tcW w:type="dxa" w:w="2381"/>
            <w:shd w:fill="17365D"/>
            <w:tcMar>
              <w:top w:w="110" w:type="dxa"/>
              <w:start w:w="120" w:type="dxa"/>
              <w:bottom w:w="110" w:type="dxa"/>
              <w:end w:w="120" w:type="dxa"/>
            </w:tcMar>
            <w:vAlign w:val="center"/>
          </w:tcPr>
          <w:p>
            <w:pPr>
              <w:spacing w:after="0"/>
              <w:jc w:val="center"/>
            </w:pPr>
            <w:r>
              <w:rPr>
                <w:rFonts w:ascii="Arial" w:hAnsi="Arial" w:eastAsia="Arial"/>
                <w:b/>
                <w:color w:val="FFFFFF"/>
                <w:sz w:val="17"/>
              </w:rPr>
              <w:t>Término</w:t>
            </w:r>
          </w:p>
        </w:tc>
        <w:tc>
          <w:tcPr>
            <w:tcW w:type="dxa" w:w="6577"/>
            <w:shd w:fill="17365D"/>
            <w:tcMar>
              <w:top w:w="110" w:type="dxa"/>
              <w:start w:w="120" w:type="dxa"/>
              <w:bottom w:w="110" w:type="dxa"/>
              <w:end w:w="120" w:type="dxa"/>
            </w:tcMar>
            <w:vAlign w:val="center"/>
          </w:tcPr>
          <w:p>
            <w:pPr>
              <w:spacing w:after="0"/>
              <w:jc w:val="center"/>
            </w:pPr>
            <w:r>
              <w:rPr>
                <w:rFonts w:ascii="Arial" w:hAnsi="Arial" w:eastAsia="Arial"/>
                <w:b/>
                <w:color w:val="FFFFFF"/>
                <w:sz w:val="17"/>
              </w:rPr>
              <w:t>Definición aplicada en el modelo</w:t>
            </w:r>
          </w:p>
        </w:tc>
      </w:tr>
      <w:tr>
        <w:trPr>
          <w:cantSplit/>
        </w:trPr>
        <w:tc>
          <w:tcPr>
            <w:tcW w:type="dxa" w:w="2381"/>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Proventrículo</w:t>
            </w:r>
          </w:p>
        </w:tc>
        <w:tc>
          <w:tcPr>
            <w:tcW w:type="dxa" w:w="6577"/>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Estómago glandular aviar que secreta ácido clorhídrico, pepsinógeno y moco</w:t>
            </w:r>
          </w:p>
        </w:tc>
      </w:tr>
      <w:tr>
        <w:trPr>
          <w:cantSplit/>
        </w:trPr>
        <w:tc>
          <w:tcPr>
            <w:tcW w:type="dxa" w:w="2381"/>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Molleja</w:t>
            </w:r>
          </w:p>
        </w:tc>
        <w:tc>
          <w:tcPr>
            <w:tcW w:type="dxa" w:w="6577"/>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Estómago muscular que tritura y mezcla el alimento</w:t>
            </w:r>
          </w:p>
        </w:tc>
      </w:tr>
      <w:tr>
        <w:trPr>
          <w:cantSplit/>
        </w:trPr>
        <w:tc>
          <w:tcPr>
            <w:tcW w:type="dxa" w:w="2381"/>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Motilidad</w:t>
            </w:r>
          </w:p>
        </w:tc>
        <w:tc>
          <w:tcPr>
            <w:tcW w:type="dxa" w:w="6577"/>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Contracciones coordinadas que mezclan, retienen o propulsan el contenido</w:t>
            </w:r>
          </w:p>
        </w:tc>
      </w:tr>
      <w:tr>
        <w:trPr>
          <w:cantSplit/>
        </w:trPr>
        <w:tc>
          <w:tcPr>
            <w:tcW w:type="dxa" w:w="2381"/>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Bolo</w:t>
            </w:r>
          </w:p>
        </w:tc>
        <w:tc>
          <w:tcPr>
            <w:tcW w:type="dxa" w:w="6577"/>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Masa de alimento humedecida y preparada para la deglución</w:t>
            </w:r>
          </w:p>
        </w:tc>
      </w:tr>
      <w:tr>
        <w:trPr>
          <w:cantSplit/>
        </w:trPr>
        <w:tc>
          <w:tcPr>
            <w:tcW w:type="dxa" w:w="2381"/>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Quimo</w:t>
            </w:r>
          </w:p>
        </w:tc>
        <w:tc>
          <w:tcPr>
            <w:tcW w:type="dxa" w:w="6577"/>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Contenido semilíquido producido después del procesamiento gástrico</w:t>
            </w:r>
          </w:p>
        </w:tc>
      </w:tr>
      <w:tr>
        <w:trPr>
          <w:cantSplit/>
        </w:trPr>
        <w:tc>
          <w:tcPr>
            <w:tcW w:type="dxa" w:w="2381"/>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Peristalsis</w:t>
            </w:r>
          </w:p>
        </w:tc>
        <w:tc>
          <w:tcPr>
            <w:tcW w:type="dxa" w:w="6577"/>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Onda propulsiva de contracción del tubo digestivo</w:t>
            </w:r>
          </w:p>
        </w:tc>
      </w:tr>
      <w:tr>
        <w:trPr>
          <w:cantSplit/>
        </w:trPr>
        <w:tc>
          <w:tcPr>
            <w:tcW w:type="dxa" w:w="2381"/>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Segmentación</w:t>
            </w:r>
          </w:p>
        </w:tc>
        <w:tc>
          <w:tcPr>
            <w:tcW w:type="dxa" w:w="6577"/>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Contracciones de mezcla que aumentan el contacto con enzimas y mucosa</w:t>
            </w:r>
          </w:p>
        </w:tc>
      </w:tr>
      <w:tr>
        <w:trPr>
          <w:cantSplit/>
        </w:trPr>
        <w:tc>
          <w:tcPr>
            <w:tcW w:type="dxa" w:w="2381"/>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Digestión luminal</w:t>
            </w:r>
          </w:p>
        </w:tc>
        <w:tc>
          <w:tcPr>
            <w:tcW w:type="dxa" w:w="6577"/>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Hidrólisis que ocurre dentro de la luz del tubo digestivo</w:t>
            </w:r>
          </w:p>
        </w:tc>
      </w:tr>
      <w:tr>
        <w:trPr>
          <w:cantSplit/>
        </w:trPr>
        <w:tc>
          <w:tcPr>
            <w:tcW w:type="dxa" w:w="2381"/>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Borde en cepillo</w:t>
            </w:r>
          </w:p>
        </w:tc>
        <w:tc>
          <w:tcPr>
            <w:tcW w:type="dxa" w:w="6577"/>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Superficie apical del enterocito con microvellosidades y enzimas</w:t>
            </w:r>
          </w:p>
        </w:tc>
      </w:tr>
      <w:tr>
        <w:trPr>
          <w:cantSplit/>
        </w:trPr>
        <w:tc>
          <w:tcPr>
            <w:tcW w:type="dxa" w:w="2381"/>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Circulación porta hepática</w:t>
            </w:r>
          </w:p>
        </w:tc>
        <w:tc>
          <w:tcPr>
            <w:tcW w:type="dxa" w:w="6577"/>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Ruta sanguínea que conduce nutrientes absorbidos hacia el hígado</w:t>
            </w:r>
          </w:p>
        </w:tc>
      </w:tr>
      <w:tr>
        <w:trPr>
          <w:cantSplit/>
        </w:trPr>
        <w:tc>
          <w:tcPr>
            <w:tcW w:type="dxa" w:w="2381"/>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Portomicrones</w:t>
            </w:r>
          </w:p>
        </w:tc>
        <w:tc>
          <w:tcPr>
            <w:tcW w:type="dxa" w:w="6577"/>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Partículas lipoproteicas aviares que transportan lípidos absorbidos por vía sanguínea portal</w:t>
            </w:r>
          </w:p>
        </w:tc>
      </w:tr>
      <w:tr>
        <w:trPr>
          <w:cantSplit/>
        </w:trPr>
        <w:tc>
          <w:tcPr>
            <w:tcW w:type="dxa" w:w="2381"/>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Fermentación cecal</w:t>
            </w:r>
          </w:p>
        </w:tc>
        <w:tc>
          <w:tcPr>
            <w:tcW w:type="dxa" w:w="6577"/>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Transformación microbiana de sustratos en los ciegos</w:t>
            </w:r>
          </w:p>
        </w:tc>
      </w:tr>
      <w:tr>
        <w:trPr>
          <w:cantSplit/>
        </w:trPr>
        <w:tc>
          <w:tcPr>
            <w:tcW w:type="dxa" w:w="2381"/>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Ácidos grasos de cadena corta</w:t>
            </w:r>
          </w:p>
        </w:tc>
        <w:tc>
          <w:tcPr>
            <w:tcW w:type="dxa" w:w="6577"/>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Productos de fermentación como acetato, propionato y butirato</w:t>
            </w:r>
          </w:p>
        </w:tc>
      </w:tr>
      <w:tr>
        <w:trPr>
          <w:cantSplit/>
        </w:trPr>
        <w:tc>
          <w:tcPr>
            <w:tcW w:type="dxa" w:w="2381"/>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Digestibilidad ileal</w:t>
            </w:r>
          </w:p>
        </w:tc>
        <w:tc>
          <w:tcPr>
            <w:tcW w:type="dxa" w:w="6577"/>
            <w:shd w:fill="F3F7FB"/>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Fracción del nutriente que desaparece antes del final del íleon bajo un método definido</w:t>
            </w:r>
          </w:p>
        </w:tc>
      </w:tr>
      <w:tr>
        <w:trPr>
          <w:cantSplit/>
        </w:trPr>
        <w:tc>
          <w:tcPr>
            <w:tcW w:type="dxa" w:w="2381"/>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Cloaca</w:t>
            </w:r>
          </w:p>
        </w:tc>
        <w:tc>
          <w:tcPr>
            <w:tcW w:type="dxa" w:w="6577"/>
            <w:tcMar>
              <w:top w:w="100" w:type="dxa"/>
              <w:start w:w="120" w:type="dxa"/>
              <w:bottom w:w="100" w:type="dxa"/>
              <w:end w:w="120" w:type="dxa"/>
            </w:tcMar>
            <w:vAlign w:val="center"/>
          </w:tcPr>
          <w:p>
            <w:pPr>
              <w:spacing w:after="0" w:line="252" w:lineRule="auto"/>
              <w:jc w:val="left"/>
            </w:pPr>
            <w:r>
              <w:rPr>
                <w:rFonts w:ascii="Arial" w:hAnsi="Arial" w:eastAsia="Arial"/>
                <w:color w:val="000000"/>
                <w:sz w:val="17"/>
              </w:rPr>
              <w:t>Cámara terminal compartida por los sistemas digestivo, urinario y reproductivo</w:t>
            </w:r>
          </w:p>
        </w:tc>
      </w:tr>
    </w:tbl>
    <w:p>
      <w:pPr>
        <w:widowControl/>
        <w:spacing w:after="0"/>
      </w:pPr>
    </w:p>
    <w:p>
      <w:pPr>
        <w:widowControl/>
        <w:spacing w:before="40" w:after="120" w:line="276" w:lineRule="auto"/>
        <w:jc w:val="both"/>
      </w:pPr>
      <w:r>
        <w:rPr>
          <w:rFonts w:ascii="Arial" w:hAnsi="Arial" w:eastAsia="Arial"/>
          <w:color w:val="000000"/>
          <w:sz w:val="21"/>
        </w:rPr>
        <w:t>El término cuajar no se utiliza porque suele emplearse de forma coloquial para el abomaso de los rumiantes. La gallina no posee abomaso. En este proyecto se distinguen proventrículo y molleja. Asimismo, se utiliza motilidad para describir contracciones digestivas coordinadas, en lugar del término general movimiento.</w:t>
      </w:r>
    </w:p>
    <w:p>
      <w:pPr>
        <w:pStyle w:val="Heading1"/>
        <w:keepNext w:val="0"/>
        <w:keepLines/>
        <w:widowControl/>
        <w:spacing w:before="240" w:after="120"/>
      </w:pPr>
      <w:r>
        <w:rPr>
          <w:rFonts w:ascii="Arial" w:hAnsi="Arial" w:eastAsia="Arial"/>
          <w:b/>
          <w:color w:val="000000"/>
          <w:sz w:val="32"/>
        </w:rPr>
        <w:t>8 Alcances y limitaciones</w:t>
      </w:r>
    </w:p>
    <w:p>
      <w:pPr>
        <w:widowControl/>
        <w:spacing w:before="40" w:after="120" w:line="276" w:lineRule="auto"/>
        <w:jc w:val="both"/>
      </w:pPr>
      <w:r>
        <w:rPr>
          <w:rFonts w:ascii="Arial" w:hAnsi="Arial" w:eastAsia="Arial"/>
          <w:color w:val="000000"/>
          <w:sz w:val="21"/>
        </w:rPr>
        <w:t>El simulador comunica relaciones anatómicas y fisiológicas, pero no sustituye una disección, un atlas anatómico ni un modelo cuantitativo de nutrición. Las posiciones y proporciones se optimizaron para visibilidad didáctica. Las rutas de absorción, señales neuroendocrinas y cambios de partícula son representaciones cualitativas.</w:t>
      </w:r>
    </w:p>
    <w:p>
      <w:pPr>
        <w:widowControl/>
        <w:spacing w:before="40" w:after="120" w:line="276" w:lineRule="auto"/>
        <w:jc w:val="both"/>
      </w:pPr>
      <w:r>
        <w:rPr>
          <w:rFonts w:ascii="Arial" w:hAnsi="Arial" w:eastAsia="Arial"/>
          <w:color w:val="000000"/>
          <w:sz w:val="21"/>
        </w:rPr>
        <w:t>Las fichas científicas y los perfiles especie alimento completaron la revisión interna y conservan el estado reviewed. Los valores nulos son deliberados cuando no se encontró un resultado comparable. Como control externo pendiente se mantiene la revisión por especialistas de la anatomía, la terminología, la nutrición y la correspondencia auditiva.</w:t>
      </w:r>
    </w:p>
    <w:p>
      <w:pPr>
        <w:pStyle w:val="Heading2"/>
        <w:keepNext w:val="0"/>
        <w:keepLines/>
        <w:widowControl/>
        <w:spacing w:before="180" w:after="180"/>
      </w:pPr>
      <w:r>
        <w:rPr>
          <w:rFonts w:ascii="Arial" w:hAnsi="Arial" w:eastAsia="Arial"/>
          <w:b/>
          <w:color w:val="000000"/>
          <w:sz w:val="25"/>
        </w:rPr>
        <w:t>8 1 Trabajo futuro</w:t>
      </w:r>
    </w:p>
    <w:p>
      <w:pPr>
        <w:pStyle w:val="ListBullet"/>
        <w:widowControl/>
        <w:spacing w:after="30" w:line="247" w:lineRule="auto"/>
      </w:pPr>
      <w:r>
        <w:rPr>
          <w:rFonts w:ascii="Arial" w:hAnsi="Arial" w:eastAsia="Arial"/>
          <w:color w:val="000000"/>
          <w:sz w:val="19"/>
        </w:rPr>
        <w:t>Validar visualmente las diecinueve mallas con un especialista en anatomía aviar.</w:t>
      </w:r>
    </w:p>
    <w:p>
      <w:pPr>
        <w:pStyle w:val="ListBullet"/>
        <w:widowControl/>
        <w:spacing w:after="30" w:line="247" w:lineRule="auto"/>
      </w:pPr>
      <w:r>
        <w:rPr>
          <w:rFonts w:ascii="Arial" w:hAnsi="Arial" w:eastAsia="Arial"/>
          <w:color w:val="000000"/>
          <w:sz w:val="19"/>
        </w:rPr>
        <w:t>Revisar los diez perfiles con un especialista en nutrición animal.</w:t>
      </w:r>
    </w:p>
    <w:p>
      <w:pPr>
        <w:pStyle w:val="ListBullet"/>
        <w:widowControl/>
        <w:spacing w:after="30" w:line="247" w:lineRule="auto"/>
      </w:pPr>
      <w:r>
        <w:rPr>
          <w:rFonts w:ascii="Arial" w:hAnsi="Arial" w:eastAsia="Arial"/>
          <w:color w:val="000000"/>
          <w:sz w:val="19"/>
        </w:rPr>
        <w:t>Convertir las señales neuroendocrinas en modificadores funcionales de motilidad y secreción.</w:t>
      </w:r>
    </w:p>
    <w:p>
      <w:pPr>
        <w:pStyle w:val="ListBullet"/>
        <w:widowControl/>
        <w:spacing w:after="30" w:line="247" w:lineRule="auto"/>
      </w:pPr>
      <w:r>
        <w:rPr>
          <w:rFonts w:ascii="Arial" w:hAnsi="Arial" w:eastAsia="Arial"/>
          <w:color w:val="000000"/>
          <w:sz w:val="19"/>
        </w:rPr>
        <w:t>Agregar escenarios configurables de fibra, almidón, proteína, grasa, tamaño de partícula y cambios bruscos de dieta.</w:t>
      </w:r>
    </w:p>
    <w:p>
      <w:pPr>
        <w:pStyle w:val="ListBullet"/>
        <w:widowControl/>
        <w:spacing w:after="30" w:line="247" w:lineRule="auto"/>
      </w:pPr>
      <w:r>
        <w:rPr>
          <w:rFonts w:ascii="Arial" w:hAnsi="Arial" w:eastAsia="Arial"/>
          <w:color w:val="000000"/>
          <w:sz w:val="19"/>
        </w:rPr>
        <w:t>Realizar pruebas de usabilidad, rendimiento y compatibilidad en varios navegadores.</w:t>
      </w:r>
    </w:p>
    <w:p>
      <w:pPr>
        <w:pStyle w:val="Heading2"/>
        <w:keepNext w:val="0"/>
        <w:keepLines/>
        <w:widowControl/>
        <w:spacing w:before="180" w:after="180"/>
      </w:pPr>
      <w:r>
        <w:rPr>
          <w:rFonts w:ascii="Arial" w:hAnsi="Arial" w:eastAsia="Arial"/>
          <w:b/>
          <w:color w:val="000000"/>
          <w:sz w:val="25"/>
        </w:rPr>
        <w:t>8 2 Conclusión</w:t>
      </w:r>
    </w:p>
    <w:p>
      <w:pPr>
        <w:widowControl/>
        <w:spacing w:before="40" w:after="120" w:line="276" w:lineRule="auto"/>
        <w:jc w:val="both"/>
      </w:pPr>
      <w:r>
        <w:rPr>
          <w:rFonts w:ascii="Arial" w:hAnsi="Arial" w:eastAsia="Arial"/>
          <w:color w:val="000000"/>
          <w:sz w:val="21"/>
        </w:rPr>
        <w:t>El proyecto relaciona la anatomía digestiva con el recorrido y la transformación de distintos ingredientes. Integra modelado 3D, datos estructurados, narración y publicación web. La revisión interna está completa; la validación académica externa continúa como control final de calidad.</w:t>
      </w:r>
    </w:p>
    <w:p>
      <w:pPr>
        <w:widowControl/>
      </w:pPr>
      <w:r>
        <w:br w:type="page"/>
      </w:r>
    </w:p>
    <w:p>
      <w:pPr>
        <w:pStyle w:val="Heading1"/>
        <w:keepNext w:val="0"/>
        <w:keepLines/>
        <w:widowControl/>
        <w:spacing w:before="240" w:after="120"/>
      </w:pPr>
      <w:r>
        <w:rPr>
          <w:rFonts w:ascii="Arial" w:hAnsi="Arial" w:eastAsia="Arial"/>
          <w:b/>
          <w:color w:val="000000"/>
          <w:sz w:val="32"/>
        </w:rPr>
        <w:t>Anexo A Guion general de narración</w:t>
      </w:r>
    </w:p>
    <w:p>
      <w:pPr>
        <w:widowControl/>
        <w:spacing w:before="40" w:after="120" w:line="276" w:lineRule="auto"/>
        <w:jc w:val="both"/>
      </w:pPr>
      <w:r>
        <w:rPr>
          <w:rFonts w:ascii="Arial" w:hAnsi="Arial" w:eastAsia="Arial"/>
          <w:color w:val="000000"/>
          <w:sz w:val="21"/>
        </w:rPr>
        <w:t>Los clips se graban por separado con voz clara, pausada y neutral. Debe conservarse aproximadamente medio segundo de silencio al inicio y al final. Los archivos maestros pueden mantenerse en WAV y las copias para WebGL se exportan en MP3 mono a 44 1 kHz. No se leen los identificadores de archivo.</w:t>
      </w:r>
    </w:p>
    <w:p>
      <w:pPr>
        <w:pStyle w:val="Heading2"/>
        <w:keepNext w:val="0"/>
        <w:keepLines/>
        <w:widowControl/>
        <w:spacing w:before="180" w:after="180"/>
      </w:pPr>
      <w:r>
        <w:rPr>
          <w:rFonts w:ascii="Arial" w:hAnsi="Arial" w:eastAsia="Arial"/>
          <w:b/>
          <w:color w:val="000000"/>
          <w:sz w:val="25"/>
        </w:rPr>
        <w:t>A 1 Introducción</w:t>
      </w:r>
    </w:p>
    <w:p>
      <w:pPr>
        <w:widowControl/>
        <w:spacing w:after="80"/>
      </w:pPr>
      <w:r>
        <w:rPr>
          <w:rFonts w:ascii="Arial" w:hAnsi="Arial" w:eastAsia="Arial"/>
          <w:i/>
          <w:color w:val="666666"/>
          <w:sz w:val="17"/>
        </w:rPr>
        <w:t>Archivo 00_introduction.mp3</w:t>
      </w:r>
    </w:p>
    <w:p>
      <w:pPr>
        <w:widowControl/>
        <w:spacing w:before="80" w:after="140" w:line="269" w:lineRule="auto"/>
        <w:ind w:left="369" w:right="369"/>
        <w:jc w:val="both"/>
      </w:pPr>
      <w:r>
        <w:rPr>
          <w:rFonts w:ascii="Arial" w:hAnsi="Arial" w:eastAsia="Arial"/>
          <w:i/>
          <w:color w:val="333333"/>
          <w:sz w:val="20"/>
        </w:rPr>
        <w:t>En esta simulación seguiremos el recorrido del alimento por el aparato digestivo de una gallina. Observaremos cómo cada órgano participa en el transporte, el almacenamiento, la trituración, la digestión química, la absorción y la eliminación. La velocidad de la animación es educativa y no representa el tiempo fisiológico real.</w:t>
      </w:r>
    </w:p>
    <w:p>
      <w:pPr>
        <w:pStyle w:val="Heading2"/>
        <w:keepNext w:val="0"/>
        <w:keepLines/>
        <w:widowControl/>
        <w:spacing w:before="180" w:after="180"/>
      </w:pPr>
      <w:r>
        <w:rPr>
          <w:rFonts w:ascii="Arial" w:hAnsi="Arial" w:eastAsia="Arial"/>
          <w:b/>
          <w:color w:val="000000"/>
          <w:sz w:val="25"/>
        </w:rPr>
        <w:t>A 2 Pico e ingestión</w:t>
      </w:r>
    </w:p>
    <w:p>
      <w:pPr>
        <w:widowControl/>
        <w:spacing w:after="80"/>
      </w:pPr>
      <w:r>
        <w:rPr>
          <w:rFonts w:ascii="Arial" w:hAnsi="Arial" w:eastAsia="Arial"/>
          <w:i/>
          <w:color w:val="666666"/>
          <w:sz w:val="17"/>
        </w:rPr>
        <w:t>Archivo 01_beak.mp3</w:t>
      </w:r>
    </w:p>
    <w:p>
      <w:pPr>
        <w:widowControl/>
        <w:spacing w:before="80" w:after="140" w:line="269" w:lineRule="auto"/>
        <w:ind w:left="369" w:right="369"/>
        <w:jc w:val="both"/>
      </w:pPr>
      <w:r>
        <w:rPr>
          <w:rFonts w:ascii="Arial" w:hAnsi="Arial" w:eastAsia="Arial"/>
          <w:i/>
          <w:color w:val="333333"/>
          <w:sz w:val="20"/>
        </w:rPr>
        <w:t>El proceso comienza en el pico. La gallina lo utiliza para localizar, tomar y fraccionar superficialmente el alimento. Como las aves no poseen dientes, aquí no ocurre una masticación verdadera. El tamaño y la textura de las partículas influyen en la facilidad con la que el alimento puede ser ingerido.</w:t>
      </w:r>
    </w:p>
    <w:p>
      <w:pPr>
        <w:pStyle w:val="Heading2"/>
        <w:keepNext w:val="0"/>
        <w:keepLines/>
        <w:widowControl/>
        <w:spacing w:before="180" w:after="180"/>
      </w:pPr>
      <w:r>
        <w:rPr>
          <w:rFonts w:ascii="Arial" w:hAnsi="Arial" w:eastAsia="Arial"/>
          <w:b/>
          <w:color w:val="000000"/>
          <w:sz w:val="25"/>
        </w:rPr>
        <w:t>A 3 Cavidad oral y formación del bolo</w:t>
      </w:r>
    </w:p>
    <w:p>
      <w:pPr>
        <w:widowControl/>
        <w:spacing w:after="80"/>
      </w:pPr>
      <w:r>
        <w:rPr>
          <w:rFonts w:ascii="Arial" w:hAnsi="Arial" w:eastAsia="Arial"/>
          <w:i/>
          <w:color w:val="666666"/>
          <w:sz w:val="17"/>
        </w:rPr>
        <w:t>Archivo 02_oral_cavity.mp3</w:t>
      </w:r>
    </w:p>
    <w:p>
      <w:pPr>
        <w:widowControl/>
        <w:spacing w:before="80" w:after="140" w:line="269" w:lineRule="auto"/>
        <w:ind w:left="369" w:right="369"/>
        <w:jc w:val="both"/>
      </w:pPr>
      <w:r>
        <w:rPr>
          <w:rFonts w:ascii="Arial" w:hAnsi="Arial" w:eastAsia="Arial"/>
          <w:i/>
          <w:color w:val="333333"/>
          <w:sz w:val="20"/>
        </w:rPr>
        <w:t>En la cavidad oral, la lengua acomoda las partículas y las dirige hacia la faringe. Las glándulas salivales aportan agua, moco y electrolitos, que humedecen el alimento y facilitan la formación y el desplazamiento del bolo. En la gallina, la saliva no realiza la parte principal de la digestión del almidón.</w:t>
      </w:r>
    </w:p>
    <w:p>
      <w:pPr>
        <w:pStyle w:val="Heading2"/>
        <w:keepNext w:val="0"/>
        <w:keepLines/>
        <w:widowControl/>
        <w:spacing w:before="180" w:after="180"/>
      </w:pPr>
      <w:r>
        <w:rPr>
          <w:rFonts w:ascii="Arial" w:hAnsi="Arial" w:eastAsia="Arial"/>
          <w:b/>
          <w:color w:val="000000"/>
          <w:sz w:val="25"/>
        </w:rPr>
        <w:t>A 4 Faringe y deglución</w:t>
      </w:r>
    </w:p>
    <w:p>
      <w:pPr>
        <w:widowControl/>
        <w:spacing w:after="80"/>
      </w:pPr>
      <w:r>
        <w:rPr>
          <w:rFonts w:ascii="Arial" w:hAnsi="Arial" w:eastAsia="Arial"/>
          <w:i/>
          <w:color w:val="666666"/>
          <w:sz w:val="17"/>
        </w:rPr>
        <w:t>Archivo 03_pharynx.mp3</w:t>
      </w:r>
    </w:p>
    <w:p>
      <w:pPr>
        <w:widowControl/>
        <w:spacing w:before="80" w:after="140" w:line="269" w:lineRule="auto"/>
        <w:ind w:left="369" w:right="369"/>
        <w:jc w:val="both"/>
      </w:pPr>
      <w:r>
        <w:rPr>
          <w:rFonts w:ascii="Arial" w:hAnsi="Arial" w:eastAsia="Arial"/>
          <w:i/>
          <w:color w:val="333333"/>
          <w:sz w:val="20"/>
        </w:rPr>
        <w:t>La faringe conduce rápidamente el bolo desde la boca hasta la entrada del esófago. La deglución es una respuesta coordinada que orienta el alimento hacia la vía digestiva y protege la entrada de la vía respiratoria. Esta región transporta el bolo, pero no lo digiere.</w:t>
      </w:r>
    </w:p>
    <w:p>
      <w:pPr>
        <w:pStyle w:val="Heading2"/>
        <w:keepNext w:val="0"/>
        <w:keepLines/>
        <w:widowControl/>
        <w:spacing w:before="180" w:after="180"/>
      </w:pPr>
      <w:r>
        <w:rPr>
          <w:rFonts w:ascii="Arial" w:hAnsi="Arial" w:eastAsia="Arial"/>
          <w:b/>
          <w:color w:val="000000"/>
          <w:sz w:val="25"/>
        </w:rPr>
        <w:t>A 5 Esófago y transporte</w:t>
      </w:r>
    </w:p>
    <w:p>
      <w:pPr>
        <w:widowControl/>
        <w:spacing w:after="80"/>
      </w:pPr>
      <w:r>
        <w:rPr>
          <w:rFonts w:ascii="Arial" w:hAnsi="Arial" w:eastAsia="Arial"/>
          <w:i/>
          <w:color w:val="666666"/>
          <w:sz w:val="17"/>
        </w:rPr>
        <w:t>Archivo 04_esophagus.mp3</w:t>
      </w:r>
    </w:p>
    <w:p>
      <w:pPr>
        <w:widowControl/>
        <w:spacing w:before="80" w:after="140" w:line="269" w:lineRule="auto"/>
        <w:ind w:left="369" w:right="369"/>
        <w:jc w:val="both"/>
      </w:pPr>
      <w:r>
        <w:rPr>
          <w:rFonts w:ascii="Arial" w:hAnsi="Arial" w:eastAsia="Arial"/>
          <w:i/>
          <w:color w:val="333333"/>
          <w:sz w:val="20"/>
        </w:rPr>
        <w:t>El esófago es un tubo muscular y distensible. Sus movimientos coordinados impulsan el bolo hacia el buche y, posteriormente, hacia el estómago glandular. El moco ayuda a lubricar el contenido. Su función principal es el transporte, no la trituración ni la absorción de nutrientes.</w:t>
      </w:r>
    </w:p>
    <w:p>
      <w:pPr>
        <w:pStyle w:val="Heading2"/>
        <w:keepNext w:val="0"/>
        <w:keepLines/>
        <w:widowControl/>
        <w:spacing w:before="180" w:after="180"/>
      </w:pPr>
      <w:r>
        <w:rPr>
          <w:rFonts w:ascii="Arial" w:hAnsi="Arial" w:eastAsia="Arial"/>
          <w:b/>
          <w:color w:val="000000"/>
          <w:sz w:val="25"/>
        </w:rPr>
        <w:t>A 6 Buche y almacenamiento</w:t>
      </w:r>
    </w:p>
    <w:p>
      <w:pPr>
        <w:widowControl/>
        <w:spacing w:after="80"/>
      </w:pPr>
      <w:r>
        <w:rPr>
          <w:rFonts w:ascii="Arial" w:hAnsi="Arial" w:eastAsia="Arial"/>
          <w:i/>
          <w:color w:val="666666"/>
          <w:sz w:val="17"/>
        </w:rPr>
        <w:t>Archivo 05_crop.mp3</w:t>
      </w:r>
    </w:p>
    <w:p>
      <w:pPr>
        <w:widowControl/>
        <w:spacing w:before="80" w:after="140" w:line="269" w:lineRule="auto"/>
        <w:ind w:left="369" w:right="369"/>
        <w:jc w:val="both"/>
      </w:pPr>
      <w:r>
        <w:rPr>
          <w:rFonts w:ascii="Arial" w:hAnsi="Arial" w:eastAsia="Arial"/>
          <w:i/>
          <w:color w:val="333333"/>
          <w:sz w:val="20"/>
        </w:rPr>
        <w:t>El buche es una dilatación del esófago que almacena temporalmente el alimento. Durante la retención, el contenido se humedece y se ablanda antes de avanzar. Puede producirse una fermentación microbiana limitada, principalmente asociada con lactobacilos, pero el buche no secreta las principales enzimas digestivas. Su llenado y vaciado varían con el patrón de alimentación.</w:t>
      </w:r>
    </w:p>
    <w:p>
      <w:pPr>
        <w:pStyle w:val="Heading2"/>
        <w:keepNext w:val="0"/>
        <w:keepLines/>
        <w:widowControl/>
        <w:spacing w:before="180" w:after="180"/>
      </w:pPr>
      <w:r>
        <w:rPr>
          <w:rFonts w:ascii="Arial" w:hAnsi="Arial" w:eastAsia="Arial"/>
          <w:b/>
          <w:color w:val="000000"/>
          <w:sz w:val="25"/>
        </w:rPr>
        <w:t>A 7 Proventrículo y digestión química</w:t>
      </w:r>
    </w:p>
    <w:p>
      <w:pPr>
        <w:widowControl/>
        <w:spacing w:after="80"/>
      </w:pPr>
      <w:r>
        <w:rPr>
          <w:rFonts w:ascii="Arial" w:hAnsi="Arial" w:eastAsia="Arial"/>
          <w:i/>
          <w:color w:val="666666"/>
          <w:sz w:val="17"/>
        </w:rPr>
        <w:t>Archivo 06_proventriculus.mp3</w:t>
      </w:r>
    </w:p>
    <w:p>
      <w:pPr>
        <w:widowControl/>
        <w:spacing w:before="80" w:after="140" w:line="269" w:lineRule="auto"/>
        <w:ind w:left="369" w:right="369"/>
        <w:jc w:val="both"/>
      </w:pPr>
      <w:r>
        <w:rPr>
          <w:rFonts w:ascii="Arial" w:hAnsi="Arial" w:eastAsia="Arial"/>
          <w:i/>
          <w:color w:val="333333"/>
          <w:sz w:val="20"/>
        </w:rPr>
        <w:t>El alimento llega al proventrículo, también llamado estómago glandular. Aquí se incorporan ácido clorhídrico, moco y pepsinógeno. El ambiente ácido ayuda a transformar el pepsinógeno en pepsina e inicia la descomposición de las proteínas. El contenido pasa entonces a la molleja para continuar el procesamiento gástrico.</w:t>
      </w:r>
    </w:p>
    <w:p>
      <w:pPr>
        <w:pStyle w:val="Heading2"/>
        <w:keepNext w:val="0"/>
        <w:keepLines/>
        <w:widowControl/>
        <w:spacing w:before="180" w:after="180"/>
      </w:pPr>
      <w:r>
        <w:rPr>
          <w:rFonts w:ascii="Arial" w:hAnsi="Arial" w:eastAsia="Arial"/>
          <w:b/>
          <w:color w:val="000000"/>
          <w:sz w:val="25"/>
        </w:rPr>
        <w:t>A 8 Molleja y trituración</w:t>
      </w:r>
    </w:p>
    <w:p>
      <w:pPr>
        <w:widowControl/>
        <w:spacing w:after="80"/>
      </w:pPr>
      <w:r>
        <w:rPr>
          <w:rFonts w:ascii="Arial" w:hAnsi="Arial" w:eastAsia="Arial"/>
          <w:i/>
          <w:color w:val="666666"/>
          <w:sz w:val="17"/>
        </w:rPr>
        <w:t>Archivo 07_gizzard.mp3</w:t>
      </w:r>
    </w:p>
    <w:p>
      <w:pPr>
        <w:widowControl/>
        <w:spacing w:before="80" w:after="140" w:line="269" w:lineRule="auto"/>
        <w:ind w:left="369" w:right="369"/>
        <w:jc w:val="both"/>
      </w:pPr>
      <w:r>
        <w:rPr>
          <w:rFonts w:ascii="Arial" w:hAnsi="Arial" w:eastAsia="Arial"/>
          <w:i/>
          <w:color w:val="333333"/>
          <w:sz w:val="20"/>
        </w:rPr>
        <w:t>La molleja posee paredes musculares gruesas y una cubierta interna resistente. Sus contracciones trituran, mezclan y clasifican las partículas, compensando la ausencia de dientes. La acidificación y la acción de la pepsina continúan mientras el alimento se convierte en un quimo más uniforme. Las partículas grandes pueden permanecer aquí durante más tiempo.</w:t>
      </w:r>
    </w:p>
    <w:p>
      <w:pPr>
        <w:pStyle w:val="Heading2"/>
        <w:keepNext w:val="0"/>
        <w:keepLines/>
        <w:widowControl/>
        <w:spacing w:before="180" w:after="180"/>
      </w:pPr>
      <w:r>
        <w:rPr>
          <w:rFonts w:ascii="Arial" w:hAnsi="Arial" w:eastAsia="Arial"/>
          <w:b/>
          <w:color w:val="000000"/>
          <w:sz w:val="25"/>
        </w:rPr>
        <w:t>A 9 Duodeno enzimas bilis y absorción</w:t>
      </w:r>
    </w:p>
    <w:p>
      <w:pPr>
        <w:widowControl/>
        <w:spacing w:after="80"/>
      </w:pPr>
      <w:r>
        <w:rPr>
          <w:rFonts w:ascii="Arial" w:hAnsi="Arial" w:eastAsia="Arial"/>
          <w:i/>
          <w:color w:val="666666"/>
          <w:sz w:val="17"/>
        </w:rPr>
        <w:t>Archivo 08_duodenum.mp3</w:t>
      </w:r>
    </w:p>
    <w:p>
      <w:pPr>
        <w:widowControl/>
        <w:spacing w:before="80" w:after="140" w:line="269" w:lineRule="auto"/>
        <w:ind w:left="369" w:right="369"/>
        <w:jc w:val="both"/>
      </w:pPr>
      <w:r>
        <w:rPr>
          <w:rFonts w:ascii="Arial" w:hAnsi="Arial" w:eastAsia="Arial"/>
          <w:i/>
          <w:color w:val="333333"/>
          <w:sz w:val="20"/>
        </w:rPr>
        <w:t>En el duodeno comienza una fase intensa de digestión intestinal. El páncreas aporta bicarbonato y enzimas que actúan sobre almidón, proteínas y lípidos. El hígado produce bilis, que llega por las vías biliares y facilita la emulsificación de las grasas. La mezcla y la digestión liberan monosacáridos, aminoácidos y productos lipídicos que pueden empezar a atravesar la mucosa intestinal.</w:t>
      </w:r>
    </w:p>
    <w:p>
      <w:pPr>
        <w:pStyle w:val="Heading2"/>
        <w:keepNext w:val="0"/>
        <w:keepLines/>
        <w:widowControl/>
        <w:spacing w:before="180" w:after="180"/>
      </w:pPr>
      <w:r>
        <w:rPr>
          <w:rFonts w:ascii="Arial" w:hAnsi="Arial" w:eastAsia="Arial"/>
          <w:b/>
          <w:color w:val="000000"/>
          <w:sz w:val="25"/>
        </w:rPr>
        <w:t>A 10 Yeyuno digestión final y absorción</w:t>
      </w:r>
    </w:p>
    <w:p>
      <w:pPr>
        <w:widowControl/>
        <w:spacing w:after="80"/>
      </w:pPr>
      <w:r>
        <w:rPr>
          <w:rFonts w:ascii="Arial" w:hAnsi="Arial" w:eastAsia="Arial"/>
          <w:i/>
          <w:color w:val="666666"/>
          <w:sz w:val="17"/>
        </w:rPr>
        <w:t>Archivo 09_jejunum.mp3</w:t>
      </w:r>
    </w:p>
    <w:p>
      <w:pPr>
        <w:widowControl/>
        <w:spacing w:before="80" w:after="140" w:line="269" w:lineRule="auto"/>
        <w:ind w:left="369" w:right="369"/>
        <w:jc w:val="both"/>
      </w:pPr>
      <w:r>
        <w:rPr>
          <w:rFonts w:ascii="Arial" w:hAnsi="Arial" w:eastAsia="Arial"/>
          <w:i/>
          <w:color w:val="333333"/>
          <w:sz w:val="20"/>
        </w:rPr>
        <w:t>En el yeyuno continúa la hidrólisis mediante enzimas pancreáticas y enzimas del borde en cepillo. Sus vellosidades aumentan la superficie disponible para absorber nutrientes. Los monosacáridos y aminoácidos pasan principalmente a los capilares y a la circulación porta hepática. Los productos de los lípidos también se absorben y, en las aves, se transportan por la sangre en partículas llamadas portomicrones.</w:t>
      </w:r>
    </w:p>
    <w:p>
      <w:pPr>
        <w:pStyle w:val="Heading2"/>
        <w:keepNext w:val="0"/>
        <w:keepLines/>
        <w:widowControl/>
        <w:spacing w:before="180" w:after="180"/>
      </w:pPr>
      <w:r>
        <w:rPr>
          <w:rFonts w:ascii="Arial" w:hAnsi="Arial" w:eastAsia="Arial"/>
          <w:b/>
          <w:color w:val="000000"/>
          <w:sz w:val="25"/>
        </w:rPr>
        <w:t>A 11 Íleon absorción remanente</w:t>
      </w:r>
    </w:p>
    <w:p>
      <w:pPr>
        <w:widowControl/>
        <w:spacing w:after="80"/>
      </w:pPr>
      <w:r>
        <w:rPr>
          <w:rFonts w:ascii="Arial" w:hAnsi="Arial" w:eastAsia="Arial"/>
          <w:i/>
          <w:color w:val="666666"/>
          <w:sz w:val="17"/>
        </w:rPr>
        <w:t>Archivo 10_ileum.mp3</w:t>
      </w:r>
    </w:p>
    <w:p>
      <w:pPr>
        <w:widowControl/>
        <w:spacing w:before="80" w:after="140" w:line="269" w:lineRule="auto"/>
        <w:ind w:left="369" w:right="369"/>
        <w:jc w:val="both"/>
      </w:pPr>
      <w:r>
        <w:rPr>
          <w:rFonts w:ascii="Arial" w:hAnsi="Arial" w:eastAsia="Arial"/>
          <w:i/>
          <w:color w:val="333333"/>
          <w:sz w:val="20"/>
        </w:rPr>
        <w:t>El íleon es la porción final del intestino delgado. Aquí se completa la absorción de nutrientes remanentes, agua y electrolitos antes de llegar al intestino posterior. El divertículo de Meckel sirve como referencia anatómica aproximada entre yeyuno e íleon. Por esta razón, el contenido ileal también se utiliza en estudios de digestibilidad de los alimentos.</w:t>
      </w:r>
    </w:p>
    <w:p>
      <w:pPr>
        <w:pStyle w:val="Heading2"/>
        <w:keepNext w:val="0"/>
        <w:keepLines/>
        <w:widowControl/>
        <w:spacing w:before="180" w:after="180"/>
      </w:pPr>
      <w:r>
        <w:rPr>
          <w:rFonts w:ascii="Arial" w:hAnsi="Arial" w:eastAsia="Arial"/>
          <w:b/>
          <w:color w:val="000000"/>
          <w:sz w:val="25"/>
        </w:rPr>
        <w:t>A 12 Ciegos y fermentación microbiana</w:t>
      </w:r>
    </w:p>
    <w:p>
      <w:pPr>
        <w:widowControl/>
        <w:spacing w:after="80"/>
      </w:pPr>
      <w:r>
        <w:rPr>
          <w:rFonts w:ascii="Arial" w:hAnsi="Arial" w:eastAsia="Arial"/>
          <w:i/>
          <w:color w:val="666666"/>
          <w:sz w:val="17"/>
        </w:rPr>
        <w:t>Archivo 11_ceca.mp3</w:t>
      </w:r>
    </w:p>
    <w:p>
      <w:pPr>
        <w:widowControl/>
        <w:spacing w:before="80" w:after="140" w:line="269" w:lineRule="auto"/>
        <w:ind w:left="369" w:right="369"/>
        <w:jc w:val="both"/>
      </w:pPr>
      <w:r>
        <w:rPr>
          <w:rFonts w:ascii="Arial" w:hAnsi="Arial" w:eastAsia="Arial"/>
          <w:i/>
          <w:color w:val="333333"/>
          <w:sz w:val="20"/>
        </w:rPr>
        <w:t>En la unión entre el íleon y el colon se encuentran dos ciegos. Parte del material no digerido entra en estas cámaras, donde una comunidad microbiana fermenta fracciones aprovechables de fibra y otros sustratos. Se producen ácidos grasos de cadena corta y se recuperan agua y electrolitos. La magnitud de este proceso depende de la dieta, la edad y el tiempo de retención.</w:t>
      </w:r>
    </w:p>
    <w:p>
      <w:pPr>
        <w:pStyle w:val="Heading2"/>
        <w:keepNext w:val="0"/>
        <w:keepLines/>
        <w:widowControl/>
        <w:spacing w:before="180" w:after="180"/>
      </w:pPr>
      <w:r>
        <w:rPr>
          <w:rFonts w:ascii="Arial" w:hAnsi="Arial" w:eastAsia="Arial"/>
          <w:b/>
          <w:color w:val="000000"/>
          <w:sz w:val="25"/>
        </w:rPr>
        <w:t>A 13 Colon y recuperación de agua</w:t>
      </w:r>
    </w:p>
    <w:p>
      <w:pPr>
        <w:widowControl/>
        <w:spacing w:after="80"/>
      </w:pPr>
      <w:r>
        <w:rPr>
          <w:rFonts w:ascii="Arial" w:hAnsi="Arial" w:eastAsia="Arial"/>
          <w:i/>
          <w:color w:val="666666"/>
          <w:sz w:val="17"/>
        </w:rPr>
        <w:t>Archivo 12_colon.mp3</w:t>
      </w:r>
    </w:p>
    <w:p>
      <w:pPr>
        <w:widowControl/>
        <w:spacing w:before="80" w:after="140" w:line="269" w:lineRule="auto"/>
        <w:ind w:left="369" w:right="369"/>
        <w:jc w:val="both"/>
      </w:pPr>
      <w:r>
        <w:rPr>
          <w:rFonts w:ascii="Arial" w:hAnsi="Arial" w:eastAsia="Arial"/>
          <w:i/>
          <w:color w:val="333333"/>
          <w:sz w:val="20"/>
        </w:rPr>
        <w:t>El colon de la gallina es relativamente corto. Recibe el residuo procedente del íleon y el contenido evacuado por los ciegos. Mientras lo conduce hacia la cloaca, recupera parte del agua y los electrolitos y aporta moco para facilitar el tránsito. Aquí no ocurre una digestión enzimática principal.</w:t>
      </w:r>
    </w:p>
    <w:p>
      <w:pPr>
        <w:pStyle w:val="Heading2"/>
        <w:keepNext w:val="0"/>
        <w:keepLines/>
        <w:widowControl/>
        <w:spacing w:before="180" w:after="180"/>
      </w:pPr>
      <w:r>
        <w:rPr>
          <w:rFonts w:ascii="Arial" w:hAnsi="Arial" w:eastAsia="Arial"/>
          <w:b/>
          <w:color w:val="000000"/>
          <w:sz w:val="25"/>
        </w:rPr>
        <w:t>A 14 Cloaca y eliminación</w:t>
      </w:r>
    </w:p>
    <w:p>
      <w:pPr>
        <w:widowControl/>
        <w:spacing w:after="80"/>
      </w:pPr>
      <w:r>
        <w:rPr>
          <w:rFonts w:ascii="Arial" w:hAnsi="Arial" w:eastAsia="Arial"/>
          <w:i/>
          <w:color w:val="666666"/>
          <w:sz w:val="17"/>
        </w:rPr>
        <w:t>Archivo 13_cloaca.mp3</w:t>
      </w:r>
    </w:p>
    <w:p>
      <w:pPr>
        <w:widowControl/>
        <w:spacing w:before="80" w:after="140" w:line="269" w:lineRule="auto"/>
        <w:ind w:left="369" w:right="369"/>
        <w:jc w:val="both"/>
      </w:pPr>
      <w:r>
        <w:rPr>
          <w:rFonts w:ascii="Arial" w:hAnsi="Arial" w:eastAsia="Arial"/>
          <w:i/>
          <w:color w:val="333333"/>
          <w:sz w:val="20"/>
        </w:rPr>
        <w:t>La cloaca es la cámara terminal compartida por los sistemas digestivo, urinario y reproductivo. Recibe el residuo intestinal y los uratos antes de la expulsión al exterior. Puede ocurrir una recuperación limitada de agua y electrolitos. La excreta aviar es, por tanto, una mezcla diferente de las heces producidas por los mamíferos.</w:t>
      </w:r>
    </w:p>
    <w:p>
      <w:pPr>
        <w:pStyle w:val="Heading2"/>
        <w:keepNext w:val="0"/>
        <w:keepLines/>
        <w:widowControl/>
        <w:spacing w:before="180" w:after="180"/>
      </w:pPr>
      <w:r>
        <w:rPr>
          <w:rFonts w:ascii="Arial" w:hAnsi="Arial" w:eastAsia="Arial"/>
          <w:b/>
          <w:color w:val="000000"/>
          <w:sz w:val="25"/>
        </w:rPr>
        <w:t>A 15 Cierre</w:t>
      </w:r>
    </w:p>
    <w:p>
      <w:pPr>
        <w:widowControl/>
        <w:spacing w:after="80"/>
      </w:pPr>
      <w:r>
        <w:rPr>
          <w:rFonts w:ascii="Arial" w:hAnsi="Arial" w:eastAsia="Arial"/>
          <w:i/>
          <w:color w:val="666666"/>
          <w:sz w:val="17"/>
        </w:rPr>
        <w:t>Archivo 14_summary.mp3</w:t>
      </w:r>
    </w:p>
    <w:p>
      <w:pPr>
        <w:widowControl/>
        <w:spacing w:before="80" w:after="140" w:line="269" w:lineRule="auto"/>
        <w:ind w:left="369" w:right="369"/>
        <w:jc w:val="both"/>
      </w:pPr>
      <w:r>
        <w:rPr>
          <w:rFonts w:ascii="Arial" w:hAnsi="Arial" w:eastAsia="Arial"/>
          <w:i/>
          <w:color w:val="333333"/>
          <w:sz w:val="20"/>
        </w:rPr>
        <w:t>A lo largo de este recorrido, el aparato digestivo transforma el alimento mediante almacenamiento, trituración, secreciones, enzimas, absorción y fermentación. Los nutrientes absorbidos se distribuyen por la sangre y muchos llegan primero al hígado, donde pueden procesarse, almacenarse o dirigirse hacia otros tejidos. La eficiencia de cada etapa cambia con el ingrediente, el procesamiento, la edad y el estado del ave.</w:t>
      </w:r>
    </w:p>
    <w:p>
      <w:pPr>
        <w:widowControl/>
      </w:pPr>
      <w:r>
        <w:br w:type="page"/>
      </w:r>
    </w:p>
    <w:p>
      <w:pPr>
        <w:pStyle w:val="Heading1"/>
        <w:keepNext w:val="0"/>
        <w:keepLines/>
        <w:widowControl/>
        <w:spacing w:before="240" w:after="120"/>
      </w:pPr>
      <w:r>
        <w:rPr>
          <w:rFonts w:ascii="Arial" w:hAnsi="Arial" w:eastAsia="Arial"/>
          <w:b/>
          <w:color w:val="000000"/>
          <w:sz w:val="32"/>
        </w:rPr>
        <w:t>Anexo B Guiones específicos por alimento</w:t>
      </w:r>
    </w:p>
    <w:p>
      <w:pPr>
        <w:widowControl/>
        <w:spacing w:before="40" w:after="120" w:line="276" w:lineRule="auto"/>
        <w:jc w:val="both"/>
      </w:pPr>
      <w:r>
        <w:rPr>
          <w:rFonts w:ascii="Arial" w:hAnsi="Arial" w:eastAsia="Arial"/>
          <w:color w:val="000000"/>
          <w:sz w:val="21"/>
        </w:rPr>
        <w:t>Estos guiones sustituyen la narración general en molleja, duodeno e íleon cuando el usuario selecciona un ingrediente. El cambio evita describir del mismo modo granos, harinas proteicas, forrajes y aceites.</w:t>
      </w:r>
    </w:p>
    <w:p>
      <w:pPr>
        <w:pStyle w:val="Heading2"/>
        <w:keepNext w:val="0"/>
        <w:keepLines/>
        <w:widowControl/>
        <w:spacing w:before="180" w:after="180"/>
      </w:pPr>
      <w:r>
        <w:rPr>
          <w:rFonts w:ascii="Arial" w:hAnsi="Arial" w:eastAsia="Arial"/>
          <w:b/>
          <w:color w:val="000000"/>
          <w:sz w:val="25"/>
        </w:rPr>
        <w:t>B 1 Maíz</w:t>
      </w:r>
    </w:p>
    <w:p>
      <w:pPr>
        <w:pStyle w:val="Heading3"/>
        <w:keepNext w:val="0"/>
        <w:keepLines/>
        <w:widowControl/>
        <w:spacing w:before="180" w:after="180"/>
      </w:pPr>
      <w:r>
        <w:rPr>
          <w:rFonts w:ascii="Arial" w:hAnsi="Arial" w:eastAsia="Arial"/>
          <w:b/>
          <w:color w:val="000000"/>
          <w:sz w:val="25"/>
        </w:rPr>
        <w:t>Maíz Molleja</w:t>
      </w:r>
    </w:p>
    <w:p>
      <w:pPr>
        <w:widowControl/>
        <w:spacing w:after="80"/>
      </w:pPr>
      <w:r>
        <w:rPr>
          <w:rFonts w:ascii="Arial" w:hAnsi="Arial" w:eastAsia="Arial"/>
          <w:i/>
          <w:color w:val="666666"/>
          <w:sz w:val="17"/>
        </w:rPr>
        <w:t>Archivo food_corn_gizzard.mp3</w:t>
      </w:r>
    </w:p>
    <w:p>
      <w:pPr>
        <w:widowControl/>
        <w:spacing w:before="80" w:after="140" w:line="269" w:lineRule="auto"/>
        <w:ind w:left="369" w:right="369"/>
        <w:jc w:val="both"/>
      </w:pPr>
      <w:r>
        <w:rPr>
          <w:rFonts w:ascii="Arial" w:hAnsi="Arial" w:eastAsia="Arial"/>
          <w:i/>
          <w:color w:val="333333"/>
          <w:sz w:val="20"/>
        </w:rPr>
        <w:t>El maíz de esta ficha se administra como grano molido. En la molleja, el tamaño de partícula determina cuánto tiempo se retiene y cuánto trabajo mecánico se necesita. Las partículas gruesas estimulan más la trituración; las muy finas pasan con menor reducción física.</w:t>
      </w:r>
    </w:p>
    <w:p>
      <w:pPr>
        <w:pStyle w:val="Heading3"/>
        <w:keepNext w:val="0"/>
        <w:keepLines/>
        <w:widowControl/>
        <w:spacing w:before="180" w:after="180"/>
      </w:pPr>
      <w:r>
        <w:rPr>
          <w:rFonts w:ascii="Arial" w:hAnsi="Arial" w:eastAsia="Arial"/>
          <w:b/>
          <w:color w:val="000000"/>
          <w:sz w:val="25"/>
        </w:rPr>
        <w:t>Maíz Duodeno</w:t>
      </w:r>
    </w:p>
    <w:p>
      <w:pPr>
        <w:widowControl/>
        <w:spacing w:after="80"/>
      </w:pPr>
      <w:r>
        <w:rPr>
          <w:rFonts w:ascii="Arial" w:hAnsi="Arial" w:eastAsia="Arial"/>
          <w:i/>
          <w:color w:val="666666"/>
          <w:sz w:val="17"/>
        </w:rPr>
        <w:t>Archivo food_corn_duodenum.mp3</w:t>
      </w:r>
    </w:p>
    <w:p>
      <w:pPr>
        <w:widowControl/>
        <w:spacing w:before="80" w:after="140" w:line="269" w:lineRule="auto"/>
        <w:ind w:left="369" w:right="369"/>
        <w:jc w:val="both"/>
      </w:pPr>
      <w:r>
        <w:rPr>
          <w:rFonts w:ascii="Arial" w:hAnsi="Arial" w:eastAsia="Arial"/>
          <w:i/>
          <w:color w:val="333333"/>
          <w:sz w:val="20"/>
        </w:rPr>
        <w:t>En el duodeno, el almidón es el componente principal del maíz. La amilasa pancreática inicia su hidrólisis y las enzimas intestinales continúan liberando azúcares que podrán absorberse como glucosa. La proteína y los lípidos del grano también comienzan su digestión intestinal.</w:t>
      </w:r>
    </w:p>
    <w:p>
      <w:pPr>
        <w:pStyle w:val="Heading3"/>
        <w:keepNext w:val="0"/>
        <w:keepLines/>
        <w:widowControl/>
        <w:spacing w:before="180" w:after="180"/>
      </w:pPr>
      <w:r>
        <w:rPr>
          <w:rFonts w:ascii="Arial" w:hAnsi="Arial" w:eastAsia="Arial"/>
          <w:b/>
          <w:color w:val="000000"/>
          <w:sz w:val="25"/>
        </w:rPr>
        <w:t>Maíz Íleon</w:t>
      </w:r>
    </w:p>
    <w:p>
      <w:pPr>
        <w:widowControl/>
        <w:spacing w:after="80"/>
      </w:pPr>
      <w:r>
        <w:rPr>
          <w:rFonts w:ascii="Arial" w:hAnsi="Arial" w:eastAsia="Arial"/>
          <w:i/>
          <w:color w:val="666666"/>
          <w:sz w:val="17"/>
        </w:rPr>
        <w:t>Archivo food_corn_ileum.mp3</w:t>
      </w:r>
    </w:p>
    <w:p>
      <w:pPr>
        <w:widowControl/>
        <w:spacing w:before="80" w:after="140" w:line="269" w:lineRule="auto"/>
        <w:ind w:left="369" w:right="369"/>
        <w:jc w:val="both"/>
      </w:pPr>
      <w:r>
        <w:rPr>
          <w:rFonts w:ascii="Arial" w:hAnsi="Arial" w:eastAsia="Arial"/>
          <w:i/>
          <w:color w:val="333333"/>
          <w:sz w:val="20"/>
        </w:rPr>
        <w:t>Al final del intestino delgado se evalúa cuánto almidón y cuántos aminoácidos del maíz fueron aprovechados. En el estudio representado, la tasa ileal observada de digestión del almidón fue de cero punto cero ochenta y seis por minuto. Este valor depende de la molienda, el lote y las condiciones del ensayo.</w:t>
      </w:r>
    </w:p>
    <w:p>
      <w:pPr>
        <w:widowControl/>
      </w:pPr>
      <w:r>
        <w:br w:type="page"/>
      </w:r>
    </w:p>
    <w:p>
      <w:pPr>
        <w:pStyle w:val="Heading2"/>
        <w:keepNext w:val="0"/>
        <w:keepLines/>
        <w:widowControl/>
        <w:spacing w:before="180" w:after="180"/>
      </w:pPr>
      <w:r>
        <w:rPr>
          <w:rFonts w:ascii="Arial" w:hAnsi="Arial" w:eastAsia="Arial"/>
          <w:b/>
          <w:color w:val="000000"/>
          <w:sz w:val="25"/>
        </w:rPr>
        <w:t>B 2 Trigo</w:t>
      </w:r>
    </w:p>
    <w:p>
      <w:pPr>
        <w:pStyle w:val="Heading3"/>
        <w:keepNext w:val="0"/>
        <w:keepLines/>
        <w:widowControl/>
        <w:spacing w:before="180" w:after="180"/>
      </w:pPr>
      <w:r>
        <w:rPr>
          <w:rFonts w:ascii="Arial" w:hAnsi="Arial" w:eastAsia="Arial"/>
          <w:b/>
          <w:color w:val="000000"/>
          <w:sz w:val="25"/>
        </w:rPr>
        <w:t>Trigo Molleja</w:t>
      </w:r>
    </w:p>
    <w:p>
      <w:pPr>
        <w:widowControl/>
        <w:spacing w:after="80"/>
      </w:pPr>
      <w:r>
        <w:rPr>
          <w:rFonts w:ascii="Arial" w:hAnsi="Arial" w:eastAsia="Arial"/>
          <w:i/>
          <w:color w:val="666666"/>
          <w:sz w:val="17"/>
        </w:rPr>
        <w:t>Archivo food_wheat_gizzard.mp3</w:t>
      </w:r>
    </w:p>
    <w:p>
      <w:pPr>
        <w:widowControl/>
        <w:spacing w:before="80" w:after="140" w:line="269" w:lineRule="auto"/>
        <w:ind w:left="369" w:right="369"/>
        <w:jc w:val="both"/>
      </w:pPr>
      <w:r>
        <w:rPr>
          <w:rFonts w:ascii="Arial" w:hAnsi="Arial" w:eastAsia="Arial"/>
          <w:i/>
          <w:color w:val="333333"/>
          <w:sz w:val="20"/>
        </w:rPr>
        <w:t>El trigo se presenta molido. La molleja mezcla y regula la salida de sus partículas, pero los arabinoxilanos solubles pueden retener agua y aumentar la viscosidad del contenido. Por eso, molienda, cultivar y uso de enzimas pueden modificar su comportamiento digestivo.</w:t>
      </w:r>
    </w:p>
    <w:p>
      <w:pPr>
        <w:pStyle w:val="Heading3"/>
        <w:keepNext w:val="0"/>
        <w:keepLines/>
        <w:widowControl/>
        <w:spacing w:before="180" w:after="180"/>
      </w:pPr>
      <w:r>
        <w:rPr>
          <w:rFonts w:ascii="Arial" w:hAnsi="Arial" w:eastAsia="Arial"/>
          <w:b/>
          <w:color w:val="000000"/>
          <w:sz w:val="25"/>
        </w:rPr>
        <w:t>Trigo Duodeno</w:t>
      </w:r>
    </w:p>
    <w:p>
      <w:pPr>
        <w:widowControl/>
        <w:spacing w:after="80"/>
      </w:pPr>
      <w:r>
        <w:rPr>
          <w:rFonts w:ascii="Arial" w:hAnsi="Arial" w:eastAsia="Arial"/>
          <w:i/>
          <w:color w:val="666666"/>
          <w:sz w:val="17"/>
        </w:rPr>
        <w:t>Archivo food_wheat_duodenum.mp3</w:t>
      </w:r>
    </w:p>
    <w:p>
      <w:pPr>
        <w:widowControl/>
        <w:spacing w:before="80" w:after="140" w:line="269" w:lineRule="auto"/>
        <w:ind w:left="369" w:right="369"/>
        <w:jc w:val="both"/>
      </w:pPr>
      <w:r>
        <w:rPr>
          <w:rFonts w:ascii="Arial" w:hAnsi="Arial" w:eastAsia="Arial"/>
          <w:i/>
          <w:color w:val="333333"/>
          <w:sz w:val="20"/>
        </w:rPr>
        <w:t>En el duodeno, el almidón del trigo suele quedar disponible con rapidez para la amilasa pancreática. Sin embargo, una mayor viscosidad puede dificultar la mezcla de enzimas y nutrientes y cambiar la velocidad del tránsito. Este comportamiento no es idéntico al de otros granos.</w:t>
      </w:r>
    </w:p>
    <w:p>
      <w:pPr>
        <w:pStyle w:val="Heading3"/>
        <w:keepNext w:val="0"/>
        <w:keepLines/>
        <w:widowControl/>
        <w:spacing w:before="180" w:after="180"/>
      </w:pPr>
      <w:r>
        <w:rPr>
          <w:rFonts w:ascii="Arial" w:hAnsi="Arial" w:eastAsia="Arial"/>
          <w:b/>
          <w:color w:val="000000"/>
          <w:sz w:val="25"/>
        </w:rPr>
        <w:t>Trigo Íleon</w:t>
      </w:r>
    </w:p>
    <w:p>
      <w:pPr>
        <w:widowControl/>
        <w:spacing w:after="80"/>
      </w:pPr>
      <w:r>
        <w:rPr>
          <w:rFonts w:ascii="Arial" w:hAnsi="Arial" w:eastAsia="Arial"/>
          <w:i/>
          <w:color w:val="666666"/>
          <w:sz w:val="17"/>
        </w:rPr>
        <w:t>Archivo food_wheat_ileum.mp3</w:t>
      </w:r>
    </w:p>
    <w:p>
      <w:pPr>
        <w:widowControl/>
        <w:spacing w:before="80" w:after="140" w:line="269" w:lineRule="auto"/>
        <w:ind w:left="369" w:right="369"/>
        <w:jc w:val="both"/>
      </w:pPr>
      <w:r>
        <w:rPr>
          <w:rFonts w:ascii="Arial" w:hAnsi="Arial" w:eastAsia="Arial"/>
          <w:i/>
          <w:color w:val="333333"/>
          <w:sz w:val="20"/>
        </w:rPr>
        <w:t>En el íleon se completa gran parte de la absorción procedente del trigo. La tasa ileal de digestión del almidón observada en el ensayo seleccionado fue de cero punto ciento diecisiete por minuto. No debe extrapolarse sin considerar cultivar, molienda, dieta y enzimas añadidas.</w:t>
      </w:r>
    </w:p>
    <w:p>
      <w:pPr>
        <w:widowControl/>
      </w:pPr>
      <w:r>
        <w:br w:type="page"/>
      </w:r>
    </w:p>
    <w:p>
      <w:pPr>
        <w:pStyle w:val="Heading2"/>
        <w:keepNext w:val="0"/>
        <w:keepLines/>
        <w:widowControl/>
        <w:spacing w:before="180" w:after="180"/>
      </w:pPr>
      <w:r>
        <w:rPr>
          <w:rFonts w:ascii="Arial" w:hAnsi="Arial" w:eastAsia="Arial"/>
          <w:b/>
          <w:color w:val="000000"/>
          <w:sz w:val="25"/>
        </w:rPr>
        <w:t>B 3 Cebada</w:t>
      </w:r>
    </w:p>
    <w:p>
      <w:pPr>
        <w:pStyle w:val="Heading3"/>
        <w:keepNext w:val="0"/>
        <w:keepLines/>
        <w:widowControl/>
        <w:spacing w:before="180" w:after="180"/>
      </w:pPr>
      <w:r>
        <w:rPr>
          <w:rFonts w:ascii="Arial" w:hAnsi="Arial" w:eastAsia="Arial"/>
          <w:b/>
          <w:color w:val="000000"/>
          <w:sz w:val="25"/>
        </w:rPr>
        <w:t>Cebada Molleja</w:t>
      </w:r>
    </w:p>
    <w:p>
      <w:pPr>
        <w:widowControl/>
        <w:spacing w:after="80"/>
      </w:pPr>
      <w:r>
        <w:rPr>
          <w:rFonts w:ascii="Arial" w:hAnsi="Arial" w:eastAsia="Arial"/>
          <w:i/>
          <w:color w:val="666666"/>
          <w:sz w:val="17"/>
        </w:rPr>
        <w:t>Archivo food_barley_gizzard.mp3</w:t>
      </w:r>
    </w:p>
    <w:p>
      <w:pPr>
        <w:widowControl/>
        <w:spacing w:before="80" w:after="140" w:line="269" w:lineRule="auto"/>
        <w:ind w:left="369" w:right="369"/>
        <w:jc w:val="both"/>
      </w:pPr>
      <w:r>
        <w:rPr>
          <w:rFonts w:ascii="Arial" w:hAnsi="Arial" w:eastAsia="Arial"/>
          <w:i/>
          <w:color w:val="333333"/>
          <w:sz w:val="20"/>
        </w:rPr>
        <w:t>La cebada molida conserva más fibra estructural que el maíz o el trigo. Esa fracción puede estimular el trabajo de la molleja, mientras sus beta glucanos solubles absorben agua y elevan la viscosidad. El descascarado y la beta glucanasa cambian notablemente esta respuesta.</w:t>
      </w:r>
    </w:p>
    <w:p>
      <w:pPr>
        <w:pStyle w:val="Heading3"/>
        <w:keepNext w:val="0"/>
        <w:keepLines/>
        <w:widowControl/>
        <w:spacing w:before="180" w:after="180"/>
      </w:pPr>
      <w:r>
        <w:rPr>
          <w:rFonts w:ascii="Arial" w:hAnsi="Arial" w:eastAsia="Arial"/>
          <w:b/>
          <w:color w:val="000000"/>
          <w:sz w:val="25"/>
        </w:rPr>
        <w:t>Cebada Duodeno</w:t>
      </w:r>
    </w:p>
    <w:p>
      <w:pPr>
        <w:widowControl/>
        <w:spacing w:after="80"/>
      </w:pPr>
      <w:r>
        <w:rPr>
          <w:rFonts w:ascii="Arial" w:hAnsi="Arial" w:eastAsia="Arial"/>
          <w:i/>
          <w:color w:val="666666"/>
          <w:sz w:val="17"/>
        </w:rPr>
        <w:t>Archivo food_barley_duodenum.mp3</w:t>
      </w:r>
    </w:p>
    <w:p>
      <w:pPr>
        <w:widowControl/>
        <w:spacing w:before="80" w:after="140" w:line="269" w:lineRule="auto"/>
        <w:ind w:left="369" w:right="369"/>
        <w:jc w:val="both"/>
      </w:pPr>
      <w:r>
        <w:rPr>
          <w:rFonts w:ascii="Arial" w:hAnsi="Arial" w:eastAsia="Arial"/>
          <w:i/>
          <w:color w:val="333333"/>
          <w:sz w:val="20"/>
        </w:rPr>
        <w:t>En el duodeno, las enzimas actúan sobre el almidón y la proteína de la cebada. Los beta glucanos no se digieren como el almidón y pueden aumentar la viscosidad, reduciendo el contacto entre enzimas, sustratos y superficie intestinal.</w:t>
      </w:r>
    </w:p>
    <w:p>
      <w:pPr>
        <w:pStyle w:val="Heading3"/>
        <w:keepNext w:val="0"/>
        <w:keepLines/>
        <w:widowControl/>
        <w:spacing w:before="180" w:after="180"/>
      </w:pPr>
      <w:r>
        <w:rPr>
          <w:rFonts w:ascii="Arial" w:hAnsi="Arial" w:eastAsia="Arial"/>
          <w:b/>
          <w:color w:val="000000"/>
          <w:sz w:val="25"/>
        </w:rPr>
        <w:t>Cebada Íleon</w:t>
      </w:r>
    </w:p>
    <w:p>
      <w:pPr>
        <w:widowControl/>
        <w:spacing w:after="80"/>
      </w:pPr>
      <w:r>
        <w:rPr>
          <w:rFonts w:ascii="Arial" w:hAnsi="Arial" w:eastAsia="Arial"/>
          <w:i/>
          <w:color w:val="666666"/>
          <w:sz w:val="17"/>
        </w:rPr>
        <w:t>Archivo food_barley_ileum.mp3</w:t>
      </w:r>
    </w:p>
    <w:p>
      <w:pPr>
        <w:widowControl/>
        <w:spacing w:before="80" w:after="140" w:line="269" w:lineRule="auto"/>
        <w:ind w:left="369" w:right="369"/>
        <w:jc w:val="both"/>
      </w:pPr>
      <w:r>
        <w:rPr>
          <w:rFonts w:ascii="Arial" w:hAnsi="Arial" w:eastAsia="Arial"/>
          <w:i/>
          <w:color w:val="333333"/>
          <w:sz w:val="20"/>
        </w:rPr>
        <w:t>En el íleon se observa el resultado conjunto de la hidrólisis y la viscosidad intestinal. La tasa ileal de digestión del almidón registrada para la cebada fue de cero punto ciento cuatro por minuto. El valor puede cambiar con descascarado, molienda y enzimas específicas.</w:t>
      </w:r>
    </w:p>
    <w:p>
      <w:pPr>
        <w:widowControl/>
      </w:pPr>
      <w:r>
        <w:br w:type="page"/>
      </w:r>
    </w:p>
    <w:p>
      <w:pPr>
        <w:pStyle w:val="Heading2"/>
        <w:keepNext w:val="0"/>
        <w:keepLines/>
        <w:widowControl/>
        <w:spacing w:before="180" w:after="180"/>
      </w:pPr>
      <w:r>
        <w:rPr>
          <w:rFonts w:ascii="Arial" w:hAnsi="Arial" w:eastAsia="Arial"/>
          <w:b/>
          <w:color w:val="000000"/>
          <w:sz w:val="25"/>
        </w:rPr>
        <w:t>B 4 Avena</w:t>
      </w:r>
    </w:p>
    <w:p>
      <w:pPr>
        <w:pStyle w:val="Heading3"/>
        <w:keepNext w:val="0"/>
        <w:keepLines/>
        <w:widowControl/>
        <w:spacing w:before="180" w:after="180"/>
      </w:pPr>
      <w:r>
        <w:rPr>
          <w:rFonts w:ascii="Arial" w:hAnsi="Arial" w:eastAsia="Arial"/>
          <w:b/>
          <w:color w:val="000000"/>
          <w:sz w:val="25"/>
        </w:rPr>
        <w:t>Avena Molleja</w:t>
      </w:r>
    </w:p>
    <w:p>
      <w:pPr>
        <w:widowControl/>
        <w:spacing w:after="80"/>
      </w:pPr>
      <w:r>
        <w:rPr>
          <w:rFonts w:ascii="Arial" w:hAnsi="Arial" w:eastAsia="Arial"/>
          <w:i/>
          <w:color w:val="666666"/>
          <w:sz w:val="17"/>
        </w:rPr>
        <w:t>Archivo food_oats_gizzard.mp3</w:t>
      </w:r>
    </w:p>
    <w:p>
      <w:pPr>
        <w:widowControl/>
        <w:spacing w:before="80" w:after="140" w:line="269" w:lineRule="auto"/>
        <w:ind w:left="369" w:right="369"/>
        <w:jc w:val="both"/>
      </w:pPr>
      <w:r>
        <w:rPr>
          <w:rFonts w:ascii="Arial" w:hAnsi="Arial" w:eastAsia="Arial"/>
          <w:i/>
          <w:color w:val="333333"/>
          <w:sz w:val="20"/>
        </w:rPr>
        <w:t>Esta ficha representa avena con cáscara. Su mayor volumen y fibra estimulan la actividad mecánica de la molleja de forma distinta a un grano descascarado o a una harina proteica. La respuesta cambia si se retira la cáscara o se reduce demasiado el tamaño de partícula.</w:t>
      </w:r>
    </w:p>
    <w:p>
      <w:pPr>
        <w:pStyle w:val="Heading3"/>
        <w:keepNext w:val="0"/>
        <w:keepLines/>
        <w:widowControl/>
        <w:spacing w:before="180" w:after="180"/>
      </w:pPr>
      <w:r>
        <w:rPr>
          <w:rFonts w:ascii="Arial" w:hAnsi="Arial" w:eastAsia="Arial"/>
          <w:b/>
          <w:color w:val="000000"/>
          <w:sz w:val="25"/>
        </w:rPr>
        <w:t>Avena Duodeno</w:t>
      </w:r>
    </w:p>
    <w:p>
      <w:pPr>
        <w:widowControl/>
        <w:spacing w:after="80"/>
      </w:pPr>
      <w:r>
        <w:rPr>
          <w:rFonts w:ascii="Arial" w:hAnsi="Arial" w:eastAsia="Arial"/>
          <w:i/>
          <w:color w:val="666666"/>
          <w:sz w:val="17"/>
        </w:rPr>
        <w:t>Archivo food_oats_duodenum.mp3</w:t>
      </w:r>
    </w:p>
    <w:p>
      <w:pPr>
        <w:widowControl/>
        <w:spacing w:before="80" w:after="140" w:line="269" w:lineRule="auto"/>
        <w:ind w:left="369" w:right="369"/>
        <w:jc w:val="both"/>
      </w:pPr>
      <w:r>
        <w:rPr>
          <w:rFonts w:ascii="Arial" w:hAnsi="Arial" w:eastAsia="Arial"/>
          <w:i/>
          <w:color w:val="333333"/>
          <w:sz w:val="20"/>
        </w:rPr>
        <w:t>En el duodeno, la avena aporta almidón, proteína y una proporción de grasa mayor que otros cereales, pero también más fibra. Por ello participan amilasa, proteasas, bilis y lipasa, mientras parte de la fibra continúa sin digestión enzimática.</w:t>
      </w:r>
    </w:p>
    <w:p>
      <w:pPr>
        <w:pStyle w:val="Heading3"/>
        <w:keepNext w:val="0"/>
        <w:keepLines/>
        <w:widowControl/>
        <w:spacing w:before="180" w:after="180"/>
      </w:pPr>
      <w:r>
        <w:rPr>
          <w:rFonts w:ascii="Arial" w:hAnsi="Arial" w:eastAsia="Arial"/>
          <w:b/>
          <w:color w:val="000000"/>
          <w:sz w:val="25"/>
        </w:rPr>
        <w:t>Avena Íleon</w:t>
      </w:r>
    </w:p>
    <w:p>
      <w:pPr>
        <w:widowControl/>
        <w:spacing w:after="80"/>
      </w:pPr>
      <w:r>
        <w:rPr>
          <w:rFonts w:ascii="Arial" w:hAnsi="Arial" w:eastAsia="Arial"/>
          <w:i/>
          <w:color w:val="666666"/>
          <w:sz w:val="17"/>
        </w:rPr>
        <w:t>Archivo food_oats_ileum.mp3</w:t>
      </w:r>
    </w:p>
    <w:p>
      <w:pPr>
        <w:widowControl/>
        <w:spacing w:before="80" w:after="140" w:line="269" w:lineRule="auto"/>
        <w:ind w:left="369" w:right="369"/>
        <w:jc w:val="both"/>
      </w:pPr>
      <w:r>
        <w:rPr>
          <w:rFonts w:ascii="Arial" w:hAnsi="Arial" w:eastAsia="Arial"/>
          <w:i/>
          <w:color w:val="333333"/>
          <w:sz w:val="20"/>
        </w:rPr>
        <w:t>En el íleon termina la absorción disponible de nutrientes de la avena. Para esta ficha no se seleccionó un coeficiente ileal suficientemente comparable. La simulación muestra el proceso general, pero no presenta un porcentaje que no esté respaldado por condiciones equivalentes.</w:t>
      </w:r>
    </w:p>
    <w:p>
      <w:pPr>
        <w:widowControl/>
      </w:pPr>
      <w:r>
        <w:br w:type="page"/>
      </w:r>
    </w:p>
    <w:p>
      <w:pPr>
        <w:pStyle w:val="Heading2"/>
        <w:keepNext w:val="0"/>
        <w:keepLines/>
        <w:widowControl/>
        <w:spacing w:before="180" w:after="180"/>
      </w:pPr>
      <w:r>
        <w:rPr>
          <w:rFonts w:ascii="Arial" w:hAnsi="Arial" w:eastAsia="Arial"/>
          <w:b/>
          <w:color w:val="000000"/>
          <w:sz w:val="25"/>
        </w:rPr>
        <w:t>B 5 Sorgo</w:t>
      </w:r>
    </w:p>
    <w:p>
      <w:pPr>
        <w:pStyle w:val="Heading3"/>
        <w:keepNext w:val="0"/>
        <w:keepLines/>
        <w:widowControl/>
        <w:spacing w:before="180" w:after="180"/>
      </w:pPr>
      <w:r>
        <w:rPr>
          <w:rFonts w:ascii="Arial" w:hAnsi="Arial" w:eastAsia="Arial"/>
          <w:b/>
          <w:color w:val="000000"/>
          <w:sz w:val="25"/>
        </w:rPr>
        <w:t>Sorgo Molleja</w:t>
      </w:r>
    </w:p>
    <w:p>
      <w:pPr>
        <w:widowControl/>
        <w:spacing w:after="80"/>
      </w:pPr>
      <w:r>
        <w:rPr>
          <w:rFonts w:ascii="Arial" w:hAnsi="Arial" w:eastAsia="Arial"/>
          <w:i/>
          <w:color w:val="666666"/>
          <w:sz w:val="17"/>
        </w:rPr>
        <w:t>Archivo food_sorghum_gizzard.mp3</w:t>
      </w:r>
    </w:p>
    <w:p>
      <w:pPr>
        <w:widowControl/>
        <w:spacing w:before="80" w:after="140" w:line="269" w:lineRule="auto"/>
        <w:ind w:left="369" w:right="369"/>
        <w:jc w:val="both"/>
      </w:pPr>
      <w:r>
        <w:rPr>
          <w:rFonts w:ascii="Arial" w:hAnsi="Arial" w:eastAsia="Arial"/>
          <w:i/>
          <w:color w:val="333333"/>
          <w:sz w:val="20"/>
        </w:rPr>
        <w:t>El sorgo se presenta como grano molido. La molleja reduce y mezcla sus partículas, pero la matriz proteica que rodea el almidón y, en algunas variedades, los taninos, pueden limitar el acceso de las enzimas. Por eso es importante identificar la variedad y el procesamiento.</w:t>
      </w:r>
    </w:p>
    <w:p>
      <w:pPr>
        <w:pStyle w:val="Heading3"/>
        <w:keepNext w:val="0"/>
        <w:keepLines/>
        <w:widowControl/>
        <w:spacing w:before="180" w:after="180"/>
      </w:pPr>
      <w:r>
        <w:rPr>
          <w:rFonts w:ascii="Arial" w:hAnsi="Arial" w:eastAsia="Arial"/>
          <w:b/>
          <w:color w:val="000000"/>
          <w:sz w:val="25"/>
        </w:rPr>
        <w:t>Sorgo Duodeno</w:t>
      </w:r>
    </w:p>
    <w:p>
      <w:pPr>
        <w:widowControl/>
        <w:spacing w:after="80"/>
      </w:pPr>
      <w:r>
        <w:rPr>
          <w:rFonts w:ascii="Arial" w:hAnsi="Arial" w:eastAsia="Arial"/>
          <w:i/>
          <w:color w:val="666666"/>
          <w:sz w:val="17"/>
        </w:rPr>
        <w:t>Archivo food_sorghum_duodenum.mp3</w:t>
      </w:r>
    </w:p>
    <w:p>
      <w:pPr>
        <w:widowControl/>
        <w:spacing w:before="80" w:after="140" w:line="269" w:lineRule="auto"/>
        <w:ind w:left="369" w:right="369"/>
        <w:jc w:val="both"/>
      </w:pPr>
      <w:r>
        <w:rPr>
          <w:rFonts w:ascii="Arial" w:hAnsi="Arial" w:eastAsia="Arial"/>
          <w:i/>
          <w:color w:val="333333"/>
          <w:sz w:val="20"/>
        </w:rPr>
        <w:t>En el duodeno, la amilasa y las proteasas actúan sobre el sorgo. Su digestión puede ser más lenta cuando el almidón permanece asociado con proteínas resistentes o cuando existen taninos. No todos los sorgos producen la misma respuesta.</w:t>
      </w:r>
    </w:p>
    <w:p>
      <w:pPr>
        <w:pStyle w:val="Heading3"/>
        <w:keepNext w:val="0"/>
        <w:keepLines/>
        <w:widowControl/>
        <w:spacing w:before="180" w:after="180"/>
      </w:pPr>
      <w:r>
        <w:rPr>
          <w:rFonts w:ascii="Arial" w:hAnsi="Arial" w:eastAsia="Arial"/>
          <w:b/>
          <w:color w:val="000000"/>
          <w:sz w:val="25"/>
        </w:rPr>
        <w:t>Sorgo Íleon</w:t>
      </w:r>
    </w:p>
    <w:p>
      <w:pPr>
        <w:widowControl/>
        <w:spacing w:after="80"/>
      </w:pPr>
      <w:r>
        <w:rPr>
          <w:rFonts w:ascii="Arial" w:hAnsi="Arial" w:eastAsia="Arial"/>
          <w:i/>
          <w:color w:val="666666"/>
          <w:sz w:val="17"/>
        </w:rPr>
        <w:t>Archivo food_sorghum_ileum.mp3</w:t>
      </w:r>
    </w:p>
    <w:p>
      <w:pPr>
        <w:widowControl/>
        <w:spacing w:before="80" w:after="140" w:line="269" w:lineRule="auto"/>
        <w:ind w:left="369" w:right="369"/>
        <w:jc w:val="both"/>
      </w:pPr>
      <w:r>
        <w:rPr>
          <w:rFonts w:ascii="Arial" w:hAnsi="Arial" w:eastAsia="Arial"/>
          <w:i/>
          <w:color w:val="333333"/>
          <w:sz w:val="20"/>
        </w:rPr>
        <w:t>En el íleon se mide el material que no fue absorbido. La tasa ileal observada de digestión del almidón del sorgo fue de cero punto cero setenta y cinco por minuto. Este resultado depende especialmente de la variedad, los taninos y la molienda.</w:t>
      </w:r>
    </w:p>
    <w:p>
      <w:pPr>
        <w:widowControl/>
      </w:pPr>
      <w:r>
        <w:br w:type="page"/>
      </w:r>
    </w:p>
    <w:p>
      <w:pPr>
        <w:pStyle w:val="Heading2"/>
        <w:keepNext w:val="0"/>
        <w:keepLines/>
        <w:widowControl/>
        <w:spacing w:before="180" w:after="180"/>
      </w:pPr>
      <w:r>
        <w:rPr>
          <w:rFonts w:ascii="Arial" w:hAnsi="Arial" w:eastAsia="Arial"/>
          <w:b/>
          <w:color w:val="000000"/>
          <w:sz w:val="25"/>
        </w:rPr>
        <w:t>B 6 Harina de soya</w:t>
      </w:r>
    </w:p>
    <w:p>
      <w:pPr>
        <w:pStyle w:val="Heading3"/>
        <w:keepNext w:val="0"/>
        <w:keepLines/>
        <w:widowControl/>
        <w:spacing w:before="180" w:after="180"/>
      </w:pPr>
      <w:r>
        <w:rPr>
          <w:rFonts w:ascii="Arial" w:hAnsi="Arial" w:eastAsia="Arial"/>
          <w:b/>
          <w:color w:val="000000"/>
          <w:sz w:val="25"/>
        </w:rPr>
        <w:t>Harina de soya Molleja</w:t>
      </w:r>
    </w:p>
    <w:p>
      <w:pPr>
        <w:widowControl/>
        <w:spacing w:after="80"/>
      </w:pPr>
      <w:r>
        <w:rPr>
          <w:rFonts w:ascii="Arial" w:hAnsi="Arial" w:eastAsia="Arial"/>
          <w:i/>
          <w:color w:val="666666"/>
          <w:sz w:val="17"/>
        </w:rPr>
        <w:t>Archivo food_soybean_meal_gizzard.mp3</w:t>
      </w:r>
    </w:p>
    <w:p>
      <w:pPr>
        <w:widowControl/>
        <w:spacing w:before="80" w:after="140" w:line="269" w:lineRule="auto"/>
        <w:ind w:left="369" w:right="369"/>
        <w:jc w:val="both"/>
      </w:pPr>
      <w:r>
        <w:rPr>
          <w:rFonts w:ascii="Arial" w:hAnsi="Arial" w:eastAsia="Arial"/>
          <w:i/>
          <w:color w:val="333333"/>
          <w:sz w:val="20"/>
        </w:rPr>
        <w:t>La harina de soya ya llega como partículas molidas y no se comporta como un grano entero. La molleja mezcla el material con las secreciones gástricas, pero suele requerir menos reducción física. El tamaño de partícula y la calidad del tratamiento térmico influyen en la retención y el aprovechamiento.</w:t>
      </w:r>
    </w:p>
    <w:p>
      <w:pPr>
        <w:pStyle w:val="Heading3"/>
        <w:keepNext w:val="0"/>
        <w:keepLines/>
        <w:widowControl/>
        <w:spacing w:before="180" w:after="180"/>
      </w:pPr>
      <w:r>
        <w:rPr>
          <w:rFonts w:ascii="Arial" w:hAnsi="Arial" w:eastAsia="Arial"/>
          <w:b/>
          <w:color w:val="000000"/>
          <w:sz w:val="25"/>
        </w:rPr>
        <w:t>Harina de soya Duodeno</w:t>
      </w:r>
    </w:p>
    <w:p>
      <w:pPr>
        <w:widowControl/>
        <w:spacing w:after="80"/>
      </w:pPr>
      <w:r>
        <w:rPr>
          <w:rFonts w:ascii="Arial" w:hAnsi="Arial" w:eastAsia="Arial"/>
          <w:i/>
          <w:color w:val="666666"/>
          <w:sz w:val="17"/>
        </w:rPr>
        <w:t>Archivo food_soybean_meal_duodenum.mp3</w:t>
      </w:r>
    </w:p>
    <w:p>
      <w:pPr>
        <w:widowControl/>
        <w:spacing w:before="80" w:after="140" w:line="269" w:lineRule="auto"/>
        <w:ind w:left="369" w:right="369"/>
        <w:jc w:val="both"/>
      </w:pPr>
      <w:r>
        <w:rPr>
          <w:rFonts w:ascii="Arial" w:hAnsi="Arial" w:eastAsia="Arial"/>
          <w:i/>
          <w:color w:val="333333"/>
          <w:sz w:val="20"/>
        </w:rPr>
        <w:t>En el duodeno, la harina de soya aporta principalmente proteína. Las proteasas pancreáticas liberan péptidos y aminoácidos, mientras los oligosacáridos y parte de la fibra siguen otro recorrido. Un calentamiento insuficiente o excesivo puede reducir la utilización de la proteína.</w:t>
      </w:r>
    </w:p>
    <w:p>
      <w:pPr>
        <w:pStyle w:val="Heading3"/>
        <w:keepNext w:val="0"/>
        <w:keepLines/>
        <w:widowControl/>
        <w:spacing w:before="180" w:after="180"/>
      </w:pPr>
      <w:r>
        <w:rPr>
          <w:rFonts w:ascii="Arial" w:hAnsi="Arial" w:eastAsia="Arial"/>
          <w:b/>
          <w:color w:val="000000"/>
          <w:sz w:val="25"/>
        </w:rPr>
        <w:t>Harina de soya Íleon</w:t>
      </w:r>
    </w:p>
    <w:p>
      <w:pPr>
        <w:widowControl/>
        <w:spacing w:after="80"/>
      </w:pPr>
      <w:r>
        <w:rPr>
          <w:rFonts w:ascii="Arial" w:hAnsi="Arial" w:eastAsia="Arial"/>
          <w:i/>
          <w:color w:val="666666"/>
          <w:sz w:val="17"/>
        </w:rPr>
        <w:t>Archivo food_soybean_meal_ileum.mp3</w:t>
      </w:r>
    </w:p>
    <w:p>
      <w:pPr>
        <w:widowControl/>
        <w:spacing w:before="80" w:after="140" w:line="269" w:lineRule="auto"/>
        <w:ind w:left="369" w:right="369"/>
        <w:jc w:val="both"/>
      </w:pPr>
      <w:r>
        <w:rPr>
          <w:rFonts w:ascii="Arial" w:hAnsi="Arial" w:eastAsia="Arial"/>
          <w:i/>
          <w:color w:val="333333"/>
          <w:sz w:val="20"/>
        </w:rPr>
        <w:t>En el íleon se estima la fracción de aminoácidos absorbida antes del intestino posterior. La media aparente de quince aminoácidos fue de ochenta y dos punto dos por ciento en el ensayo sin fitasa. No equivale a digestibilidad de proteína cruda ni representa todos los lotes de harina de soya.</w:t>
      </w:r>
    </w:p>
    <w:p>
      <w:pPr>
        <w:widowControl/>
      </w:pPr>
      <w:r>
        <w:br w:type="page"/>
      </w:r>
    </w:p>
    <w:p>
      <w:pPr>
        <w:pStyle w:val="Heading2"/>
        <w:keepNext w:val="0"/>
        <w:keepLines/>
        <w:widowControl/>
        <w:spacing w:before="180" w:after="180"/>
      </w:pPr>
      <w:r>
        <w:rPr>
          <w:rFonts w:ascii="Arial" w:hAnsi="Arial" w:eastAsia="Arial"/>
          <w:b/>
          <w:color w:val="000000"/>
          <w:sz w:val="25"/>
        </w:rPr>
        <w:t>B 7 Harina de canola</w:t>
      </w:r>
    </w:p>
    <w:p>
      <w:pPr>
        <w:pStyle w:val="Heading3"/>
        <w:keepNext w:val="0"/>
        <w:keepLines/>
        <w:widowControl/>
        <w:spacing w:before="180" w:after="180"/>
      </w:pPr>
      <w:r>
        <w:rPr>
          <w:rFonts w:ascii="Arial" w:hAnsi="Arial" w:eastAsia="Arial"/>
          <w:b/>
          <w:color w:val="000000"/>
          <w:sz w:val="25"/>
        </w:rPr>
        <w:t>Harina de canola Molleja</w:t>
      </w:r>
    </w:p>
    <w:p>
      <w:pPr>
        <w:widowControl/>
        <w:spacing w:after="80"/>
      </w:pPr>
      <w:r>
        <w:rPr>
          <w:rFonts w:ascii="Arial" w:hAnsi="Arial" w:eastAsia="Arial"/>
          <w:i/>
          <w:color w:val="666666"/>
          <w:sz w:val="17"/>
        </w:rPr>
        <w:t>Archivo food_canola_meal_gizzard.mp3</w:t>
      </w:r>
    </w:p>
    <w:p>
      <w:pPr>
        <w:widowControl/>
        <w:spacing w:before="80" w:after="140" w:line="269" w:lineRule="auto"/>
        <w:ind w:left="369" w:right="369"/>
        <w:jc w:val="both"/>
      </w:pPr>
      <w:r>
        <w:rPr>
          <w:rFonts w:ascii="Arial" w:hAnsi="Arial" w:eastAsia="Arial"/>
          <w:i/>
          <w:color w:val="333333"/>
          <w:sz w:val="20"/>
        </w:rPr>
        <w:t>La harina de canola es un material molido procedente de la extracción de aceite, no un grano. Su fibra residual aumenta el volumen y puede prolongar la retención, aunque las partículas finas necesitan menos trituración. Esta ficha representa harina extraída con solvente y no un producto expeller.</w:t>
      </w:r>
    </w:p>
    <w:p>
      <w:pPr>
        <w:pStyle w:val="Heading3"/>
        <w:keepNext w:val="0"/>
        <w:keepLines/>
        <w:widowControl/>
        <w:spacing w:before="180" w:after="180"/>
      </w:pPr>
      <w:r>
        <w:rPr>
          <w:rFonts w:ascii="Arial" w:hAnsi="Arial" w:eastAsia="Arial"/>
          <w:b/>
          <w:color w:val="000000"/>
          <w:sz w:val="25"/>
        </w:rPr>
        <w:t>Harina de canola Duodeno</w:t>
      </w:r>
    </w:p>
    <w:p>
      <w:pPr>
        <w:widowControl/>
        <w:spacing w:after="80"/>
      </w:pPr>
      <w:r>
        <w:rPr>
          <w:rFonts w:ascii="Arial" w:hAnsi="Arial" w:eastAsia="Arial"/>
          <w:i/>
          <w:color w:val="666666"/>
          <w:sz w:val="17"/>
        </w:rPr>
        <w:t>Archivo food_canola_meal_duodenum.mp3</w:t>
      </w:r>
    </w:p>
    <w:p>
      <w:pPr>
        <w:widowControl/>
        <w:spacing w:before="80" w:after="140" w:line="269" w:lineRule="auto"/>
        <w:ind w:left="369" w:right="369"/>
        <w:jc w:val="both"/>
      </w:pPr>
      <w:r>
        <w:rPr>
          <w:rFonts w:ascii="Arial" w:hAnsi="Arial" w:eastAsia="Arial"/>
          <w:i/>
          <w:color w:val="333333"/>
          <w:sz w:val="20"/>
        </w:rPr>
        <w:t>En el duodeno, las proteasas digieren la proteína de la harina de canola. Su mayor cantidad de fibra reduce la densidad energética y puede limitar el contacto enzimático. La composición también depende de la extracción, el calentamiento y la variedad utilizada.</w:t>
      </w:r>
    </w:p>
    <w:p>
      <w:pPr>
        <w:pStyle w:val="Heading3"/>
        <w:keepNext w:val="0"/>
        <w:keepLines/>
        <w:widowControl/>
        <w:spacing w:before="180" w:after="180"/>
      </w:pPr>
      <w:r>
        <w:rPr>
          <w:rFonts w:ascii="Arial" w:hAnsi="Arial" w:eastAsia="Arial"/>
          <w:b/>
          <w:color w:val="000000"/>
          <w:sz w:val="25"/>
        </w:rPr>
        <w:t>Harina de canola Íleon</w:t>
      </w:r>
    </w:p>
    <w:p>
      <w:pPr>
        <w:widowControl/>
        <w:spacing w:after="80"/>
      </w:pPr>
      <w:r>
        <w:rPr>
          <w:rFonts w:ascii="Arial" w:hAnsi="Arial" w:eastAsia="Arial"/>
          <w:i/>
          <w:color w:val="666666"/>
          <w:sz w:val="17"/>
        </w:rPr>
        <w:t>Archivo food_canola_meal_ileum.mp3</w:t>
      </w:r>
    </w:p>
    <w:p>
      <w:pPr>
        <w:widowControl/>
        <w:spacing w:before="80" w:after="140" w:line="269" w:lineRule="auto"/>
        <w:ind w:left="369" w:right="369"/>
        <w:jc w:val="both"/>
      </w:pPr>
      <w:r>
        <w:rPr>
          <w:rFonts w:ascii="Arial" w:hAnsi="Arial" w:eastAsia="Arial"/>
          <w:i/>
          <w:color w:val="333333"/>
          <w:sz w:val="20"/>
        </w:rPr>
        <w:t>En el íleon, la digestibilidad aparente media de quince aminoácidos fue de setenta y ocho punto siete por ciento en el ensayo sin fitasa. Este resultado corresponde a harina de canola cero cero extraída con solvente y no debe aplicarse automáticamente a otras presentaciones.</w:t>
      </w:r>
    </w:p>
    <w:p>
      <w:pPr>
        <w:widowControl/>
      </w:pPr>
      <w:r>
        <w:br w:type="page"/>
      </w:r>
    </w:p>
    <w:p>
      <w:pPr>
        <w:pStyle w:val="Heading2"/>
        <w:keepNext w:val="0"/>
        <w:keepLines/>
        <w:widowControl/>
        <w:spacing w:before="180" w:after="180"/>
      </w:pPr>
      <w:r>
        <w:rPr>
          <w:rFonts w:ascii="Arial" w:hAnsi="Arial" w:eastAsia="Arial"/>
          <w:b/>
          <w:color w:val="000000"/>
          <w:sz w:val="25"/>
        </w:rPr>
        <w:t>B 8 Harina de girasol</w:t>
      </w:r>
    </w:p>
    <w:p>
      <w:pPr>
        <w:pStyle w:val="Heading3"/>
        <w:keepNext w:val="0"/>
        <w:keepLines/>
        <w:widowControl/>
        <w:spacing w:before="180" w:after="180"/>
      </w:pPr>
      <w:r>
        <w:rPr>
          <w:rFonts w:ascii="Arial" w:hAnsi="Arial" w:eastAsia="Arial"/>
          <w:b/>
          <w:color w:val="000000"/>
          <w:sz w:val="25"/>
        </w:rPr>
        <w:t>Harina de girasol Molleja</w:t>
      </w:r>
    </w:p>
    <w:p>
      <w:pPr>
        <w:widowControl/>
        <w:spacing w:after="80"/>
      </w:pPr>
      <w:r>
        <w:rPr>
          <w:rFonts w:ascii="Arial" w:hAnsi="Arial" w:eastAsia="Arial"/>
          <w:i/>
          <w:color w:val="666666"/>
          <w:sz w:val="17"/>
        </w:rPr>
        <w:t>Archivo food_sunflower_meal_gizzard.mp3</w:t>
      </w:r>
    </w:p>
    <w:p>
      <w:pPr>
        <w:widowControl/>
        <w:spacing w:before="80" w:after="140" w:line="269" w:lineRule="auto"/>
        <w:ind w:left="369" w:right="369"/>
        <w:jc w:val="both"/>
      </w:pPr>
      <w:r>
        <w:rPr>
          <w:rFonts w:ascii="Arial" w:hAnsi="Arial" w:eastAsia="Arial"/>
          <w:i/>
          <w:color w:val="333333"/>
          <w:sz w:val="20"/>
        </w:rPr>
        <w:t>La harina de girasol ya fue molida después de extraer el aceite. Su comportamiento en la molleja depende sobre todo de la fibra y del grado de descascarado: más restos de cáscara aumentan el volumen y el trabajo mecánico, pero reducen la densidad de nutrientes.</w:t>
      </w:r>
    </w:p>
    <w:p>
      <w:pPr>
        <w:pStyle w:val="Heading3"/>
        <w:keepNext w:val="0"/>
        <w:keepLines/>
        <w:widowControl/>
        <w:spacing w:before="180" w:after="180"/>
      </w:pPr>
      <w:r>
        <w:rPr>
          <w:rFonts w:ascii="Arial" w:hAnsi="Arial" w:eastAsia="Arial"/>
          <w:b/>
          <w:color w:val="000000"/>
          <w:sz w:val="25"/>
        </w:rPr>
        <w:t>Harina de girasol Duodeno</w:t>
      </w:r>
    </w:p>
    <w:p>
      <w:pPr>
        <w:widowControl/>
        <w:spacing w:after="80"/>
      </w:pPr>
      <w:r>
        <w:rPr>
          <w:rFonts w:ascii="Arial" w:hAnsi="Arial" w:eastAsia="Arial"/>
          <w:i/>
          <w:color w:val="666666"/>
          <w:sz w:val="17"/>
        </w:rPr>
        <w:t>Archivo food_sunflower_meal_duodenum.mp3</w:t>
      </w:r>
    </w:p>
    <w:p>
      <w:pPr>
        <w:widowControl/>
        <w:spacing w:before="80" w:after="140" w:line="269" w:lineRule="auto"/>
        <w:ind w:left="369" w:right="369"/>
        <w:jc w:val="both"/>
      </w:pPr>
      <w:r>
        <w:rPr>
          <w:rFonts w:ascii="Arial" w:hAnsi="Arial" w:eastAsia="Arial"/>
          <w:i/>
          <w:color w:val="333333"/>
          <w:sz w:val="20"/>
        </w:rPr>
        <w:t>En el duodeno, las proteasas liberan péptidos y aminoácidos de la harina de girasol. La fracción fibrosa no responde a estas enzimas y puede limitar la disponibilidad de la proteína. El descascarado y el método de extracción explican parte de la variación entre productos.</w:t>
      </w:r>
    </w:p>
    <w:p>
      <w:pPr>
        <w:pStyle w:val="Heading3"/>
        <w:keepNext w:val="0"/>
        <w:keepLines/>
        <w:widowControl/>
        <w:spacing w:before="180" w:after="180"/>
      </w:pPr>
      <w:r>
        <w:rPr>
          <w:rFonts w:ascii="Arial" w:hAnsi="Arial" w:eastAsia="Arial"/>
          <w:b/>
          <w:color w:val="000000"/>
          <w:sz w:val="25"/>
        </w:rPr>
        <w:t>Harina de girasol Íleon</w:t>
      </w:r>
    </w:p>
    <w:p>
      <w:pPr>
        <w:widowControl/>
        <w:spacing w:after="80"/>
      </w:pPr>
      <w:r>
        <w:rPr>
          <w:rFonts w:ascii="Arial" w:hAnsi="Arial" w:eastAsia="Arial"/>
          <w:i/>
          <w:color w:val="666666"/>
          <w:sz w:val="17"/>
        </w:rPr>
        <w:t>Archivo food_sunflower_meal_ileum.mp3</w:t>
      </w:r>
    </w:p>
    <w:p>
      <w:pPr>
        <w:widowControl/>
        <w:spacing w:before="80" w:after="140" w:line="269" w:lineRule="auto"/>
        <w:ind w:left="369" w:right="369"/>
        <w:jc w:val="both"/>
      </w:pPr>
      <w:r>
        <w:rPr>
          <w:rFonts w:ascii="Arial" w:hAnsi="Arial" w:eastAsia="Arial"/>
          <w:i/>
          <w:color w:val="333333"/>
          <w:sz w:val="20"/>
        </w:rPr>
        <w:t>En el íleon, la digestibilidad aparente media de quince aminoácidos fue de setenta y seis punto siete por ciento en el ensayo sin fitasa. El valor debe interpretarse junto con el contenido de fibra y el descascarado del producto evaluado.</w:t>
      </w:r>
    </w:p>
    <w:p>
      <w:pPr>
        <w:widowControl/>
      </w:pPr>
      <w:r>
        <w:br w:type="page"/>
      </w:r>
    </w:p>
    <w:p>
      <w:pPr>
        <w:pStyle w:val="Heading2"/>
        <w:keepNext w:val="0"/>
        <w:keepLines/>
        <w:widowControl/>
        <w:spacing w:before="180" w:after="180"/>
      </w:pPr>
      <w:r>
        <w:rPr>
          <w:rFonts w:ascii="Arial" w:hAnsi="Arial" w:eastAsia="Arial"/>
          <w:b/>
          <w:color w:val="000000"/>
          <w:sz w:val="25"/>
        </w:rPr>
        <w:t>B 9 Harina de alfalfa</w:t>
      </w:r>
    </w:p>
    <w:p>
      <w:pPr>
        <w:pStyle w:val="Heading3"/>
        <w:keepNext w:val="0"/>
        <w:keepLines/>
        <w:widowControl/>
        <w:spacing w:before="180" w:after="180"/>
      </w:pPr>
      <w:r>
        <w:rPr>
          <w:rFonts w:ascii="Arial" w:hAnsi="Arial" w:eastAsia="Arial"/>
          <w:b/>
          <w:color w:val="000000"/>
          <w:sz w:val="25"/>
        </w:rPr>
        <w:t>Harina de alfalfa Molleja</w:t>
      </w:r>
    </w:p>
    <w:p>
      <w:pPr>
        <w:widowControl/>
        <w:spacing w:after="80"/>
      </w:pPr>
      <w:r>
        <w:rPr>
          <w:rFonts w:ascii="Arial" w:hAnsi="Arial" w:eastAsia="Arial"/>
          <w:i/>
          <w:color w:val="666666"/>
          <w:sz w:val="17"/>
        </w:rPr>
        <w:t>Archivo food_alfalfa_meal_gizzard.mp3</w:t>
      </w:r>
    </w:p>
    <w:p>
      <w:pPr>
        <w:widowControl/>
        <w:spacing w:before="80" w:after="140" w:line="269" w:lineRule="auto"/>
        <w:ind w:left="369" w:right="369"/>
        <w:jc w:val="both"/>
      </w:pPr>
      <w:r>
        <w:rPr>
          <w:rFonts w:ascii="Arial" w:hAnsi="Arial" w:eastAsia="Arial"/>
          <w:i/>
          <w:color w:val="333333"/>
          <w:sz w:val="20"/>
        </w:rPr>
        <w:t>La harina de alfalfa es un forraje deshidratado y molido, distinto de las harinas obtenidas al extraer aceite. Su abundante fibra aumenta el volumen del contenido y estimula la mezcla mecánica, pero aporta poca energía por unidad de peso. La madurez y la molienda cambian esta respuesta.</w:t>
      </w:r>
    </w:p>
    <w:p>
      <w:pPr>
        <w:pStyle w:val="Heading3"/>
        <w:keepNext w:val="0"/>
        <w:keepLines/>
        <w:widowControl/>
        <w:spacing w:before="180" w:after="180"/>
      </w:pPr>
      <w:r>
        <w:rPr>
          <w:rFonts w:ascii="Arial" w:hAnsi="Arial" w:eastAsia="Arial"/>
          <w:b/>
          <w:color w:val="000000"/>
          <w:sz w:val="25"/>
        </w:rPr>
        <w:t>Harina de alfalfa Duodeno</w:t>
      </w:r>
    </w:p>
    <w:p>
      <w:pPr>
        <w:widowControl/>
        <w:spacing w:after="80"/>
      </w:pPr>
      <w:r>
        <w:rPr>
          <w:rFonts w:ascii="Arial" w:hAnsi="Arial" w:eastAsia="Arial"/>
          <w:i/>
          <w:color w:val="666666"/>
          <w:sz w:val="17"/>
        </w:rPr>
        <w:t>Archivo food_alfalfa_meal_duodenum.mp3</w:t>
      </w:r>
    </w:p>
    <w:p>
      <w:pPr>
        <w:widowControl/>
        <w:spacing w:before="80" w:after="140" w:line="269" w:lineRule="auto"/>
        <w:ind w:left="369" w:right="369"/>
        <w:jc w:val="both"/>
      </w:pPr>
      <w:r>
        <w:rPr>
          <w:rFonts w:ascii="Arial" w:hAnsi="Arial" w:eastAsia="Arial"/>
          <w:i/>
          <w:color w:val="333333"/>
          <w:sz w:val="20"/>
        </w:rPr>
        <w:t>En el duodeno se digieren las fracciones accesibles de proteína, grasa y carbohidratos de la alfalfa. Gran parte de su fibra vegetal resiste las enzimas de la gallina. También aporta pigmentos, pero su inclusión debe moderarse por la baja densidad energética.</w:t>
      </w:r>
    </w:p>
    <w:p>
      <w:pPr>
        <w:pStyle w:val="Heading3"/>
        <w:keepNext w:val="0"/>
        <w:keepLines/>
        <w:widowControl/>
        <w:spacing w:before="180" w:after="180"/>
      </w:pPr>
      <w:r>
        <w:rPr>
          <w:rFonts w:ascii="Arial" w:hAnsi="Arial" w:eastAsia="Arial"/>
          <w:b/>
          <w:color w:val="000000"/>
          <w:sz w:val="25"/>
        </w:rPr>
        <w:t>Harina de alfalfa Íleon</w:t>
      </w:r>
    </w:p>
    <w:p>
      <w:pPr>
        <w:widowControl/>
        <w:spacing w:after="80"/>
      </w:pPr>
      <w:r>
        <w:rPr>
          <w:rFonts w:ascii="Arial" w:hAnsi="Arial" w:eastAsia="Arial"/>
          <w:i/>
          <w:color w:val="666666"/>
          <w:sz w:val="17"/>
        </w:rPr>
        <w:t>Archivo food_alfalfa_meal_ileum.mp3</w:t>
      </w:r>
    </w:p>
    <w:p>
      <w:pPr>
        <w:widowControl/>
        <w:spacing w:before="80" w:after="140" w:line="269" w:lineRule="auto"/>
        <w:ind w:left="369" w:right="369"/>
        <w:jc w:val="both"/>
      </w:pPr>
      <w:r>
        <w:rPr>
          <w:rFonts w:ascii="Arial" w:hAnsi="Arial" w:eastAsia="Arial"/>
          <w:i/>
          <w:color w:val="333333"/>
          <w:sz w:val="20"/>
        </w:rPr>
        <w:t>En el íleon permanece una proporción importante de fibra de la harina de alfalfa. No se seleccionó un coeficiente ileal comparable para esta ficha. La energía metabolizable aparente corregida por nitrógeno reportada para gallos fue de tres punto ocho megajulios por kilogramo de materia seca.</w:t>
      </w:r>
    </w:p>
    <w:p>
      <w:pPr>
        <w:widowControl/>
      </w:pPr>
      <w:r>
        <w:br w:type="page"/>
      </w:r>
    </w:p>
    <w:p>
      <w:pPr>
        <w:pStyle w:val="Heading2"/>
        <w:keepNext w:val="0"/>
        <w:keepLines/>
        <w:widowControl/>
        <w:spacing w:before="180" w:after="180"/>
      </w:pPr>
      <w:r>
        <w:rPr>
          <w:rFonts w:ascii="Arial" w:hAnsi="Arial" w:eastAsia="Arial"/>
          <w:b/>
          <w:color w:val="000000"/>
          <w:sz w:val="25"/>
        </w:rPr>
        <w:t>B 10 Aceite de soya</w:t>
      </w:r>
    </w:p>
    <w:p>
      <w:pPr>
        <w:pStyle w:val="Heading3"/>
        <w:keepNext w:val="0"/>
        <w:keepLines/>
        <w:widowControl/>
        <w:spacing w:before="180" w:after="180"/>
      </w:pPr>
      <w:r>
        <w:rPr>
          <w:rFonts w:ascii="Arial" w:hAnsi="Arial" w:eastAsia="Arial"/>
          <w:b/>
          <w:color w:val="000000"/>
          <w:sz w:val="25"/>
        </w:rPr>
        <w:t>Aceite de soya Molleja</w:t>
      </w:r>
    </w:p>
    <w:p>
      <w:pPr>
        <w:widowControl/>
        <w:spacing w:after="80"/>
      </w:pPr>
      <w:r>
        <w:rPr>
          <w:rFonts w:ascii="Arial" w:hAnsi="Arial" w:eastAsia="Arial"/>
          <w:i/>
          <w:color w:val="666666"/>
          <w:sz w:val="17"/>
        </w:rPr>
        <w:t>Archivo food_soybean_oil_gizzard.mp3</w:t>
      </w:r>
    </w:p>
    <w:p>
      <w:pPr>
        <w:widowControl/>
        <w:spacing w:before="80" w:after="140" w:line="269" w:lineRule="auto"/>
        <w:ind w:left="369" w:right="369"/>
        <w:jc w:val="both"/>
      </w:pPr>
      <w:r>
        <w:rPr>
          <w:rFonts w:ascii="Arial" w:hAnsi="Arial" w:eastAsia="Arial"/>
          <w:i/>
          <w:color w:val="333333"/>
          <w:sz w:val="20"/>
        </w:rPr>
        <w:t>El aceite de soya es líquido y no necesita trituración como los granos o las harinas. En la molleja se dispersa entre los demás componentes de la dieta. La presencia de grasa puede enlentecer el vaciado digestivo y aumenta notablemente la densidad energética de la ración.</w:t>
      </w:r>
    </w:p>
    <w:p>
      <w:pPr>
        <w:pStyle w:val="Heading3"/>
        <w:keepNext w:val="0"/>
        <w:keepLines/>
        <w:widowControl/>
        <w:spacing w:before="180" w:after="180"/>
      </w:pPr>
      <w:r>
        <w:rPr>
          <w:rFonts w:ascii="Arial" w:hAnsi="Arial" w:eastAsia="Arial"/>
          <w:b/>
          <w:color w:val="000000"/>
          <w:sz w:val="25"/>
        </w:rPr>
        <w:t>Aceite de soya Duodeno</w:t>
      </w:r>
    </w:p>
    <w:p>
      <w:pPr>
        <w:widowControl/>
        <w:spacing w:after="80"/>
      </w:pPr>
      <w:r>
        <w:rPr>
          <w:rFonts w:ascii="Arial" w:hAnsi="Arial" w:eastAsia="Arial"/>
          <w:i/>
          <w:color w:val="666666"/>
          <w:sz w:val="17"/>
        </w:rPr>
        <w:t>Archivo food_soybean_oil_duodenum.mp3</w:t>
      </w:r>
    </w:p>
    <w:p>
      <w:pPr>
        <w:widowControl/>
        <w:spacing w:before="80" w:after="140" w:line="269" w:lineRule="auto"/>
        <w:ind w:left="369" w:right="369"/>
        <w:jc w:val="both"/>
      </w:pPr>
      <w:r>
        <w:rPr>
          <w:rFonts w:ascii="Arial" w:hAnsi="Arial" w:eastAsia="Arial"/>
          <w:i/>
          <w:color w:val="333333"/>
          <w:sz w:val="20"/>
        </w:rPr>
        <w:t>En el duodeno, la bilis emulsifica el aceite de soya en gotas pequeñas y la lipasa pancreática libera ácidos grasos y monoacilglicéridos. Este proceso es diferente de la digestión del almidón de los granos y de la proteína de las harinas.</w:t>
      </w:r>
    </w:p>
    <w:p>
      <w:pPr>
        <w:pStyle w:val="Heading3"/>
        <w:keepNext w:val="0"/>
        <w:keepLines/>
        <w:widowControl/>
        <w:spacing w:before="180" w:after="180"/>
      </w:pPr>
      <w:r>
        <w:rPr>
          <w:rFonts w:ascii="Arial" w:hAnsi="Arial" w:eastAsia="Arial"/>
          <w:b/>
          <w:color w:val="000000"/>
          <w:sz w:val="25"/>
        </w:rPr>
        <w:t>Aceite de soya Íleon</w:t>
      </w:r>
    </w:p>
    <w:p>
      <w:pPr>
        <w:widowControl/>
        <w:spacing w:after="80"/>
      </w:pPr>
      <w:r>
        <w:rPr>
          <w:rFonts w:ascii="Arial" w:hAnsi="Arial" w:eastAsia="Arial"/>
          <w:i/>
          <w:color w:val="666666"/>
          <w:sz w:val="17"/>
        </w:rPr>
        <w:t>Archivo food_soybean_oil_ileum.mp3</w:t>
      </w:r>
    </w:p>
    <w:p>
      <w:pPr>
        <w:widowControl/>
        <w:spacing w:before="80" w:after="140" w:line="269" w:lineRule="auto"/>
        <w:ind w:left="369" w:right="369"/>
        <w:jc w:val="both"/>
      </w:pPr>
      <w:r>
        <w:rPr>
          <w:rFonts w:ascii="Arial" w:hAnsi="Arial" w:eastAsia="Arial"/>
          <w:i/>
          <w:color w:val="333333"/>
          <w:sz w:val="20"/>
        </w:rPr>
        <w:t>Los productos del aceite absorbidos por el intestino se transportan en la sangre mediante portomicrones. En el ensayo seleccionado, la digestibilidad aparente de la grasa en el íleon distal fue de ochenta y dos por ciento para aves jóvenes alimentadas con una dieta de maíz y soya.</w:t>
      </w:r>
    </w:p>
    <w:p>
      <w:pPr>
        <w:widowControl/>
      </w:pPr>
      <w:r>
        <w:br w:type="page"/>
      </w:r>
    </w:p>
    <w:p>
      <w:pPr>
        <w:pStyle w:val="Heading1"/>
        <w:keepNext w:val="0"/>
        <w:keepLines/>
        <w:widowControl/>
        <w:spacing w:before="240" w:after="120"/>
      </w:pPr>
      <w:r>
        <w:rPr>
          <w:rFonts w:ascii="Arial" w:hAnsi="Arial" w:eastAsia="Arial"/>
          <w:b/>
          <w:color w:val="000000"/>
          <w:sz w:val="32"/>
        </w:rPr>
        <w:t>Referencias bibliográficas</w:t>
      </w:r>
    </w:p>
    <w:p>
      <w:pPr>
        <w:widowControl/>
        <w:spacing w:before="40" w:after="120" w:line="276" w:lineRule="auto"/>
        <w:jc w:val="both"/>
      </w:pPr>
      <w:r>
        <w:rPr>
          <w:rFonts w:ascii="Arial" w:hAnsi="Arial" w:eastAsia="Arial"/>
          <w:color w:val="000000"/>
          <w:sz w:val="21"/>
        </w:rPr>
        <w:t>Las referencias siguientes corresponden al catálogo científico utilizado por las fichas de órganos, alimentos, perfiles y narraciones. Se presentan con el enlace persistente disponible en el proyecto.</w:t>
      </w:r>
    </w:p>
    <w:p>
      <w:pPr>
        <w:widowControl/>
        <w:spacing w:after="100" w:line="252" w:lineRule="auto"/>
        <w:ind w:left="397" w:hanging="397"/>
      </w:pPr>
      <w:r>
        <w:rPr>
          <w:rFonts w:ascii="Arial" w:hAnsi="Arial" w:eastAsia="Arial"/>
          <w:color w:val="000000"/>
          <w:sz w:val="18"/>
        </w:rPr>
        <w:t>Fraser, R.; Heslop, V. R.; Murray, F. E.; Day, W. A. (1986). Ultrastructural studies of the portal transport of fat in chickens. https://pmc.ncbi.nlm.nih.gov/articles/PMC2013119/</w:t>
      </w:r>
    </w:p>
    <w:p>
      <w:pPr>
        <w:widowControl/>
        <w:spacing w:after="100" w:line="252" w:lineRule="auto"/>
        <w:ind w:left="397" w:hanging="397"/>
      </w:pPr>
      <w:r>
        <w:rPr>
          <w:rFonts w:ascii="Arial" w:hAnsi="Arial" w:eastAsia="Arial"/>
          <w:color w:val="000000"/>
          <w:sz w:val="18"/>
        </w:rPr>
        <w:t>Heuzé, V.; Tran, G.; Boval, M.; Noblet, J.; Renaudeau, D.; Lessire, M.; Lebas, F. (2016). Alfalfa (Medicago sativa). https://www.feedipedia.org/node/275</w:t>
      </w:r>
    </w:p>
    <w:p>
      <w:pPr>
        <w:widowControl/>
        <w:spacing w:after="100" w:line="252" w:lineRule="auto"/>
        <w:ind w:left="397" w:hanging="397"/>
      </w:pPr>
      <w:r>
        <w:rPr>
          <w:rFonts w:ascii="Arial" w:hAnsi="Arial" w:eastAsia="Arial"/>
          <w:color w:val="000000"/>
          <w:sz w:val="18"/>
        </w:rPr>
        <w:t>Heuzé, V.; Tran, G.; Hassoun, P.; Lessire, M.; Lebas, F. (2019). Sunflower meal. https://www.feedipedia.org/node/732</w:t>
      </w:r>
    </w:p>
    <w:p>
      <w:pPr>
        <w:widowControl/>
        <w:spacing w:after="100" w:line="252" w:lineRule="auto"/>
        <w:ind w:left="397" w:hanging="397"/>
      </w:pPr>
      <w:r>
        <w:rPr>
          <w:rFonts w:ascii="Arial" w:hAnsi="Arial" w:eastAsia="Arial"/>
          <w:color w:val="000000"/>
          <w:sz w:val="18"/>
        </w:rPr>
        <w:t>Heuzé, V.; Tran, G.; Kaushik, S. (2020). Soybean meal. https://www.feedipedia.org/node/674</w:t>
      </w:r>
    </w:p>
    <w:p>
      <w:pPr>
        <w:widowControl/>
        <w:spacing w:after="100" w:line="252" w:lineRule="auto"/>
        <w:ind w:left="397" w:hanging="397"/>
      </w:pPr>
      <w:r>
        <w:rPr>
          <w:rFonts w:ascii="Arial" w:hAnsi="Arial" w:eastAsia="Arial"/>
          <w:color w:val="000000"/>
          <w:sz w:val="18"/>
        </w:rPr>
        <w:t>Heuzé, V.; Tran, G.; Lebas, F. (2015). Sorghum grain. https://www.feedipedia.org/node/224</w:t>
      </w:r>
    </w:p>
    <w:p>
      <w:pPr>
        <w:widowControl/>
        <w:spacing w:after="100" w:line="252" w:lineRule="auto"/>
        <w:ind w:left="397" w:hanging="397"/>
      </w:pPr>
      <w:r>
        <w:rPr>
          <w:rFonts w:ascii="Arial" w:hAnsi="Arial" w:eastAsia="Arial"/>
          <w:color w:val="000000"/>
          <w:sz w:val="18"/>
        </w:rPr>
        <w:t>Heuzé, V.; Tran, G.; Lebas, F. (2017). Maize grain. https://www.feedipedia.org/node/556</w:t>
      </w:r>
    </w:p>
    <w:p>
      <w:pPr>
        <w:widowControl/>
        <w:spacing w:after="100" w:line="252" w:lineRule="auto"/>
        <w:ind w:left="397" w:hanging="397"/>
      </w:pPr>
      <w:r>
        <w:rPr>
          <w:rFonts w:ascii="Arial" w:hAnsi="Arial" w:eastAsia="Arial"/>
          <w:color w:val="000000"/>
          <w:sz w:val="18"/>
        </w:rPr>
        <w:t>Heuzé, V.; Tran, G.; Nozière, P.; Noblet, J.; Renaudeau, D.; Lessire, M.; Lebas, F. (2016). Barley grain. https://www.feedipedia.org/node/227</w:t>
      </w:r>
    </w:p>
    <w:p>
      <w:pPr>
        <w:widowControl/>
        <w:spacing w:after="100" w:line="252" w:lineRule="auto"/>
        <w:ind w:left="397" w:hanging="397"/>
      </w:pPr>
      <w:r>
        <w:rPr>
          <w:rFonts w:ascii="Arial" w:hAnsi="Arial" w:eastAsia="Arial"/>
          <w:color w:val="000000"/>
          <w:sz w:val="18"/>
        </w:rPr>
        <w:t>Heuzé, V.; Tran, G.; Nozière, P.; Renaudeau, D.; Lessire, M.; Lebas, F. (2016). Oats. https://www.feedipedia.org/node/231</w:t>
      </w:r>
    </w:p>
    <w:p>
      <w:pPr>
        <w:widowControl/>
        <w:spacing w:after="100" w:line="252" w:lineRule="auto"/>
        <w:ind w:left="397" w:hanging="397"/>
      </w:pPr>
      <w:r>
        <w:rPr>
          <w:rFonts w:ascii="Arial" w:hAnsi="Arial" w:eastAsia="Arial"/>
          <w:color w:val="000000"/>
          <w:sz w:val="18"/>
        </w:rPr>
        <w:t>Heuzé, V.; Tran, G.; Renaudeau, D.; Lessire, M.; Lebas, F. (2015). Wheat grain. https://www.feedipedia.org/node/223</w:t>
      </w:r>
    </w:p>
    <w:p>
      <w:pPr>
        <w:widowControl/>
        <w:spacing w:after="100" w:line="252" w:lineRule="auto"/>
        <w:ind w:left="397" w:hanging="397"/>
      </w:pPr>
      <w:r>
        <w:rPr>
          <w:rFonts w:ascii="Arial" w:hAnsi="Arial" w:eastAsia="Arial"/>
          <w:color w:val="000000"/>
          <w:sz w:val="18"/>
        </w:rPr>
        <w:t>Heuzé, V.; Tran, G.; Sauvant, D.; Lessire, M.; Lebas, F. (2020). Rapeseed meal. https://www.feedipedia.org/node/52</w:t>
      </w:r>
    </w:p>
    <w:p>
      <w:pPr>
        <w:widowControl/>
        <w:spacing w:after="100" w:line="252" w:lineRule="auto"/>
        <w:ind w:left="397" w:hanging="397"/>
      </w:pPr>
      <w:r>
        <w:rPr>
          <w:rFonts w:ascii="Arial" w:hAnsi="Arial" w:eastAsia="Arial"/>
          <w:color w:val="000000"/>
          <w:sz w:val="18"/>
        </w:rPr>
        <w:t>Hy-Line International (2025). Management Guide: Brown Commercial Layers. https://images.proultry.com/files/company/3559/BRN_COM_ENG_Interactive.pdf</w:t>
      </w:r>
    </w:p>
    <w:p>
      <w:pPr>
        <w:widowControl/>
        <w:spacing w:after="100" w:line="252" w:lineRule="auto"/>
        <w:ind w:left="397" w:hanging="397"/>
      </w:pPr>
      <w:r>
        <w:rPr>
          <w:rFonts w:ascii="Arial" w:hAnsi="Arial" w:eastAsia="Arial"/>
          <w:color w:val="000000"/>
          <w:sz w:val="18"/>
        </w:rPr>
        <w:t>Józefiak, D.; Rutkowski, A.; Martin, S. A. (2004). Carbohydrate fermentation in the avian ceca: a review. https://doi.org/10.1016/j.anifeedsci.2003.09.007</w:t>
      </w:r>
    </w:p>
    <w:p>
      <w:pPr>
        <w:widowControl/>
        <w:spacing w:after="100" w:line="252" w:lineRule="auto"/>
        <w:ind w:left="397" w:hanging="397"/>
      </w:pPr>
      <w:r>
        <w:rPr>
          <w:rFonts w:ascii="Arial" w:hAnsi="Arial" w:eastAsia="Arial"/>
          <w:color w:val="000000"/>
          <w:sz w:val="18"/>
        </w:rPr>
        <w:t>Lerner, J. (1984). Cell membrane amino acid transport processes in the domestic fowl (Gallus domesticus). https://doi.org/10.1016/0300-9629(84)90133-6</w:t>
      </w:r>
    </w:p>
    <w:p>
      <w:pPr>
        <w:widowControl/>
        <w:spacing w:after="100" w:line="252" w:lineRule="auto"/>
        <w:ind w:left="397" w:hanging="397"/>
      </w:pPr>
      <w:r>
        <w:rPr>
          <w:rFonts w:ascii="Arial" w:hAnsi="Arial" w:eastAsia="Arial"/>
          <w:color w:val="000000"/>
          <w:sz w:val="18"/>
        </w:rPr>
        <w:t>Oketch, E. O.; Wickramasuriya, S. S.; Oh, S.; Choi, J. S.; Heo, J. M. (2023). Physiology of lipid digestion and absorption in poultry: An updated review on the supplementation of exogenous emulsifiers in broiler diets. https://doi.org/10.1111/jpn.13859</w:t>
      </w:r>
    </w:p>
    <w:p>
      <w:pPr>
        <w:widowControl/>
        <w:spacing w:after="100" w:line="252" w:lineRule="auto"/>
        <w:ind w:left="397" w:hanging="397"/>
      </w:pPr>
      <w:r>
        <w:rPr>
          <w:rFonts w:ascii="Arial" w:hAnsi="Arial" w:eastAsia="Arial"/>
          <w:color w:val="000000"/>
          <w:sz w:val="18"/>
        </w:rPr>
        <w:t>Ravindran, V.; Abdollahi, M. R. (2021). Nutrition and Digestive Physiology of the Broiler Chick: State of the Art and Outlook. https://doi.org/10.3390/ani11102795</w:t>
      </w:r>
    </w:p>
    <w:p>
      <w:pPr>
        <w:widowControl/>
        <w:spacing w:after="100" w:line="252" w:lineRule="auto"/>
        <w:ind w:left="397" w:hanging="397"/>
      </w:pPr>
      <w:r>
        <w:rPr>
          <w:rFonts w:ascii="Arial" w:hAnsi="Arial" w:eastAsia="Arial"/>
          <w:color w:val="000000"/>
          <w:sz w:val="18"/>
        </w:rPr>
        <w:t>Ravindran, V.; Cabahug, S.; Ravindran, G.; Bryden, W. L. (1999). Influence of microbial phytase on apparent ileal amino acid digestibility of feedstuffs for broilers. https://doi.org/10.1093/ps/78.5.699</w:t>
      </w:r>
    </w:p>
    <w:p>
      <w:pPr>
        <w:widowControl/>
        <w:spacing w:after="100" w:line="252" w:lineRule="auto"/>
        <w:ind w:left="397" w:hanging="397"/>
      </w:pPr>
      <w:r>
        <w:rPr>
          <w:rFonts w:ascii="Arial" w:hAnsi="Arial" w:eastAsia="Arial"/>
          <w:color w:val="000000"/>
          <w:sz w:val="18"/>
        </w:rPr>
        <w:t>Scanes, C. G. (2020). Avian Physiology: Are Birds Simply Feathered Mammals?. https://doi.org/10.3389/fphys.2020.542466</w:t>
      </w:r>
    </w:p>
    <w:p>
      <w:pPr>
        <w:widowControl/>
        <w:spacing w:after="100" w:line="252" w:lineRule="auto"/>
        <w:ind w:left="397" w:hanging="397"/>
      </w:pPr>
      <w:r>
        <w:rPr>
          <w:rFonts w:ascii="Arial" w:hAnsi="Arial" w:eastAsia="Arial"/>
          <w:color w:val="000000"/>
          <w:sz w:val="18"/>
        </w:rPr>
        <w:t>Scanes, C. G.; Pierzchala-Koziec, K. (2014). Biology of the Gastrointestinal Tract in Poultry. https://doi.org/10.3184/175815514X14162292284822</w:t>
      </w:r>
    </w:p>
    <w:p>
      <w:pPr>
        <w:widowControl/>
        <w:spacing w:after="100" w:line="252" w:lineRule="auto"/>
        <w:ind w:left="397" w:hanging="397"/>
      </w:pPr>
      <w:r>
        <w:rPr>
          <w:rFonts w:ascii="Arial" w:hAnsi="Arial" w:eastAsia="Arial"/>
          <w:color w:val="000000"/>
          <w:sz w:val="18"/>
        </w:rPr>
        <w:t>Selle, P. H.; Moss, A. F.; Khoddami, A.; Chrystal, P. V.; Liu, S. Y. (2021). Starch digestion rates in multiple samples of commonly used feed grains in diets for broiler chickens. https://doi.org/10.1016/j.aninu.2020.12.006</w:t>
      </w:r>
    </w:p>
    <w:p>
      <w:pPr>
        <w:widowControl/>
        <w:spacing w:after="100" w:line="252" w:lineRule="auto"/>
        <w:ind w:left="397" w:hanging="397"/>
      </w:pPr>
      <w:r>
        <w:rPr>
          <w:rFonts w:ascii="Arial" w:hAnsi="Arial" w:eastAsia="Arial"/>
          <w:color w:val="000000"/>
          <w:sz w:val="18"/>
        </w:rPr>
        <w:t>Shang, Y.; Kumar, S.; Oakley, B.; Kim, W. K. (2018). Chicken Gut Microbiota: Importance and Detection Technology. https://doi.org/10.3389/fvets.2018.00254</w:t>
      </w:r>
    </w:p>
    <w:p>
      <w:pPr>
        <w:widowControl/>
        <w:spacing w:after="100" w:line="252" w:lineRule="auto"/>
        <w:ind w:left="397" w:hanging="397"/>
      </w:pPr>
      <w:r>
        <w:rPr>
          <w:rFonts w:ascii="Arial" w:hAnsi="Arial" w:eastAsia="Arial"/>
          <w:color w:val="000000"/>
          <w:sz w:val="18"/>
        </w:rPr>
        <w:t>Shibata, M.; Takahashi, T.; Kozakai, T.; Shindo, J.; Kurose, Y. (2023). Development of active jejunal glucose absorption in broiler chickens. https://doi.org/10.1016/j.psj.2023.102804</w:t>
      </w:r>
    </w:p>
    <w:p>
      <w:pPr>
        <w:widowControl/>
        <w:spacing w:after="100" w:line="252" w:lineRule="auto"/>
        <w:ind w:left="397" w:hanging="397"/>
      </w:pPr>
      <w:r>
        <w:rPr>
          <w:rFonts w:ascii="Arial" w:hAnsi="Arial" w:eastAsia="Arial"/>
          <w:color w:val="000000"/>
          <w:sz w:val="18"/>
        </w:rPr>
        <w:t>Svihus, B. (2014). Function of the digestive system. https://doi.org/10.3382/japr.2014-00937</w:t>
      </w:r>
    </w:p>
    <w:p>
      <w:pPr>
        <w:widowControl/>
        <w:spacing w:after="100" w:line="252" w:lineRule="auto"/>
        <w:ind w:left="397" w:hanging="397"/>
      </w:pPr>
      <w:r>
        <w:rPr>
          <w:rFonts w:ascii="Arial" w:hAnsi="Arial" w:eastAsia="Arial"/>
          <w:color w:val="000000"/>
          <w:sz w:val="18"/>
        </w:rPr>
        <w:t>Tancharoenrat, P.; Ravindran, V.; Zaefarian, F.; Ravindran, G. (2014). Digestion of fat and fatty acids along the gastrointestinal tract of broiler chickens. https://doi.org/10.3382/ps.2013-03344</w:t>
      </w:r>
    </w:p>
    <w:p>
      <w:pPr>
        <w:widowControl/>
        <w:spacing w:after="100" w:line="252" w:lineRule="auto"/>
        <w:ind w:left="397" w:hanging="397"/>
      </w:pPr>
      <w:r>
        <w:rPr>
          <w:rFonts w:ascii="Arial" w:hAnsi="Arial" w:eastAsia="Arial"/>
          <w:color w:val="000000"/>
          <w:sz w:val="18"/>
        </w:rPr>
        <w:t>Tashani, O. A.; Leek, B. F. (1994). Mechanoreceptors in the crop of the domestic fowl. https://doi.org/10.3382/ps.0730744</w:t>
      </w:r>
    </w:p>
    <w:sectPr w:rsidR="00FC693F" w:rsidRPr="0006063C" w:rsidSect="00034616">
      <w:footerReference w:type="default" r:id="rId9"/>
      <w:headerReference w:type="default" r:id="rId10"/>
      <w:pgSz w:w="11906" w:h="16838"/>
      <w:pgMar w:top="1191" w:right="1304" w:bottom="1134" w:left="130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666666"/>
        <w:sz w:val="16"/>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666666"/>
        <w:sz w:val="16"/>
      </w:rPr>
      <w:t>Simulador digestivo de la gallina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spacing w:before="24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val="0"/>
      <w:keepLines/>
      <w:spacing w:before="18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val="0"/>
      <w:keepLines/>
      <w:spacing w:before="18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del simulador digestivo de la gallina</dc:title>
  <dc:subject>Modelo tridimensional interactivo de fisiología digestiva y nutrición aviar</dc:subject>
  <dc:creator>Equipo del proyecto</dc:creator>
  <cp:keywords>gallina, digestión, nutrición aviar, Unity, Blender, WebGL</cp:keywords>
  <dc:description>generated by python-docx</dc:description>
  <cp:lastModifiedBy/>
  <cp:revision>1</cp:revision>
  <dcterms:created xsi:type="dcterms:W3CDTF">2013-12-23T23:15:00Z</dcterms:created>
  <dcterms:modified xsi:type="dcterms:W3CDTF">2013-12-23T23:15:00Z</dcterms:modified>
  <cp:category/>
</cp:coreProperties>
</file>