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rFonts w:ascii="Calibri" w:hAnsi="Calibri"/>
          <w:b/>
          <w:i w:val="0"/>
          <w:color w:val="002147"/>
          <w:sz w:val="56"/>
        </w:rPr>
        <w:t>MANU FORTI INTELLIGENCE</w:t>
      </w:r>
    </w:p>
    <w:p>
      <w:pPr>
        <w:jc w:val="center"/>
      </w:pPr>
      <w:r>
        <w:rPr>
          <w:rFonts w:ascii="Calibri" w:hAnsi="Calibri"/>
          <w:b w:val="0"/>
          <w:i w:val="0"/>
          <w:color w:val="2B6CB0"/>
          <w:sz w:val="36"/>
        </w:rPr>
        <w:t>Business Plan &amp; 90-Day Execution Roadmap</w:t>
      </w:r>
    </w:p>
    <w:p>
      <w:pPr>
        <w:jc w:val="center"/>
      </w:pPr>
      <w:r>
        <w:rPr>
          <w:rFonts w:ascii="Calibri" w:hAnsi="Calibri"/>
          <w:b w:val="0"/>
          <w:i/>
          <w:color w:val="718096"/>
          <w:sz w:val="24"/>
        </w:rPr>
        <w:t>March 2026 — Confidential</w:t>
      </w:r>
    </w:p>
    <w:p>
      <w:r>
        <w:br/>
        <w:br/>
      </w:r>
    </w:p>
    <w:p>
      <w:pPr>
        <w:jc w:val="center"/>
      </w:pPr>
      <w:r>
        <w:rPr>
          <w:rFonts w:ascii="Calibri" w:hAnsi="Calibri"/>
          <w:b w:val="0"/>
          <w:i/>
          <w:color w:val="2B6CB0"/>
          <w:sz w:val="26"/>
        </w:rPr>
        <w:t>"AI-native procurement intelligence.</w:t>
        <w:br/>
        <w:t>Built by procurement professionals. Priced for procurement teams."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2147"/>
        </w:rPr>
        <w:t>1. Executive Summary</w:t>
      </w:r>
    </w:p>
    <w:p>
      <w:r>
        <w:rPr>
          <w:rFonts w:ascii="Calibri" w:hAnsi="Calibri"/>
          <w:b w:val="0"/>
          <w:i w:val="0"/>
          <w:sz w:val="22"/>
        </w:rPr>
        <w:t>Manu Forti Intelligence is an AI-native procurement intelligence business serving procurement leaders in energy, industrial, and infrastructure sectors. We deliver the analytical rigour of top-tier consulting at a fraction of the cost and a fraction of the time.</w:t>
      </w:r>
    </w:p>
    <w:p/>
    <w:p>
      <w:r>
        <w:rPr>
          <w:rFonts w:ascii="Calibri" w:hAnsi="Calibri"/>
          <w:b/>
          <w:i w:val="0"/>
          <w:color w:val="002147"/>
          <w:sz w:val="24"/>
        </w:rPr>
        <w:t>The Opportunity</w:t>
      </w:r>
    </w:p>
    <w:p>
      <w:r>
        <w:rPr>
          <w:rFonts w:ascii="Calibri" w:hAnsi="Calibri"/>
          <w:b w:val="0"/>
          <w:i w:val="0"/>
          <w:sz w:val="22"/>
        </w:rPr>
        <w:t>94% of procurement executives now use AI weekly — but only 4% have meaningful deployments. Consulting firms charge €30,000–150,000 for a category strategy. Supplier intelligence reports take weeks and cost thousands. The gap between what procurement teams need and what they can access or afford is enormous.</w:t>
      </w:r>
    </w:p>
    <w:p/>
    <w:p>
      <w:r>
        <w:rPr>
          <w:rFonts w:ascii="Calibri" w:hAnsi="Calibri"/>
          <w:b/>
          <w:i w:val="0"/>
          <w:color w:val="002147"/>
          <w:sz w:val="24"/>
        </w:rPr>
        <w:t>Our Solution</w:t>
      </w:r>
    </w:p>
    <w:p>
      <w:r>
        <w:rPr>
          <w:rFonts w:ascii="Calibri" w:hAnsi="Calibri"/>
          <w:b w:val="0"/>
          <w:i w:val="0"/>
          <w:sz w:val="22"/>
        </w:rPr>
        <w:t>Three product arms — Supplier Analysis, Media Monitoring, and Category Strategy — that together give a procurement function always-on intelligence, continuous supplier monitoring, and decision-ready strategy documents. All AI-generated, all human-validated, all priced for the team rather than the boardroom.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Year 1 (2026)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Year 2 (2027)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Year 3 (2028)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Revenue Target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€120,000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€480,000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€1,200,000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Product 1 Reports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40 reports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150 reports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400 reports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Category Strategies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10 engagements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40 engagements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100 engagements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Media Monitoring Clients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 clients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20 clients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50 clients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Gross Margin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~85%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~87%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~89%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2147"/>
        </w:rPr>
        <w:t>2. Mission, Vision &amp; Positioning</w:t>
      </w:r>
    </w:p>
    <w:p>
      <w:r>
        <w:rPr>
          <w:rFonts w:ascii="Calibri" w:hAnsi="Calibri"/>
          <w:b/>
          <w:i w:val="0"/>
          <w:color w:val="002147"/>
          <w:sz w:val="24"/>
        </w:rPr>
        <w:t>Mission</w:t>
      </w:r>
    </w:p>
    <w:p>
      <w:r>
        <w:rPr>
          <w:rFonts w:ascii="Calibri" w:hAnsi="Calibri"/>
          <w:b w:val="0"/>
          <w:i w:val="0"/>
          <w:sz w:val="22"/>
        </w:rPr>
        <w:t>Give every procurement team access to the intelligence, analysis, and strategy that only the world's largest companies could previously afford.</w:t>
      </w:r>
    </w:p>
    <w:p/>
    <w:p>
      <w:r>
        <w:rPr>
          <w:rFonts w:ascii="Calibri" w:hAnsi="Calibri"/>
          <w:b/>
          <w:i w:val="0"/>
          <w:color w:val="002147"/>
          <w:sz w:val="24"/>
        </w:rPr>
        <w:t>Vision</w:t>
      </w:r>
    </w:p>
    <w:p>
      <w:r>
        <w:rPr>
          <w:rFonts w:ascii="Calibri" w:hAnsi="Calibri"/>
          <w:b w:val="0"/>
          <w:i w:val="0"/>
          <w:sz w:val="22"/>
        </w:rPr>
        <w:t>Become the leading AI-native procurement intelligence platform for European energy and industrial procurement functions by 2028.</w:t>
      </w:r>
    </w:p>
    <w:p/>
    <w:p>
      <w:r>
        <w:rPr>
          <w:rFonts w:ascii="Calibri" w:hAnsi="Calibri"/>
          <w:b/>
          <w:i w:val="0"/>
          <w:color w:val="002147"/>
          <w:sz w:val="24"/>
        </w:rPr>
        <w:t>Positioning</w:t>
      </w:r>
    </w:p>
    <w:p>
      <w:r>
        <w:rPr>
          <w:rFonts w:ascii="Calibri" w:hAnsi="Calibri"/>
          <w:b w:val="0"/>
          <w:i w:val="0"/>
          <w:sz w:val="22"/>
        </w:rPr>
        <w:t>We are not a software platform. We are not a consultancy. We are an AI-powered intelligence service — faster than consulting, more rigorous than DIY, more accessible than enterprise software. Built by procurement professionals with 80+ years of combined experience in energy, infrastructure, and global supply chains.</w:t>
      </w:r>
    </w:p>
    <w:p/>
    <w:p>
      <w:r>
        <w:rPr>
          <w:rFonts w:ascii="Calibri" w:hAnsi="Calibri"/>
          <w:b/>
          <w:i w:val="0"/>
          <w:color w:val="002147"/>
          <w:sz w:val="24"/>
        </w:rPr>
        <w:t>Competitive Differentiation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vs.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Their Weakness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Our Advantage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McKinsey / BCG / Accenture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€30K–150K, 6–16 weeks, junior consultants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Same rigour. €3,999. 10 days.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Scoutbee / TealBook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Enterprise SaaS, £100K+, slow to deploy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No setup. Per-report. Immediate.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Wood Mac / Moody's / D&amp;B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Generic financial data, not procurement-framed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Procurement-native. Actionable.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DIY with ChatGPT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No methodology, no validation, no time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Locked methodology. Human QC. Deliverable.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Fairmarkit / Coupa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Transactional automation, no strategic layer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Strategic intelligence, not process automation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2147"/>
        </w:rPr>
        <w:t>3. The Three Product Arms</w:t>
      </w:r>
    </w:p>
    <w:p>
      <w:pPr>
        <w:pStyle w:val="Heading2"/>
      </w:pPr>
      <w:r>
        <w:rPr>
          <w:rFonts w:ascii="Calibri" w:hAnsi="Calibri"/>
          <w:color w:val="002147"/>
        </w:rPr>
        <w:t>3.1 Supplier Analysis (Product 1)</w:t>
      </w:r>
    </w:p>
    <w:p>
      <w:r>
        <w:rPr>
          <w:rFonts w:ascii="Calibri" w:hAnsi="Calibri"/>
          <w:b w:val="0"/>
          <w:i w:val="0"/>
          <w:sz w:val="22"/>
        </w:rPr>
        <w:t>A 9-slide executive-ready supplier evaluation report. Covers financial health, operational capability, risk assessment (financial/operational/geopolitical/ESG), market position, and a clear recommendation. Delivered in 24–48 hours.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Format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9-slide PPTX — locked v15 template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Price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€99–149 per report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Delivery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24–48 hours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Target buyer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Category manager evaluating a supplier before award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Volume driver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Bundled into Category Strategy (3× reports per engagement)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Consulting equivalent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€5,000–15,000 for equivalent due diligence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2147"/>
        </w:rPr>
        <w:t>3.2 Media Monitoring</w:t>
      </w:r>
    </w:p>
    <w:p>
      <w:r>
        <w:rPr>
          <w:rFonts w:ascii="Calibri" w:hAnsi="Calibri"/>
          <w:b w:val="0"/>
          <w:i w:val="0"/>
          <w:sz w:val="22"/>
        </w:rPr>
        <w:t>Monthly supplier media intelligence reports covering traditional media and social platforms. 30-day analysis with sentiment scoring, key themes, social monitoring (X, LinkedIn, Facebook, YouTube), and trend visualisation.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Includes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Suppliers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Monitor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€35/month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Weekly email summary, traditional media only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Up to 10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Alert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€105/month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Full monthly report, sentiment charts, X + LinkedIn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Up to 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Enterprise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Custom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Weekly reports, all 4 platforms, WhatsApp alerts, dashboards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Unlimited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2147"/>
        </w:rPr>
        <w:t>3.3 Category Strategy</w:t>
      </w:r>
    </w:p>
    <w:p>
      <w:r>
        <w:rPr>
          <w:rFonts w:ascii="Calibri" w:hAnsi="Calibri"/>
          <w:b w:val="0"/>
          <w:i w:val="0"/>
          <w:sz w:val="22"/>
        </w:rPr>
        <w:t>A complete procurement category strategy — the same deliverable a Big 4 firm would charge €30,000–150,000 to produce. Includes market analysis, cost driver analysis (5-year lookback + projections), strategic options evaluation (AHP/TOPSIS MCDM methodology), business case (Bear/Base/Bull scenarios, NPV, ROI), implementation roadmap, and two expert workshops.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Price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€3,999 — single tier, all-in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Delivery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7–10 business days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Deliverables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Word strategy (10 sections) + Excel model (5 sheets) + 3× Product 1 reports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Workshop 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Options Workshop (2 hrs) — explore strategies, excavate value, agree weights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Workshop 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Delivery Workshop (2 hrs) — recommend, validate financials, agree next steps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Methodology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AHP + TOPSIS MCDM — fully transparent and auditable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Reference case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Statkraft HV Electrical Equipment — €55.6M value, 90:1 ROI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Consulting equivalent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€30,000–150,000 for equivalent engagement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2147"/>
        </w:rPr>
        <w:t>4. Target Market</w:t>
      </w:r>
    </w:p>
    <w:p>
      <w:r>
        <w:rPr>
          <w:rFonts w:ascii="Calibri" w:hAnsi="Calibri"/>
          <w:b/>
          <w:i w:val="0"/>
          <w:color w:val="002147"/>
          <w:sz w:val="24"/>
        </w:rPr>
        <w:t>Primary Target: European Energy &amp; Industrial Procurement</w:t>
      </w:r>
    </w:p>
    <w:p>
      <w:r>
        <w:rPr>
          <w:rFonts w:ascii="Calibri" w:hAnsi="Calibri"/>
          <w:b w:val="0"/>
          <w:i w:val="0"/>
          <w:sz w:val="22"/>
        </w:rPr>
        <w:t>Category managers, procurement directors, and CPOs at energy companies, utilities, infrastructure developers, and industrial manufacturers. Companies with €10M+ annual procurement spend who need intelligence and strategy but cannot justify Big 4 consulting fees.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Company Size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Pain Point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Entry Product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Renewable energy developers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200–2,000 employees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Supplier risk in capital projects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Product 1 Report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Utilities / grid operators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1,000–20,000 employees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Category strategy for complex spend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Category Strategy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Industrial manufacturers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500–5,000 employees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Supplier monitoring at scale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Media Monitoring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EPC contractors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500–5,000 employees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Subcontractor due diligence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Product 1 Report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PE-backed portfolio cos.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100–1,000 employees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Procurement professionalism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Category Strategy</w:t>
            </w:r>
          </w:p>
        </w:tc>
      </w:tr>
    </w:tbl>
    <w:p/>
    <w:p>
      <w:r>
        <w:rPr>
          <w:rFonts w:ascii="Calibri" w:hAnsi="Calibri"/>
          <w:b/>
          <w:i w:val="0"/>
          <w:color w:val="002147"/>
          <w:sz w:val="24"/>
        </w:rPr>
        <w:t>Market Size</w:t>
      </w:r>
    </w:p>
    <w:p>
      <w:r>
        <w:rPr>
          <w:rFonts w:ascii="Calibri" w:hAnsi="Calibri"/>
          <w:b w:val="0"/>
          <w:i w:val="0"/>
          <w:sz w:val="22"/>
        </w:rPr>
        <w:t>Europe has ~15,000 companies with procurement spend exceeding €10M. At even 0.1% penetration with an average revenue of €5,000/year per client, the addressable market exceeds €75M annually. The Category Strategy market alone (vs. consulting) represents a &gt;€500M annual opportunity in Europe.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2147"/>
        </w:rPr>
        <w:t>5. Revenue Model &amp; Financial Projections</w:t>
      </w:r>
    </w:p>
    <w:p>
      <w:r>
        <w:rPr>
          <w:rFonts w:ascii="Calibri" w:hAnsi="Calibri"/>
          <w:b/>
          <w:i w:val="0"/>
          <w:color w:val="002147"/>
          <w:sz w:val="24"/>
        </w:rPr>
        <w:t>Revenue Streams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Stream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Yr 1 Volume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Yr 1 Revenue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Yr 2 Revenue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Product 1 (standalone)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€124 avg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40 reports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€4,960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€18,600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Category Strategy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€3,999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10 engagements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€39,990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€159,960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Product 1 (bundled in Strategy)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€0 incremental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30 bundled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Included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Included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Media Monitoring (Alert)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€105/month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20 clients avg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€25,200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€100,800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Media Monitoring (Enterprise)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Custom €500/mo avg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2 clients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€12,000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€48,000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Academy / Workshops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€5,000 avg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3 cohorts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€15,000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€60,000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~€97,000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~€387,000</w:t>
            </w:r>
          </w:p>
        </w:tc>
      </w:tr>
    </w:tbl>
    <w:p/>
    <w:p>
      <w:r>
        <w:rPr>
          <w:rFonts w:ascii="Calibri" w:hAnsi="Calibri"/>
          <w:b/>
          <w:i w:val="0"/>
          <w:color w:val="002147"/>
          <w:sz w:val="24"/>
        </w:rPr>
        <w:t>Unit Economics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COGS (AI + time)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Gross Margin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Product 1 Report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€124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~€15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~88%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Category Strategy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€3,999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~€500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~87%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Media Monitoring (Alert)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€105/mo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~€15/mo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~86%</w:t>
            </w:r>
          </w:p>
        </w:tc>
      </w:tr>
    </w:tbl>
    <w:p/>
    <w:p>
      <w:r>
        <w:rPr>
          <w:rFonts w:ascii="Calibri" w:hAnsi="Calibri"/>
          <w:b/>
          <w:i w:val="0"/>
          <w:color w:val="002147"/>
          <w:sz w:val="24"/>
        </w:rPr>
        <w:t>Break-Even Analysis</w:t>
      </w:r>
    </w:p>
    <w:p>
      <w:r>
        <w:rPr>
          <w:rFonts w:ascii="Calibri" w:hAnsi="Calibri"/>
          <w:b w:val="0"/>
          <w:i w:val="0"/>
          <w:sz w:val="22"/>
        </w:rPr>
        <w:t>At current cost base (infrastructure + tools ~€800/month), break-even is achieved at approximately 10 Category Strategy engagements per year, or 65 Product 1 reports, or 8 Media Monitoring Alert clients. These are conservative targets achievable in Q2 2026.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2147"/>
        </w:rPr>
        <w:t>6. 90-Day Execution Plan</w:t>
      </w:r>
    </w:p>
    <w:p>
      <w:r>
        <w:rPr>
          <w:rFonts w:ascii="Calibri" w:hAnsi="Calibri"/>
          <w:b w:val="0"/>
          <w:i/>
          <w:color w:val="2B6CB0"/>
          <w:sz w:val="22"/>
        </w:rPr>
        <w:t>The next 90 days are about one thing: getting the first 5 paying clients across all three arms and establishing proof of concept for each product.</w:t>
      </w:r>
    </w:p>
    <w:p/>
    <w:p>
      <w:pPr>
        <w:pStyle w:val="Heading2"/>
      </w:pPr>
      <w:r>
        <w:rPr>
          <w:rFonts w:ascii="Calibri" w:hAnsi="Calibri"/>
          <w:color w:val="002147"/>
        </w:rPr>
        <w:t>Month 1 (March 16 – April 15): Foundation &amp; First Revenue</w:t>
      </w:r>
    </w:p>
    <w:p>
      <w:r>
        <w:rPr>
          <w:rFonts w:ascii="Calibri" w:hAnsi="Calibri"/>
          <w:b/>
          <w:i w:val="0"/>
          <w:color w:val="002147"/>
          <w:sz w:val="22"/>
        </w:rPr>
        <w:t>Week 1 — Complete Product Infrastructure</w:t>
      </w:r>
    </w:p>
    <w:p>
      <w:pPr>
        <w:pStyle w:val="ListBullet"/>
      </w:pPr>
      <w:r>
        <w:t>Finalise Category Strategy templates (Excel 5 sheets, Word 10 sections) — Venture agent building now</w:t>
      </w:r>
    </w:p>
    <w:p>
      <w:pPr>
        <w:pStyle w:val="ListBullet"/>
      </w:pPr>
      <w:r>
        <w:t>QA test all three products end-to-end with internal validation case</w:t>
      </w:r>
    </w:p>
    <w:p>
      <w:pPr>
        <w:pStyle w:val="ListBullet"/>
      </w:pPr>
      <w:r>
        <w:t>Build media monitoring page on manuforti.com</w:t>
      </w:r>
    </w:p>
    <w:p>
      <w:pPr>
        <w:pStyle w:val="ListBullet"/>
      </w:pPr>
      <w:r>
        <w:t>Ensure website contact email routes to manuforti.as@gmail.com (done)</w:t>
      </w:r>
    </w:p>
    <w:p>
      <w:pPr>
        <w:pStyle w:val="ListBullet"/>
      </w:pPr>
      <w:r>
        <w:t>Set up simple CRM (spreadsheet or Notion) to track prospects</w:t>
      </w:r>
    </w:p>
    <w:p/>
    <w:p>
      <w:r>
        <w:rPr>
          <w:rFonts w:ascii="Calibri" w:hAnsi="Calibri"/>
          <w:b/>
          <w:i w:val="0"/>
          <w:color w:val="002147"/>
          <w:sz w:val="22"/>
        </w:rPr>
        <w:t>Week 2 — Outreach Preparation</w:t>
      </w:r>
    </w:p>
    <w:p>
      <w:pPr>
        <w:pStyle w:val="ListBullet"/>
      </w:pPr>
      <w:r>
        <w:t>Build a target list of 50 procurement directors/CPOs in European energy sector (LinkedIn)</w:t>
      </w:r>
    </w:p>
    <w:p>
      <w:pPr>
        <w:pStyle w:val="ListBullet"/>
      </w:pPr>
      <w:r>
        <w:t>Write 3 cold email templates: one per product arm</w:t>
      </w:r>
    </w:p>
    <w:p>
      <w:pPr>
        <w:pStyle w:val="ListBullet"/>
      </w:pPr>
      <w:r>
        <w:t>Produce 1 case study document from Statkraft HV reference (anonymised)</w:t>
      </w:r>
    </w:p>
    <w:p>
      <w:pPr>
        <w:pStyle w:val="ListBullet"/>
      </w:pPr>
      <w:r>
        <w:t>Write 2 LinkedIn posts: one on category strategy value, one on supplier risk</w:t>
      </w:r>
    </w:p>
    <w:p>
      <w:pPr>
        <w:pStyle w:val="ListBullet"/>
      </w:pPr>
      <w:r>
        <w:t>Request 3 testimonials / referrals from anyone who has seen the work</w:t>
      </w:r>
    </w:p>
    <w:p/>
    <w:p>
      <w:r>
        <w:rPr>
          <w:rFonts w:ascii="Calibri" w:hAnsi="Calibri"/>
          <w:b/>
          <w:i w:val="0"/>
          <w:color w:val="002147"/>
          <w:sz w:val="22"/>
        </w:rPr>
        <w:t>Week 3–4 — First Outreach Wave</w:t>
      </w:r>
    </w:p>
    <w:p>
      <w:pPr>
        <w:pStyle w:val="ListBullet"/>
      </w:pPr>
      <w:r>
        <w:t>Send 20 personalised cold emails (Product 1 focus — lowest barrier to trial)</w:t>
      </w:r>
    </w:p>
    <w:p>
      <w:pPr>
        <w:pStyle w:val="ListBullet"/>
      </w:pPr>
      <w:r>
        <w:t>Post 2× LinkedIn content pieces — build visibility in procurement community</w:t>
      </w:r>
    </w:p>
    <w:p>
      <w:pPr>
        <w:pStyle w:val="ListBullet"/>
      </w:pPr>
      <w:r>
        <w:t>Identify 3 target companies for Category Strategy outreach (energy developers with active capex)</w:t>
      </w:r>
    </w:p>
    <w:p>
      <w:pPr>
        <w:pStyle w:val="ListBullet"/>
      </w:pPr>
      <w:r>
        <w:t>Aim: 1 paid Product 1 report. 1 Category Strategy discovery call booked.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Month 1 Target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Goal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Product 1 reports sold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2–3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Category Strategy calls booked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1–2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Media Monitoring trials started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Website live (all 3 arms)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Case study published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2147"/>
        </w:rPr>
        <w:t>Month 2 (April 16 – May 15): First Clients &amp; Proof of Concept</w:t>
      </w:r>
    </w:p>
    <w:p>
      <w:r>
        <w:rPr>
          <w:rFonts w:ascii="Calibri" w:hAnsi="Calibri"/>
          <w:b/>
          <w:i w:val="0"/>
          <w:color w:val="002147"/>
          <w:sz w:val="22"/>
        </w:rPr>
        <w:t>Week 5–6 — Deliver &amp; Iterate</w:t>
      </w:r>
    </w:p>
    <w:p>
      <w:pPr>
        <w:pStyle w:val="ListBullet"/>
      </w:pPr>
      <w:r>
        <w:t>Deliver first Category Strategy engagement (if booked in Month 1) — run both workshops</w:t>
      </w:r>
    </w:p>
    <w:p>
      <w:pPr>
        <w:pStyle w:val="ListBullet"/>
      </w:pPr>
      <w:r>
        <w:t>Deliver 3–5 Product 1 reports — build production rhythm</w:t>
      </w:r>
    </w:p>
    <w:p>
      <w:pPr>
        <w:pStyle w:val="ListBullet"/>
      </w:pPr>
      <w:r>
        <w:t>Onboard first Media Monitoring client — run first monthly report</w:t>
      </w:r>
    </w:p>
    <w:p>
      <w:pPr>
        <w:pStyle w:val="ListBullet"/>
      </w:pPr>
      <w:r>
        <w:t>Collect feedback from every client — NPS score and written testimonial</w:t>
      </w:r>
    </w:p>
    <w:p>
      <w:pPr>
        <w:pStyle w:val="ListBullet"/>
      </w:pPr>
      <w:r>
        <w:t>Refine templates based on client feedback</w:t>
      </w:r>
    </w:p>
    <w:p/>
    <w:p>
      <w:r>
        <w:rPr>
          <w:rFonts w:ascii="Calibri" w:hAnsi="Calibri"/>
          <w:b/>
          <w:i w:val="0"/>
          <w:color w:val="002147"/>
          <w:sz w:val="22"/>
        </w:rPr>
        <w:t>Week 7–8 — Scale Outreach</w:t>
      </w:r>
    </w:p>
    <w:p>
      <w:pPr>
        <w:pStyle w:val="ListBullet"/>
      </w:pPr>
      <w:r>
        <w:t>Second outreach wave: 30 contacts (mix of all three products)</w:t>
      </w:r>
    </w:p>
    <w:p>
      <w:pPr>
        <w:pStyle w:val="ListBullet"/>
      </w:pPr>
      <w:r>
        <w:t>Follow up on Month 1 contacts — offer free sample report to warm leads</w:t>
      </w:r>
    </w:p>
    <w:p>
      <w:pPr>
        <w:pStyle w:val="ListBullet"/>
      </w:pPr>
      <w:r>
        <w:t>Publish case study from first completed Category Strategy</w:t>
      </w:r>
    </w:p>
    <w:p>
      <w:pPr>
        <w:pStyle w:val="ListBullet"/>
      </w:pPr>
      <w:r>
        <w:t>Apply to speak at 1 procurement conference or webinar (ISM, CIPS, CPO Rising)</w:t>
      </w:r>
    </w:p>
    <w:p>
      <w:pPr>
        <w:pStyle w:val="ListBullet"/>
      </w:pPr>
      <w:r>
        <w:t>Explore partnership with 1 procurement consultancy as a reseller/referral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Month 2 Target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Goal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Product 1 reports sold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5–8 (cumulative: 7–11)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Category Strategy engagements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1 delivered, 1 more in pipeline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Media Monitoring clients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2–3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Revenue to 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€15,000–25,000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Testimonials collected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2+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2147"/>
        </w:rPr>
        <w:t>Month 3 (May 16 – June 15): Revenue Run Rate &amp; Repeatability</w:t>
      </w:r>
    </w:p>
    <w:p>
      <w:r>
        <w:rPr>
          <w:rFonts w:ascii="Calibri" w:hAnsi="Calibri"/>
          <w:b/>
          <w:i w:val="0"/>
          <w:color w:val="002147"/>
          <w:sz w:val="22"/>
        </w:rPr>
        <w:t>Week 9–10 — Systems &amp; Repeatability</w:t>
      </w:r>
    </w:p>
    <w:p>
      <w:pPr>
        <w:pStyle w:val="ListBullet"/>
      </w:pPr>
      <w:r>
        <w:t>Document production process for all three arms — Venture agent workflows locked</w:t>
      </w:r>
    </w:p>
    <w:p>
      <w:pPr>
        <w:pStyle w:val="ListBullet"/>
      </w:pPr>
      <w:r>
        <w:t>Build a simple client portal or Google Drive structure for report delivery</w:t>
      </w:r>
    </w:p>
    <w:p>
      <w:pPr>
        <w:pStyle w:val="ListBullet"/>
      </w:pPr>
      <w:r>
        <w:t>Set up automated invoice and payment flow (Stripe)</w:t>
      </w:r>
    </w:p>
    <w:p>
      <w:pPr>
        <w:pStyle w:val="ListBullet"/>
      </w:pPr>
      <w:r>
        <w:t>Deploy backend API if not already live (Railway / Render)</w:t>
      </w:r>
    </w:p>
    <w:p>
      <w:pPr>
        <w:pStyle w:val="ListBullet"/>
      </w:pPr>
      <w:r>
        <w:t>Review all pricing — adjust if conversion data suggests resistance</w:t>
      </w:r>
    </w:p>
    <w:p/>
    <w:p>
      <w:r>
        <w:rPr>
          <w:rFonts w:ascii="Calibri" w:hAnsi="Calibri"/>
          <w:b/>
          <w:i w:val="0"/>
          <w:color w:val="002147"/>
          <w:sz w:val="22"/>
        </w:rPr>
        <w:t>Week 11–12 — Growth &amp; Pipeline</w:t>
      </w:r>
    </w:p>
    <w:p>
      <w:pPr>
        <w:pStyle w:val="ListBullet"/>
      </w:pPr>
      <w:r>
        <w:t>Third outreach wave: 40 contacts — refine pitch based on Months 1–2 learnings</w:t>
      </w:r>
    </w:p>
    <w:p>
      <w:pPr>
        <w:pStyle w:val="ListBullet"/>
      </w:pPr>
      <w:r>
        <w:t>Upsell Media Monitoring to existing Product 1 clients</w:t>
      </w:r>
    </w:p>
    <w:p>
      <w:pPr>
        <w:pStyle w:val="ListBullet"/>
      </w:pPr>
      <w:r>
        <w:t>Pitch Category Strategy to anyone who has bought 2+ Product 1 reports</w:t>
      </w:r>
    </w:p>
    <w:p>
      <w:pPr>
        <w:pStyle w:val="ListBullet"/>
      </w:pPr>
      <w:r>
        <w:t>Publish 90-day results post on LinkedIn (transparency builds trust)</w:t>
      </w:r>
    </w:p>
    <w:p>
      <w:pPr>
        <w:pStyle w:val="ListBullet"/>
      </w:pPr>
      <w:r>
        <w:t>Identify first Academy pilot cohort candidates from client base</w:t>
      </w:r>
    </w:p>
    <w:p>
      <w:pPr>
        <w:pStyle w:val="ListBullet"/>
      </w:pPr>
      <w:r>
        <w:t>Set Q3/Q4 targets based on 90-day actual performance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Month 3 Target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Goal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Product 1 reports sold (cumulative)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15–20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Category Strategy engagements (cumulative)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3–4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Media Monitoring MRR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€1,500–2,500/month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Total 90-day revenue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€35,000–55,000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Repeat clients (bought &gt;1 product)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3+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Pipeline value (Q3)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€50,000+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2147"/>
        </w:rPr>
        <w:t>7. Competitive Strategy &amp; Moat</w:t>
      </w:r>
    </w:p>
    <w:p>
      <w:r>
        <w:rPr>
          <w:rFonts w:ascii="Calibri" w:hAnsi="Calibri"/>
          <w:b w:val="0"/>
          <w:i/>
          <w:color w:val="718096"/>
          <w:sz w:val="22"/>
        </w:rPr>
        <w:t>The real competitive threat is not Scoutbee or McKinsey — it's a smart buyer using ChatGPT. Here is how we stay ahead of that: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Our Defence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DIY with ChatGPT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Locked MCDM methodology (AHP/TOPSIS) — impossible to replicate without expertise. Time cost to do properly is 20–40 hrs vs. our 10 days.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Scoutbee enters our segment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Price and speed moat. Their enterprise model cannot compete sub-€5K. We serve a different market.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Consulting firms cut prices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They structurally cannot — their cost base (partner billing rates) prevents it.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Commodity pricing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Methodology IP, case study library, and procurement expertise create switching costs.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AI commoditisation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The analysis is the product — models are tools. We own the methodology, not the model.</w:t>
            </w:r>
          </w:p>
        </w:tc>
      </w:tr>
    </w:tbl>
    <w:p/>
    <w:p>
      <w:r>
        <w:rPr>
          <w:rFonts w:ascii="Calibri" w:hAnsi="Calibri"/>
          <w:b/>
          <w:i w:val="0"/>
          <w:color w:val="002147"/>
          <w:sz w:val="24"/>
        </w:rPr>
        <w:t>Building the Moat Over Time</w:t>
      </w:r>
    </w:p>
    <w:p>
      <w:pPr>
        <w:pStyle w:val="ListBullet"/>
      </w:pPr>
      <w:r>
        <w:t>Case study library — each engagement produces a reference case that improves the next</w:t>
      </w:r>
    </w:p>
    <w:p>
      <w:pPr>
        <w:pStyle w:val="ListBullet"/>
      </w:pPr>
      <w:r>
        <w:t>Methodology IP — locked templates, scoring systems, and MCDM calculators</w:t>
      </w:r>
    </w:p>
    <w:p>
      <w:pPr>
        <w:pStyle w:val="ListBullet"/>
      </w:pPr>
      <w:r>
        <w:t>Reputation — procurement is a small world; 10 happy clients = 50 referrals</w:t>
      </w:r>
    </w:p>
    <w:p>
      <w:pPr>
        <w:pStyle w:val="ListBullet"/>
      </w:pPr>
      <w:r>
        <w:t>Data — over time, aggregate intelligence from engagements creates unique market insight</w:t>
      </w:r>
    </w:p>
    <w:p>
      <w:pPr>
        <w:pStyle w:val="ListBullet"/>
      </w:pPr>
      <w:r>
        <w:t>Network — Procurement Leadership Academy builds a community that feeds the intelligence business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2147"/>
        </w:rPr>
        <w:t>8. Go-To-Market Strategy</w:t>
      </w:r>
    </w:p>
    <w:p>
      <w:r>
        <w:rPr>
          <w:rFonts w:ascii="Calibri" w:hAnsi="Calibri"/>
          <w:b/>
          <w:i w:val="0"/>
          <w:color w:val="002147"/>
          <w:sz w:val="24"/>
        </w:rPr>
        <w:t>Channel 1: Direct Outreach (Primary — 90 days)</w:t>
      </w:r>
    </w:p>
    <w:p>
      <w:r>
        <w:rPr>
          <w:rFonts w:ascii="Calibri" w:hAnsi="Calibri"/>
          <w:b w:val="0"/>
          <w:i w:val="0"/>
          <w:sz w:val="22"/>
        </w:rPr>
        <w:t>LinkedIn + cold email to procurement directors and CPOs in European energy, utilities, and industrial sectors. Personalised, insight-led outreach — not templates. Target: 100 contacts in 90 days, 5–10% conversion to conversation.</w:t>
      </w:r>
    </w:p>
    <w:p/>
    <w:p>
      <w:r>
        <w:rPr>
          <w:rFonts w:ascii="Calibri" w:hAnsi="Calibri"/>
          <w:b/>
          <w:i w:val="0"/>
          <w:color w:val="002147"/>
          <w:sz w:val="24"/>
        </w:rPr>
        <w:t>Channel 2: LinkedIn Content (Brand Building)</w:t>
      </w:r>
    </w:p>
    <w:p>
      <w:r>
        <w:rPr>
          <w:rFonts w:ascii="Calibri" w:hAnsi="Calibri"/>
          <w:b w:val="0"/>
          <w:i w:val="0"/>
          <w:sz w:val="22"/>
        </w:rPr>
        <w:t>2× posts per week on procurement intelligence, AI, and category strategy. Share case study insights, market data, and contrarian takes. Goal: 1,000 procurement followers by end of Q3 2026. This channel compounds over time.</w:t>
      </w:r>
    </w:p>
    <w:p/>
    <w:p>
      <w:r>
        <w:rPr>
          <w:rFonts w:ascii="Calibri" w:hAnsi="Calibri"/>
          <w:b/>
          <w:i w:val="0"/>
          <w:color w:val="002147"/>
          <w:sz w:val="24"/>
        </w:rPr>
        <w:t>Channel 3: Referrals &amp; Word of Mouth</w:t>
      </w:r>
    </w:p>
    <w:p>
      <w:r>
        <w:rPr>
          <w:rFonts w:ascii="Calibri" w:hAnsi="Calibri"/>
          <w:b w:val="0"/>
          <w:i w:val="0"/>
          <w:sz w:val="22"/>
        </w:rPr>
        <w:t>Every client who receives a report should be asked for a referral. Procurement directors talk. One happy client at a major energy company can open 5–10 doors. Formalise with a referral incentive (€200 credit per paid referral).</w:t>
      </w:r>
    </w:p>
    <w:p/>
    <w:p>
      <w:r>
        <w:rPr>
          <w:rFonts w:ascii="Calibri" w:hAnsi="Calibri"/>
          <w:b/>
          <w:i w:val="0"/>
          <w:color w:val="002147"/>
          <w:sz w:val="24"/>
        </w:rPr>
        <w:t>Channel 4: Partnerships (Q2 2026+)</w:t>
      </w:r>
    </w:p>
    <w:p>
      <w:r>
        <w:rPr>
          <w:rFonts w:ascii="Calibri" w:hAnsi="Calibri"/>
          <w:b w:val="0"/>
          <w:i w:val="0"/>
          <w:sz w:val="22"/>
        </w:rPr>
        <w:t>Partner with procurement consultancies and interim firms who need analytical horsepower. They bring clients, we deliver the intelligence. Revenue share model (20–30%). Target: 2 partnership agreements by end of Q2.</w:t>
      </w:r>
    </w:p>
    <w:p/>
    <w:p>
      <w:r>
        <w:rPr>
          <w:rFonts w:ascii="Calibri" w:hAnsi="Calibri"/>
          <w:b/>
          <w:i w:val="0"/>
          <w:color w:val="002147"/>
          <w:sz w:val="24"/>
        </w:rPr>
        <w:t>Channel 5: Events &amp; Speaking (Q3 2026+)</w:t>
      </w:r>
    </w:p>
    <w:p>
      <w:r>
        <w:rPr>
          <w:rFonts w:ascii="Calibri" w:hAnsi="Calibri"/>
          <w:b w:val="0"/>
          <w:i w:val="0"/>
          <w:sz w:val="22"/>
        </w:rPr>
        <w:t>Apply to speak at CIPS, CPO Rising, and Nordic procurement events. One speaking slot reaches more procurement leaders than 3 months of cold email. Position Jonathon as the "AI-native procurement" voice in Norway and the Nordics.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2147"/>
        </w:rPr>
        <w:t>9. Risks &amp;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Slow initial sales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Start with lowest-friction product (Product 1 at €124). Build pipeline in parallel.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Quality inconsistency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Locked templates + QA checklist on every deliverable. Human review before send.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Key person dependency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Document all processes. Venture agent handles production. Reduce Jonathon bottleneck.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Competitor price cut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Methodology IP and speed moat. Price is not the only differentiator.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AI model cost increase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Gross margin ~87% absorbs significant cost increase. Multi-model strategy.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Data privacy / GDPR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On-premises AI for sensitive client data. No PII in AI prompts. DPA template for clients.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Jonathon's time constraints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Agent automation handles production. Jonathon owns sales + QA only.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2147"/>
        </w:rPr>
        <w:t>10. Operations &amp; Technology</w:t>
      </w:r>
    </w:p>
    <w:p>
      <w:r>
        <w:rPr>
          <w:rFonts w:ascii="Calibri" w:hAnsi="Calibri"/>
          <w:b/>
          <w:i w:val="0"/>
          <w:color w:val="002147"/>
          <w:sz w:val="24"/>
        </w:rPr>
        <w:t>How We Produce (The Engine)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How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Supplier research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AI agents (Brave Search + web fetch + financial data)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Researcher agent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Report generation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Python + python-pptx + locked v15 template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Venture agent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Category strategy build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AI research + Excel model + Word template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Venture agent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Media monitoring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Daily web scrape + sentiment scoring + report generation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Venture agent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Quality assurance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Quality gate script + human review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Jonathon (QA only)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Client delivery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Email + Google Drive shared folder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Aiden (automated)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Sales &amp; client management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LinkedIn + email + CRM spreadsheet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Jonathon</w:t>
            </w:r>
          </w:p>
        </w:tc>
      </w:tr>
    </w:tbl>
    <w:p/>
    <w:p>
      <w:r>
        <w:rPr>
          <w:rFonts w:ascii="Calibri" w:hAnsi="Calibri"/>
          <w:b/>
          <w:i w:val="0"/>
          <w:color w:val="002147"/>
          <w:sz w:val="24"/>
        </w:rP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AI inference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Anthropic Claude Sonnet + Kimi K2.5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~€200/month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Agent platform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OpenClaw (self-hosted Mac mini)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€0 (hardware owned)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Website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Static HTML — Netlify or Railway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€0–10/month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Backend API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Node.js — Railway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€5–20/month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Search intelligence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Brave Search API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€5/month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Document generation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Python (python-pptx, python-docx, openpyxl)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€0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Payment processing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Stripe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1.4% + €0.25 per transaction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TOTAL MONTHLY OPEX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~€250–400/month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2147"/>
        </w:rPr>
        <w:t>11. Success Metrics — 90-Day Scorecard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Week 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Week 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Week 12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Product 1 reports sold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2–3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7–11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15–20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Category Strategy engagements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0–1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1–2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Media Monitoring clients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2–3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4–6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Total revenue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€2,000–5,000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€15,000–25,000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€35,000–55,000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LinkedIn followers (procurement)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Outreach contacts made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Repeat clients (&gt;1 purchase)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1–2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3+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NPS score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7+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8+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Referrals received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1–2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3–5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Pipeline (next 90 days)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€10K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€30K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€50K+</w:t>
            </w:r>
          </w:p>
        </w:tc>
      </w:tr>
    </w:tbl>
    <w:p/>
    <w:p>
      <w:r>
        <w:rPr>
          <w:rFonts w:ascii="Calibri" w:hAnsi="Calibri"/>
          <w:b/>
          <w:i w:val="0"/>
          <w:color w:val="002147"/>
          <w:sz w:val="24"/>
        </w:rPr>
        <w:t>Definition of 90-Day Success</w:t>
      </w:r>
    </w:p>
    <w:p>
      <w:r>
        <w:rPr>
          <w:rFonts w:ascii="Calibri" w:hAnsi="Calibri"/>
          <w:b w:val="0"/>
          <w:i w:val="0"/>
          <w:sz w:val="22"/>
        </w:rPr>
        <w:t>The 90-day plan succeeds if: (1) at least one client has purchased from each of the three product arms, (2) total revenue exceeds €25,000, and (3) at least one client has made a repeat purchase. These metrics prove the model works and create the foundation for scaling in Q3.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2147"/>
        </w:rPr>
        <w:t>12. Appendix — Product Pricing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Delivery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Consulting Equivalent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Saving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Product 1 Supplier Report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€99–149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24–48 hrs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€5,000–15,000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97%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Media Monitoring (Alert)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€105/month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Monthly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€2,000–5,000/month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95%+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Category Strategy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€3,999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7–10 days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€30,000–150,000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95–97%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Academy Workshop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€5,000–12,000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2 days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€15,000–30,000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60–70%</w:t>
            </w:r>
          </w:p>
        </w:tc>
      </w:tr>
    </w:tbl>
    <w:p/>
    <w:p>
      <w:r>
        <w:rPr>
          <w:rFonts w:ascii="Calibri" w:hAnsi="Calibri"/>
          <w:b w:val="0"/>
          <w:i/>
          <w:color w:val="718096"/>
          <w:sz w:val="18"/>
        </w:rPr>
        <w:t>All prices exclude VAT. Manu Forti Intelligence AS — Norway.</w:t>
      </w:r>
    </w:p>
    <w:p/>
    <w:p/>
    <w:p>
      <w:pPr>
        <w:jc w:val="center"/>
      </w:pPr>
      <w:r>
        <w:rPr>
          <w:rFonts w:ascii="Calibri" w:hAnsi="Calibri"/>
          <w:b w:val="0"/>
          <w:i/>
          <w:color w:val="718096"/>
          <w:sz w:val="18"/>
        </w:rPr>
        <w:t>Manu Forti Intelligence — Confidential Business Plan —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