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2147"/>
          <w:sz w:val="56"/>
        </w:rPr>
        <w:t>MANU FORTI INTELLIGENCE</w:t>
      </w:r>
    </w:p>
    <w:p/>
    <w:p>
      <w:pPr>
        <w:jc w:val="center"/>
      </w:pPr>
      <w:r>
        <w:rPr>
          <w:b/>
          <w:color w:val="2B6CB0"/>
          <w:sz w:val="40"/>
        </w:rPr>
        <w:t>MEDIA MONITORING</w:t>
      </w:r>
    </w:p>
    <w:p>
      <w:pPr>
        <w:jc w:val="center"/>
      </w:pPr>
      <w:r>
        <w:rPr>
          <w:color w:val="002147"/>
          <w:sz w:val="32"/>
        </w:rPr>
        <w:t>PRODUCT SPECIFICATION</w:t>
      </w:r>
    </w:p>
    <w:p/>
    <w:p/>
    <w:p/>
    <w:p>
      <w:pPr>
        <w:jc w:val="center"/>
      </w:pPr>
      <w:r>
        <w:rPr>
          <w:i/>
          <w:color w:val="646464"/>
          <w:sz w:val="24"/>
        </w:rPr>
        <w:t>Continuous Supplier Intelligence</w:t>
      </w:r>
    </w:p>
    <w:p>
      <w:pPr>
        <w:jc w:val="center"/>
      </w:pPr>
      <w:r>
        <w:rPr>
          <w:i/>
          <w:color w:val="646464"/>
          <w:sz w:val="24"/>
        </w:rPr>
        <w:t>30-Day Coverage Analysis &amp; Sentiment Monitoring</w:t>
      </w:r>
    </w:p>
    <w:p>
      <w:r>
        <w:br w:type="page"/>
      </w:r>
    </w:p>
    <w:p>
      <w:pPr>
        <w:pStyle w:val="Heading1"/>
      </w:pPr>
      <w:r>
        <w:rPr>
          <w:color w:val="002147"/>
        </w:rPr>
        <w:t>TABLE OF CONTENTS</w:t>
      </w:r>
    </w:p>
    <w:p/>
    <w:p>
      <w:r>
        <w:rPr>
          <w:sz w:val="22"/>
        </w:rPr>
        <w:t>1. EXECUTIVE OVERVIEW</w:t>
      </w:r>
    </w:p>
    <w:p>
      <w:r>
        <w:rPr>
          <w:sz w:val="22"/>
        </w:rPr>
        <w:t>2. REPORT FORMAT SPECIFICATION</w:t>
      </w:r>
    </w:p>
    <w:p>
      <w:r>
        <w:rPr>
          <w:sz w:val="22"/>
        </w:rPr>
        <w:t xml:space="preserve">   2.1 Executive Summary Structure</w:t>
      </w:r>
    </w:p>
    <w:p>
      <w:r>
        <w:rPr>
          <w:sz w:val="22"/>
        </w:rPr>
        <w:t xml:space="preserve">   2.2 30-Day Coverage Analysis Layout</w:t>
      </w:r>
    </w:p>
    <w:p>
      <w:r>
        <w:rPr>
          <w:sz w:val="22"/>
        </w:rPr>
        <w:t xml:space="preserve">   2.3 Sentiment Categorization Framework</w:t>
      </w:r>
    </w:p>
    <w:p>
      <w:r>
        <w:rPr>
          <w:sz w:val="22"/>
        </w:rPr>
        <w:t xml:space="preserve">   2.4 Trend Visualization Approach</w:t>
      </w:r>
    </w:p>
    <w:p>
      <w:r>
        <w:rPr>
          <w:sz w:val="22"/>
        </w:rPr>
        <w:t xml:space="preserve">   2.5 Key Findings Presentation</w:t>
      </w:r>
    </w:p>
    <w:p>
      <w:r>
        <w:rPr>
          <w:sz w:val="22"/>
        </w:rPr>
        <w:t xml:space="preserve">   2.6 Recommendations Section</w:t>
      </w:r>
    </w:p>
    <w:p>
      <w:r>
        <w:rPr>
          <w:sz w:val="22"/>
        </w:rPr>
        <w:t>3. MONITORING SCOPE</w:t>
      </w:r>
    </w:p>
    <w:p>
      <w:r>
        <w:rPr>
          <w:sz w:val="22"/>
        </w:rPr>
        <w:t xml:space="preserve">   3.1 What to Monitor</w:t>
      </w:r>
    </w:p>
    <w:p>
      <w:r>
        <w:rPr>
          <w:sz w:val="22"/>
        </w:rPr>
        <w:t xml:space="preserve">   3.2 Mention Tracking Methodology</w:t>
      </w:r>
    </w:p>
    <w:p>
      <w:r>
        <w:rPr>
          <w:sz w:val="22"/>
        </w:rPr>
        <w:t>4. PLATFORM COVERAGE</w:t>
      </w:r>
    </w:p>
    <w:p>
      <w:r>
        <w:rPr>
          <w:sz w:val="22"/>
        </w:rPr>
        <w:t xml:space="preserve">   4.1 Traditional News Sources</w:t>
      </w:r>
    </w:p>
    <w:p>
      <w:r>
        <w:rPr>
          <w:sz w:val="22"/>
        </w:rPr>
        <w:t xml:space="preserve">   4.2 Digital &amp; Social Sources</w:t>
      </w:r>
    </w:p>
    <w:p>
      <w:r>
        <w:rPr>
          <w:sz w:val="22"/>
        </w:rPr>
        <w:t xml:space="preserve">   4.3 Regulatory &amp; Official Channels</w:t>
      </w:r>
    </w:p>
    <w:p>
      <w:r>
        <w:rPr>
          <w:sz w:val="22"/>
        </w:rPr>
        <w:t>5. SENTIMENT SCORING METHODOLOGY</w:t>
      </w:r>
    </w:p>
    <w:p>
      <w:r>
        <w:rPr>
          <w:sz w:val="22"/>
        </w:rPr>
        <w:t>6. VALUE-ADD ENHANCEMENTS</w:t>
      </w:r>
    </w:p>
    <w:p>
      <w:r>
        <w:rPr>
          <w:sz w:val="22"/>
        </w:rPr>
        <w:t>7. PRODUCT TIERS &amp; PRICING</w:t>
      </w:r>
    </w:p>
    <w:p>
      <w:r>
        <w:rPr>
          <w:sz w:val="22"/>
        </w:rPr>
        <w:t>8. OPERATIONAL WORKFLOW</w:t>
      </w:r>
    </w:p>
    <w:p>
      <w:r>
        <w:rPr>
          <w:sz w:val="22"/>
        </w:rPr>
        <w:t>9. QUALITY ASSURANCE</w:t>
      </w:r>
    </w:p>
    <w:p>
      <w:r>
        <w:rPr>
          <w:sz w:val="22"/>
        </w:rPr>
        <w:t>10. APPENDICES</w:t>
      </w:r>
    </w:p>
    <w:p>
      <w:r>
        <w:br w:type="page"/>
      </w:r>
    </w:p>
    <w:p>
      <w:pPr>
        <w:pStyle w:val="Heading1"/>
      </w:pPr>
      <w:r>
        <w:rPr>
          <w:color w:val="002147"/>
        </w:rPr>
        <w:t>1. EXECUTIVE OVERVIEW</w:t>
      </w:r>
    </w:p>
    <w:p>
      <w:r>
        <w:rPr>
          <w:sz w:val="22"/>
        </w:rPr>
        <w:t>The Manu Forti Media Monitoring Service delivers continuous supplier intelligence through comprehensive monitoring of traditional news, social media, regulatory filings, and industry publications. This specification document defines the complete product framework, operational methodology, and delivery standards for the service.</w:t>
      </w:r>
    </w:p>
    <w:p/>
    <w:p>
      <w:pPr>
        <w:pStyle w:val="Heading2"/>
      </w:pPr>
      <w:r>
        <w:rPr>
          <w:color w:val="002147"/>
        </w:rPr>
        <w:t>Product Mission</w:t>
      </w:r>
    </w:p>
    <w:p>
      <w:r>
        <w:rPr>
          <w:sz w:val="22"/>
        </w:rPr>
        <w:t>To provide procurement and supply chain professionals with early warning of supplier reputation risks, emerging opportunities, and competitive intelligence through systematic media surveillance and intelligent sentiment analysis.</w:t>
      </w:r>
    </w:p>
    <w:p/>
    <w:p>
      <w:pPr>
        <w:pStyle w:val="Heading2"/>
      </w:pPr>
      <w:r>
        <w:rPr>
          <w:color w:val="002147"/>
        </w:rPr>
        <w:t>Core Value Propositions</w:t>
      </w:r>
    </w:p>
    <w:p>
      <w:pPr>
        <w:pStyle w:val="ListBullet"/>
      </w:pPr>
      <w:r>
        <w:rPr>
          <w:b/>
          <w:sz w:val="22"/>
        </w:rPr>
        <w:t xml:space="preserve">Early Warning System: </w:t>
      </w:r>
      <w:r>
        <w:rPr>
          <w:sz w:val="22"/>
        </w:rPr>
        <w:t>Detect reputation risks, financial distress signals, and leadership changes before they impact your supply chain</w:t>
      </w:r>
    </w:p>
    <w:p>
      <w:pPr>
        <w:pStyle w:val="ListBullet"/>
      </w:pPr>
      <w:r>
        <w:rPr>
          <w:b/>
          <w:sz w:val="22"/>
        </w:rPr>
        <w:t xml:space="preserve">Competitive Intelligence: </w:t>
      </w:r>
      <w:r>
        <w:rPr>
          <w:sz w:val="22"/>
        </w:rPr>
        <w:t>Track competitor mentions in supplier coverage to understand industry positioning and strategic moves</w:t>
      </w:r>
    </w:p>
    <w:p>
      <w:pPr>
        <w:pStyle w:val="ListBullet"/>
      </w:pPr>
      <w:r>
        <w:rPr>
          <w:b/>
          <w:sz w:val="22"/>
        </w:rPr>
        <w:t xml:space="preserve">Sentiment Trend Analysis: </w:t>
      </w:r>
      <w:r>
        <w:rPr>
          <w:sz w:val="22"/>
        </w:rPr>
        <w:t>Monitor shifting market sentiment toward suppliers with quantified scoring and trend visualization</w:t>
      </w:r>
    </w:p>
    <w:p>
      <w:pPr>
        <w:pStyle w:val="ListBullet"/>
      </w:pPr>
      <w:r>
        <w:rPr>
          <w:b/>
          <w:sz w:val="22"/>
        </w:rPr>
        <w:t xml:space="preserve">Comprehensive Coverage: </w:t>
      </w:r>
      <w:r>
        <w:rPr>
          <w:sz w:val="22"/>
        </w:rPr>
        <w:t>Monitor across traditional media, social platforms, regulatory channels, and industry-specific sources</w:t>
      </w:r>
    </w:p>
    <w:p>
      <w:pPr>
        <w:pStyle w:val="ListBullet"/>
      </w:pPr>
      <w:r>
        <w:rPr>
          <w:b/>
          <w:sz w:val="22"/>
        </w:rPr>
        <w:t xml:space="preserve">Actionable Intelligence: </w:t>
      </w:r>
      <w:r>
        <w:rPr>
          <w:sz w:val="22"/>
        </w:rPr>
        <w:t>Receive prioritized alerts and executive-ready reports with clear recommendations</w:t>
      </w:r>
    </w:p>
    <w:p>
      <w:r>
        <w:br w:type="page"/>
      </w:r>
    </w:p>
    <w:p>
      <w:pPr>
        <w:pStyle w:val="Heading1"/>
      </w:pPr>
      <w:r>
        <w:rPr>
          <w:color w:val="002147"/>
        </w:rPr>
        <w:t>4. PLATFORM COVERAGE</w:t>
      </w:r>
    </w:p>
    <w:p>
      <w:r>
        <w:rPr>
          <w:sz w:val="22"/>
        </w:rPr>
        <w:t>Comprehensive monitoring spans three primary channel categories: traditional news, digital/social platforms, and regulatory/official sources.</w:t>
      </w:r>
    </w:p>
    <w:p/>
    <w:p>
      <w:pPr>
        <w:pStyle w:val="Heading2"/>
      </w:pPr>
      <w:r>
        <w:rPr>
          <w:color w:val="002147"/>
        </w:rPr>
        <w:t>4.1 Traditional News Sources</w:t>
      </w:r>
    </w:p>
    <w:p>
      <w:r>
        <w:rPr>
          <w:b/>
          <w:sz w:val="22"/>
        </w:rPr>
        <w:t>Financial News</w:t>
      </w:r>
    </w:p>
    <w:p>
      <w:pPr>
        <w:pStyle w:val="ListBullet"/>
      </w:pPr>
      <w:r>
        <w:rPr>
          <w:sz w:val="20"/>
        </w:rPr>
        <w:t>Reuters - Global financial news, breaking developments</w:t>
      </w:r>
    </w:p>
    <w:p>
      <w:pPr>
        <w:pStyle w:val="ListBullet"/>
      </w:pPr>
      <w:r>
        <w:rPr>
          <w:sz w:val="20"/>
        </w:rPr>
        <w:t>Bloomberg - Markets, M&amp;A, executive coverage</w:t>
      </w:r>
    </w:p>
    <w:p>
      <w:pPr>
        <w:pStyle w:val="ListBullet"/>
      </w:pPr>
      <w:r>
        <w:rPr>
          <w:sz w:val="20"/>
        </w:rPr>
        <w:t>Financial Times - In-depth analysis, industry trends</w:t>
      </w:r>
    </w:p>
    <w:p>
      <w:pPr>
        <w:pStyle w:val="ListBullet"/>
      </w:pPr>
      <w:r>
        <w:rPr>
          <w:sz w:val="20"/>
        </w:rPr>
        <w:t>Wall Street Journal - US focus, business developments</w:t>
      </w:r>
    </w:p>
    <w:p>
      <w:pPr>
        <w:pStyle w:val="ListBullet"/>
      </w:pPr>
      <w:r>
        <w:rPr>
          <w:sz w:val="20"/>
        </w:rPr>
        <w:t>CNBC - Breaking news, market commentary</w:t>
      </w:r>
    </w:p>
    <w:p>
      <w:pPr>
        <w:pStyle w:val="ListBullet"/>
      </w:pPr>
      <w:r>
        <w:rPr>
          <w:sz w:val="20"/>
        </w:rPr>
        <w:t>MarketWatch - Investor-focused coverage</w:t>
      </w:r>
    </w:p>
    <w:p/>
    <w:p>
      <w:r>
        <w:rPr>
          <w:b/>
          <w:sz w:val="22"/>
        </w:rPr>
        <w:t>Industry Publications</w:t>
      </w:r>
    </w:p>
    <w:p>
      <w:pPr>
        <w:pStyle w:val="ListBullet"/>
      </w:pPr>
      <w:r>
        <w:rPr>
          <w:sz w:val="20"/>
        </w:rPr>
        <w:t>Energy: Energy Central, PV Magazine, WindPower Engineering, GreenTech Media</w:t>
      </w:r>
    </w:p>
    <w:p>
      <w:pPr>
        <w:pStyle w:val="ListBullet"/>
      </w:pPr>
      <w:r>
        <w:rPr>
          <w:sz w:val="20"/>
        </w:rPr>
        <w:t>Maritime: Lloyd's List, Maritime Executive, Splash247</w:t>
      </w:r>
    </w:p>
    <w:p>
      <w:pPr>
        <w:pStyle w:val="ListBullet"/>
      </w:pPr>
      <w:r>
        <w:rPr>
          <w:sz w:val="20"/>
        </w:rPr>
        <w:t>Technology: TechCrunch, The Verge, Ars Technica</w:t>
      </w:r>
    </w:p>
    <w:p>
      <w:pPr>
        <w:pStyle w:val="ListBullet"/>
      </w:pPr>
      <w:r>
        <w:rPr>
          <w:sz w:val="20"/>
        </w:rPr>
        <w:t>Manufacturing: IndustryWeek, Manufacturing.net</w:t>
      </w:r>
    </w:p>
    <w:p>
      <w:pPr>
        <w:pStyle w:val="ListBullet"/>
      </w:pPr>
      <w:r>
        <w:rPr>
          <w:sz w:val="20"/>
        </w:rPr>
        <w:t>Construction: Construction Dive, Engineering News-Record</w:t>
      </w:r>
    </w:p>
    <w:p>
      <w:pPr>
        <w:pStyle w:val="ListBullet"/>
      </w:pPr>
      <w:r>
        <w:rPr>
          <w:sz w:val="20"/>
        </w:rPr>
        <w:t>Healthcare: FiercePharma, MedTech Dive</w:t>
      </w:r>
    </w:p>
    <w:p/>
    <w:p>
      <w:r>
        <w:rPr>
          <w:b/>
          <w:sz w:val="22"/>
        </w:rPr>
        <w:t>Local/National Newspapers</w:t>
      </w:r>
    </w:p>
    <w:p>
      <w:r>
        <w:rPr>
          <w:sz w:val="20"/>
        </w:rPr>
        <w:t>Monitoring includes major publications in company's operating regions:</w:t>
      </w:r>
    </w:p>
    <w:p>
      <w:pPr>
        <w:pStyle w:val="ListBullet"/>
      </w:pPr>
      <w:r>
        <w:rPr>
          <w:sz w:val="20"/>
        </w:rPr>
        <w:t>Netherlands: NRC Handelsblad, De Telegraaf, FD (Financieele Dagblad)</w:t>
      </w:r>
    </w:p>
    <w:p>
      <w:pPr>
        <w:pStyle w:val="ListBullet"/>
      </w:pPr>
      <w:r>
        <w:rPr>
          <w:sz w:val="20"/>
        </w:rPr>
        <w:t>Norway: Dagens Naeringsliv, Aftenposten</w:t>
      </w:r>
    </w:p>
    <w:p>
      <w:pPr>
        <w:pStyle w:val="ListBullet"/>
      </w:pPr>
      <w:r>
        <w:rPr>
          <w:sz w:val="20"/>
        </w:rPr>
        <w:t>UK: Financial Times, The Times, The Guardian</w:t>
      </w:r>
    </w:p>
    <w:p>
      <w:pPr>
        <w:pStyle w:val="ListBullet"/>
      </w:pPr>
      <w:r>
        <w:rPr>
          <w:sz w:val="20"/>
        </w:rPr>
        <w:t>Germany: Handelsblatt, Frankfurter Allgemeine</w:t>
      </w:r>
    </w:p>
    <w:p>
      <w:pPr>
        <w:pStyle w:val="ListBullet"/>
      </w:pPr>
      <w:r>
        <w:rPr>
          <w:sz w:val="20"/>
        </w:rPr>
        <w:t>France: Les Echos, Le Figaro</w:t>
      </w:r>
    </w:p>
    <w:p>
      <w:pPr>
        <w:pStyle w:val="ListBullet"/>
      </w:pPr>
      <w:r>
        <w:rPr>
          <w:sz w:val="20"/>
        </w:rPr>
        <w:t>US: Wall Street Journal, New York Times, Washington Post</w:t>
      </w:r>
    </w:p>
    <w:p>
      <w:r>
        <w:br w:type="page"/>
      </w:r>
    </w:p>
    <w:p>
      <w:pPr>
        <w:pStyle w:val="Heading2"/>
      </w:pPr>
      <w:r>
        <w:rPr>
          <w:color w:val="002147"/>
        </w:rPr>
        <w:t>4.2 Digital &amp; Social Sources</w:t>
      </w:r>
    </w:p>
    <w:p>
      <w:r>
        <w:rPr>
          <w:b/>
          <w:sz w:val="22"/>
        </w:rPr>
        <w:t>X (Twitter)</w:t>
      </w:r>
    </w:p>
    <w:p>
      <w:pPr>
        <w:pStyle w:val="ListBullet"/>
      </w:pPr>
      <w:r>
        <w:rPr>
          <w:sz w:val="20"/>
        </w:rPr>
        <w:t>Real-time news and breaking developments</w:t>
      </w:r>
    </w:p>
    <w:p>
      <w:pPr>
        <w:pStyle w:val="ListBullet"/>
      </w:pPr>
      <w:r>
        <w:rPr>
          <w:sz w:val="20"/>
        </w:rPr>
        <w:t>Executive statements and thought leadership</w:t>
      </w:r>
    </w:p>
    <w:p>
      <w:pPr>
        <w:pStyle w:val="ListBullet"/>
      </w:pPr>
      <w:r>
        <w:rPr>
          <w:sz w:val="20"/>
        </w:rPr>
        <w:t>Journalist commentary and scoops</w:t>
      </w:r>
    </w:p>
    <w:p>
      <w:pPr>
        <w:pStyle w:val="ListBullet"/>
      </w:pPr>
      <w:r>
        <w:rPr>
          <w:sz w:val="20"/>
        </w:rPr>
        <w:t>Industry analyst opinions</w:t>
      </w:r>
    </w:p>
    <w:p>
      <w:pPr>
        <w:pStyle w:val="ListBullet"/>
      </w:pPr>
      <w:r>
        <w:rPr>
          <w:sz w:val="20"/>
        </w:rPr>
        <w:t>Customer complaints and praise</w:t>
      </w:r>
    </w:p>
    <w:p>
      <w:pPr>
        <w:pStyle w:val="ListBullet"/>
      </w:pPr>
      <w:r>
        <w:rPr>
          <w:sz w:val="20"/>
        </w:rPr>
        <w:t>Event coverage (conferences, earnings)</w:t>
      </w:r>
    </w:p>
    <w:p>
      <w:r>
        <w:rPr>
          <w:b/>
          <w:sz w:val="22"/>
        </w:rPr>
        <w:t>LinkedIn</w:t>
      </w:r>
    </w:p>
    <w:p>
      <w:pPr>
        <w:pStyle w:val="ListBullet"/>
      </w:pPr>
      <w:r>
        <w:rPr>
          <w:sz w:val="20"/>
        </w:rPr>
        <w:t>B2B announcements and corporate updates</w:t>
      </w:r>
    </w:p>
    <w:p>
      <w:pPr>
        <w:pStyle w:val="ListBullet"/>
      </w:pPr>
      <w:r>
        <w:rPr>
          <w:sz w:val="20"/>
        </w:rPr>
        <w:t>Executive posts and professional commentary</w:t>
      </w:r>
    </w:p>
    <w:p>
      <w:pPr>
        <w:pStyle w:val="ListBullet"/>
      </w:pPr>
      <w:r>
        <w:rPr>
          <w:sz w:val="20"/>
        </w:rPr>
        <w:t>Hiring and organizational changes</w:t>
      </w:r>
    </w:p>
    <w:p>
      <w:pPr>
        <w:pStyle w:val="ListBullet"/>
      </w:pPr>
      <w:r>
        <w:rPr>
          <w:sz w:val="20"/>
        </w:rPr>
        <w:t>Industry discussion and professional sentiment</w:t>
      </w:r>
    </w:p>
    <w:p>
      <w:pPr>
        <w:pStyle w:val="ListBullet"/>
      </w:pPr>
      <w:r>
        <w:rPr>
          <w:sz w:val="20"/>
        </w:rPr>
        <w:t>Thought leadership articles</w:t>
      </w:r>
    </w:p>
    <w:p>
      <w:pPr>
        <w:pStyle w:val="ListBullet"/>
      </w:pPr>
      <w:r>
        <w:rPr>
          <w:sz w:val="20"/>
        </w:rPr>
        <w:t>Employee sentiment indicators</w:t>
      </w:r>
    </w:p>
    <w:p>
      <w:r>
        <w:rPr>
          <w:b/>
          <w:sz w:val="22"/>
        </w:rPr>
        <w:t>Reddit</w:t>
      </w:r>
    </w:p>
    <w:p>
      <w:pPr>
        <w:pStyle w:val="ListBullet"/>
      </w:pPr>
      <w:r>
        <w:rPr>
          <w:sz w:val="20"/>
        </w:rPr>
        <w:t>Community sentiment and grassroots opinions</w:t>
      </w:r>
    </w:p>
    <w:p>
      <w:pPr>
        <w:pStyle w:val="ListBullet"/>
      </w:pPr>
      <w:r>
        <w:rPr>
          <w:sz w:val="20"/>
        </w:rPr>
        <w:t>Employee discussions (anonymous)</w:t>
      </w:r>
    </w:p>
    <w:p>
      <w:pPr>
        <w:pStyle w:val="ListBullet"/>
      </w:pPr>
      <w:r>
        <w:rPr>
          <w:sz w:val="20"/>
        </w:rPr>
        <w:t>Industry-specific subreddit activity</w:t>
      </w:r>
    </w:p>
    <w:p>
      <w:pPr>
        <w:pStyle w:val="ListBullet"/>
      </w:pPr>
      <w:r>
        <w:rPr>
          <w:sz w:val="20"/>
        </w:rPr>
        <w:t>Product/service feedback threads</w:t>
      </w:r>
    </w:p>
    <w:p>
      <w:pPr>
        <w:pStyle w:val="ListBullet"/>
      </w:pPr>
      <w:r>
        <w:rPr>
          <w:sz w:val="20"/>
        </w:rPr>
        <w:t>Comparison discussions with competitors</w:t>
      </w:r>
    </w:p>
    <w:p>
      <w:r>
        <w:rPr>
          <w:b/>
          <w:sz w:val="22"/>
        </w:rPr>
        <w:t>Industry Forums &amp; Discussion Boards</w:t>
      </w:r>
    </w:p>
    <w:p>
      <w:r>
        <w:rPr>
          <w:sz w:val="20"/>
        </w:rPr>
        <w:t>Sector-specific forums where professionals discuss industry developments:</w:t>
      </w:r>
    </w:p>
    <w:p>
      <w:pPr>
        <w:pStyle w:val="ListBullet"/>
      </w:pPr>
      <w:r>
        <w:rPr>
          <w:sz w:val="20"/>
        </w:rPr>
        <w:t>Energy sector forums and communities</w:t>
      </w:r>
    </w:p>
    <w:p>
      <w:pPr>
        <w:pStyle w:val="ListBullet"/>
      </w:pPr>
      <w:r>
        <w:rPr>
          <w:sz w:val="20"/>
        </w:rPr>
        <w:t>Procurement professional networks</w:t>
      </w:r>
    </w:p>
    <w:p>
      <w:pPr>
        <w:pStyle w:val="ListBullet"/>
      </w:pPr>
      <w:r>
        <w:rPr>
          <w:sz w:val="20"/>
        </w:rPr>
        <w:t>Supply chain discussion boards</w:t>
      </w:r>
    </w:p>
    <w:p>
      <w:pPr>
        <w:pStyle w:val="ListBullet"/>
      </w:pPr>
      <w:r>
        <w:rPr>
          <w:sz w:val="20"/>
        </w:rPr>
        <w:t>Investment research communities</w:t>
      </w:r>
    </w:p>
    <w:p>
      <w:r>
        <w:br w:type="page"/>
      </w:r>
    </w:p>
    <w:p>
      <w:pPr>
        <w:pStyle w:val="Heading2"/>
      </w:pPr>
      <w:r>
        <w:rPr>
          <w:color w:val="002147"/>
        </w:rPr>
        <w:t>4.3 Regulatory &amp; Official Channels</w:t>
      </w:r>
    </w:p>
    <w:p>
      <w:r>
        <w:rPr>
          <w:b/>
          <w:sz w:val="22"/>
        </w:rPr>
        <w:t>Company Press Releases</w:t>
      </w:r>
    </w:p>
    <w:p>
      <w:r>
        <w:rPr>
          <w:sz w:val="20"/>
        </w:rPr>
        <w:t>Official announcements tracked for early awareness:</w:t>
      </w:r>
    </w:p>
    <w:p>
      <w:pPr>
        <w:pStyle w:val="ListBullet"/>
      </w:pPr>
      <w:r>
        <w:rPr>
          <w:sz w:val="20"/>
        </w:rPr>
        <w:t>Earnings and financial announcements</w:t>
      </w:r>
    </w:p>
    <w:p>
      <w:pPr>
        <w:pStyle w:val="ListBullet"/>
      </w:pPr>
      <w:r>
        <w:rPr>
          <w:sz w:val="20"/>
        </w:rPr>
        <w:t>Product launches and updates</w:t>
      </w:r>
    </w:p>
    <w:p>
      <w:pPr>
        <w:pStyle w:val="ListBullet"/>
      </w:pPr>
      <w:r>
        <w:rPr>
          <w:sz w:val="20"/>
        </w:rPr>
        <w:t>Partnership and contract announcements</w:t>
      </w:r>
    </w:p>
    <w:p>
      <w:pPr>
        <w:pStyle w:val="ListBullet"/>
      </w:pPr>
      <w:r>
        <w:rPr>
          <w:sz w:val="20"/>
        </w:rPr>
        <w:t>Executive appointments and departures</w:t>
      </w:r>
    </w:p>
    <w:p>
      <w:pPr>
        <w:pStyle w:val="ListBullet"/>
      </w:pPr>
      <w:r>
        <w:rPr>
          <w:sz w:val="20"/>
        </w:rPr>
        <w:t>Regulatory compliance updates</w:t>
      </w:r>
    </w:p>
    <w:p>
      <w:pPr>
        <w:pStyle w:val="ListBullet"/>
      </w:pPr>
      <w:r>
        <w:rPr>
          <w:sz w:val="20"/>
        </w:rPr>
        <w:t>ESG and sustainability reports</w:t>
      </w:r>
    </w:p>
    <w:p>
      <w:r>
        <w:rPr>
          <w:b/>
          <w:sz w:val="22"/>
        </w:rPr>
        <w:t>Regulatory Filings (Public Companies)</w:t>
      </w:r>
    </w:p>
    <w:p>
      <w:pPr>
        <w:pStyle w:val="ListBullet"/>
      </w:pPr>
      <w:r>
        <w:rPr>
          <w:sz w:val="20"/>
        </w:rPr>
        <w:t>Annual reports (10-K, 20-F)</w:t>
      </w:r>
    </w:p>
    <w:p>
      <w:pPr>
        <w:pStyle w:val="ListBullet"/>
      </w:pPr>
      <w:r>
        <w:rPr>
          <w:sz w:val="20"/>
        </w:rPr>
        <w:t>Quarterly reports (10-Q)</w:t>
      </w:r>
    </w:p>
    <w:p>
      <w:pPr>
        <w:pStyle w:val="ListBullet"/>
      </w:pPr>
      <w:r>
        <w:rPr>
          <w:sz w:val="20"/>
        </w:rPr>
        <w:t>Material event filings (8-K, 6-K)</w:t>
      </w:r>
    </w:p>
    <w:p>
      <w:pPr>
        <w:pStyle w:val="ListBullet"/>
      </w:pPr>
      <w:r>
        <w:rPr>
          <w:sz w:val="20"/>
        </w:rPr>
        <w:t>Insider trading disclosures</w:t>
      </w:r>
    </w:p>
    <w:p>
      <w:pPr>
        <w:pStyle w:val="ListBullet"/>
      </w:pPr>
      <w:r>
        <w:rPr>
          <w:sz w:val="20"/>
        </w:rPr>
        <w:t>Proxy statements</w:t>
      </w:r>
    </w:p>
    <w:p>
      <w:r>
        <w:rPr>
          <w:b/>
          <w:sz w:val="22"/>
        </w:rPr>
        <w:t>Government Announcements</w:t>
      </w:r>
    </w:p>
    <w:p>
      <w:pPr>
        <w:pStyle w:val="ListBullet"/>
      </w:pPr>
      <w:r>
        <w:rPr>
          <w:sz w:val="20"/>
        </w:rPr>
        <w:t>Contract awards and tenders</w:t>
      </w:r>
    </w:p>
    <w:p>
      <w:pPr>
        <w:pStyle w:val="ListBullet"/>
      </w:pPr>
      <w:r>
        <w:rPr>
          <w:sz w:val="20"/>
        </w:rPr>
        <w:t>Regulatory decisions affecting the company</w:t>
      </w:r>
    </w:p>
    <w:p>
      <w:pPr>
        <w:pStyle w:val="ListBullet"/>
      </w:pPr>
      <w:r>
        <w:rPr>
          <w:sz w:val="20"/>
        </w:rPr>
        <w:t>Environmental permits and violations</w:t>
      </w:r>
    </w:p>
    <w:p>
      <w:pPr>
        <w:pStyle w:val="ListBullet"/>
      </w:pPr>
      <w:r>
        <w:rPr>
          <w:sz w:val="20"/>
        </w:rPr>
        <w:t>Trade policy impacts</w:t>
      </w:r>
    </w:p>
    <w:p>
      <w:pPr>
        <w:pStyle w:val="ListBullet"/>
      </w:pPr>
      <w:r>
        <w:rPr>
          <w:sz w:val="20"/>
        </w:rPr>
        <w:t>Subsidies and incentive programs</w:t>
      </w:r>
    </w:p>
    <w:p>
      <w:r>
        <w:br w:type="page"/>
      </w:r>
    </w:p>
    <w:p>
      <w:pPr>
        <w:pStyle w:val="Heading1"/>
      </w:pPr>
      <w:r>
        <w:rPr>
          <w:color w:val="002147"/>
        </w:rPr>
        <w:t>5. SENTIMENT SCORING METHODOLOGY</w:t>
      </w:r>
    </w:p>
    <w:p>
      <w:r>
        <w:rPr>
          <w:sz w:val="22"/>
        </w:rPr>
        <w:t>The sentiment scoring system provides quantified, objective assessment of media coverage that enables trend analysis and benchmarking.</w:t>
      </w:r>
    </w:p>
    <w:p/>
    <w:p>
      <w:pPr>
        <w:pStyle w:val="Heading2"/>
      </w:pPr>
      <w:r>
        <w:rPr>
          <w:color w:val="002147"/>
        </w:rPr>
        <w:t>5.1 Individual Mention Scoring</w:t>
      </w:r>
    </w:p>
    <w:p>
      <w:r>
        <w:rPr>
          <w:sz w:val="22"/>
        </w:rPr>
        <w:t>Each mention is analyzed and assigned a score based on:</w:t>
      </w:r>
    </w:p>
    <w:p>
      <w:pPr>
        <w:pStyle w:val="ListBullet"/>
      </w:pPr>
      <w:r>
        <w:rPr>
          <w:sz w:val="20"/>
        </w:rPr>
        <w:t>Tone of language used (positive, neutral, negative words and phrases)</w:t>
      </w:r>
    </w:p>
    <w:p>
      <w:pPr>
        <w:pStyle w:val="ListBullet"/>
      </w:pPr>
      <w:r>
        <w:rPr>
          <w:sz w:val="20"/>
        </w:rPr>
        <w:t>Context of the mention (standalone vs. part of broader story)</w:t>
      </w:r>
    </w:p>
    <w:p>
      <w:pPr>
        <w:pStyle w:val="ListBullet"/>
      </w:pPr>
      <w:r>
        <w:rPr>
          <w:sz w:val="20"/>
        </w:rPr>
        <w:t>Prominence of the mention (headline vs. passing reference)</w:t>
      </w:r>
    </w:p>
    <w:p>
      <w:pPr>
        <w:pStyle w:val="ListBullet"/>
      </w:pPr>
      <w:r>
        <w:rPr>
          <w:sz w:val="20"/>
        </w:rPr>
        <w:t>Source credibility and reach</w:t>
      </w:r>
    </w:p>
    <w:p>
      <w:pPr>
        <w:pStyle w:val="ListBullet"/>
      </w:pPr>
      <w:r>
        <w:rPr>
          <w:sz w:val="20"/>
        </w:rPr>
        <w:t>Recency and relevance to current business conditions</w:t>
      </w:r>
    </w:p>
    <w:p/>
    <w:p>
      <w:pPr>
        <w:pStyle w:val="Heading2"/>
      </w:pPr>
      <w:r>
        <w:rPr>
          <w:color w:val="002147"/>
        </w:rPr>
        <w:t>5.2 Weighted Aggregation</w:t>
      </w:r>
    </w:p>
    <w:p>
      <w:r>
        <w:rPr>
          <w:sz w:val="22"/>
        </w:rPr>
        <w:t>Overall sentiment score is calculated using weighted aggregation:</w:t>
      </w:r>
    </w:p>
    <w:p>
      <w:r>
        <w:rPr>
          <w:b/>
          <w:sz w:val="20"/>
        </w:rPr>
        <w:t>Formula: Sum of (Individual Score x Source Weight) / Sum of Source Weights</w:t>
      </w:r>
    </w:p>
    <w:p>
      <w:r>
        <w:rPr>
          <w:sz w:val="20"/>
        </w:rPr>
        <w:t>Example calculation:</w:t>
      </w:r>
    </w:p>
    <w:p>
      <w:pPr>
        <w:pStyle w:val="ListBullet"/>
      </w:pPr>
      <w:r>
        <w:rPr>
          <w:sz w:val="20"/>
        </w:rPr>
        <w:t>Bloomberg article (Tier 1, 4x weight) with score 75: 75 x 4 = 300</w:t>
      </w:r>
    </w:p>
    <w:p>
      <w:pPr>
        <w:pStyle w:val="ListBullet"/>
      </w:pPr>
      <w:r>
        <w:rPr>
          <w:sz w:val="20"/>
        </w:rPr>
        <w:t>Reuters mention (Tier 1, 4x weight) with score 60: 60 x 4 = 240</w:t>
      </w:r>
    </w:p>
    <w:p>
      <w:pPr>
        <w:pStyle w:val="ListBullet"/>
      </w:pPr>
      <w:r>
        <w:rPr>
          <w:sz w:val="20"/>
        </w:rPr>
        <w:t>Industry pub article (Tier 2, 2x weight) with score 45: 45 x 2 = 90</w:t>
      </w:r>
    </w:p>
    <w:p>
      <w:pPr>
        <w:pStyle w:val="ListBullet"/>
      </w:pPr>
      <w:r>
        <w:rPr>
          <w:sz w:val="20"/>
        </w:rPr>
        <w:t>Total weighted score: 630 / Total weight: 10 = Overall Score: 63</w:t>
      </w:r>
    </w:p>
    <w:p/>
    <w:p>
      <w:pPr>
        <w:pStyle w:val="Heading2"/>
      </w:pPr>
      <w:r>
        <w:rPr>
          <w:color w:val="002147"/>
        </w:rPr>
        <w:t>5.3 Trend Calculation</w:t>
      </w:r>
    </w:p>
    <w:p>
      <w:r>
        <w:rPr>
          <w:sz w:val="22"/>
        </w:rPr>
        <w:t>Trend indicators show sentiment direction over time:</w:t>
      </w:r>
    </w:p>
    <w:p>
      <w:pPr>
        <w:pStyle w:val="ListBullet"/>
      </w:pPr>
      <w:r>
        <w:rPr>
          <w:b/>
          <w:sz w:val="20"/>
        </w:rPr>
        <w:t xml:space="preserve">Rising: </w:t>
      </w:r>
      <w:r>
        <w:rPr>
          <w:sz w:val="20"/>
        </w:rPr>
        <w:t>Sentiment score increased by &gt;5 points vs. previous period</w:t>
      </w:r>
    </w:p>
    <w:p>
      <w:pPr>
        <w:pStyle w:val="ListBullet"/>
      </w:pPr>
      <w:r>
        <w:rPr>
          <w:b/>
          <w:sz w:val="20"/>
        </w:rPr>
        <w:t xml:space="preserve">Stable: </w:t>
      </w:r>
      <w:r>
        <w:rPr>
          <w:sz w:val="20"/>
        </w:rPr>
        <w:t>Sentiment score changed by +/- 5 points vs. previous period</w:t>
      </w:r>
    </w:p>
    <w:p>
      <w:pPr>
        <w:pStyle w:val="ListBullet"/>
      </w:pPr>
      <w:r>
        <w:rPr>
          <w:b/>
          <w:sz w:val="20"/>
        </w:rPr>
        <w:t xml:space="preserve">Falling: </w:t>
      </w:r>
      <w:r>
        <w:rPr>
          <w:sz w:val="20"/>
        </w:rPr>
        <w:t>Sentiment score decreased by &gt;5 points vs. previous period</w:t>
      </w:r>
    </w:p>
    <w:p>
      <w:r>
        <w:br w:type="page"/>
      </w:r>
    </w:p>
    <w:p>
      <w:pPr>
        <w:pStyle w:val="Heading1"/>
      </w:pPr>
      <w:r>
        <w:rPr>
          <w:color w:val="002147"/>
        </w:rPr>
        <w:t>6. VALUE-ADD ENHANCEMENTS</w:t>
      </w:r>
    </w:p>
    <w:p>
      <w:r>
        <w:rPr>
          <w:sz w:val="22"/>
        </w:rPr>
        <w:t>Beyond standard monitoring, the service provides additional intelligence capabilities that deliver deeper insights.</w:t>
      </w:r>
    </w:p>
    <w:p/>
    <w:p>
      <w:pPr>
        <w:pStyle w:val="Heading2"/>
      </w:pPr>
      <w:r>
        <w:rPr>
          <w:color w:val="002147"/>
        </w:rPr>
        <w:t>6.1 Competitive Benchmarking</w:t>
      </w:r>
    </w:p>
    <w:p>
      <w:r>
        <w:rPr>
          <w:sz w:val="22"/>
        </w:rPr>
        <w:t>Compare your supplier against key competitors across multiple dimensions:</w:t>
      </w:r>
    </w:p>
    <w:p>
      <w:pPr>
        <w:pStyle w:val="ListBullet"/>
      </w:pPr>
      <w:r>
        <w:rPr>
          <w:b/>
          <w:sz w:val="20"/>
        </w:rPr>
        <w:t xml:space="preserve">Mention Volume: </w:t>
      </w:r>
      <w:r>
        <w:rPr>
          <w:sz w:val="20"/>
        </w:rPr>
        <w:t>Total mentions vs. competitors over same period</w:t>
      </w:r>
    </w:p>
    <w:p>
      <w:pPr>
        <w:pStyle w:val="ListBullet"/>
      </w:pPr>
      <w:r>
        <w:rPr>
          <w:b/>
          <w:sz w:val="20"/>
        </w:rPr>
        <w:t xml:space="preserve">Sentiment Comparison: </w:t>
      </w:r>
      <w:r>
        <w:rPr>
          <w:sz w:val="20"/>
        </w:rPr>
        <w:t>Relative sentiment scores across peer group</w:t>
      </w:r>
    </w:p>
    <w:p>
      <w:pPr>
        <w:pStyle w:val="ListBullet"/>
      </w:pPr>
      <w:r>
        <w:rPr>
          <w:b/>
          <w:sz w:val="20"/>
        </w:rPr>
        <w:t xml:space="preserve">Share of Voice: </w:t>
      </w:r>
      <w:r>
        <w:rPr>
          <w:sz w:val="20"/>
        </w:rPr>
        <w:t>Percentage of industry coverage captured</w:t>
      </w:r>
    </w:p>
    <w:p>
      <w:pPr>
        <w:pStyle w:val="ListBullet"/>
      </w:pPr>
      <w:r>
        <w:rPr>
          <w:b/>
          <w:sz w:val="20"/>
        </w:rPr>
        <w:t xml:space="preserve">Trend Differential: </w:t>
      </w:r>
      <w:r>
        <w:rPr>
          <w:sz w:val="20"/>
        </w:rPr>
        <w:t>Whether supplier sentiment is outperforming/underperforming peers</w:t>
      </w:r>
    </w:p>
    <w:p/>
    <w:p>
      <w:pPr>
        <w:pStyle w:val="Heading2"/>
      </w:pPr>
      <w:r>
        <w:rPr>
          <w:color w:val="002147"/>
        </w:rPr>
        <w:t>6.2 Trend Analysis</w:t>
      </w:r>
    </w:p>
    <w:p>
      <w:r>
        <w:rPr>
          <w:sz w:val="22"/>
        </w:rPr>
        <w:t>Volume trend analysis identifies patterns and anomalies:</w:t>
      </w:r>
    </w:p>
    <w:p>
      <w:pPr>
        <w:pStyle w:val="ListBullet"/>
      </w:pPr>
      <w:r>
        <w:rPr>
          <w:sz w:val="20"/>
        </w:rPr>
        <w:t>30-day rolling volume charts with moving averages</w:t>
      </w:r>
    </w:p>
    <w:p>
      <w:pPr>
        <w:pStyle w:val="ListBullet"/>
      </w:pPr>
      <w:r>
        <w:rPr>
          <w:sz w:val="20"/>
        </w:rPr>
        <w:t>Week-over-week and month-over-month comparison</w:t>
      </w:r>
    </w:p>
    <w:p>
      <w:pPr>
        <w:pStyle w:val="ListBullet"/>
      </w:pPr>
      <w:r>
        <w:rPr>
          <w:sz w:val="20"/>
        </w:rPr>
        <w:t>Seasonal pattern identification</w:t>
      </w:r>
    </w:p>
    <w:p>
      <w:pPr>
        <w:pStyle w:val="ListBullet"/>
      </w:pPr>
      <w:r>
        <w:rPr>
          <w:sz w:val="20"/>
        </w:rPr>
        <w:t>Spike detection and root cause analysis</w:t>
      </w:r>
    </w:p>
    <w:p>
      <w:pPr>
        <w:pStyle w:val="ListBullet"/>
      </w:pPr>
      <w:r>
        <w:rPr>
          <w:sz w:val="20"/>
        </w:rPr>
        <w:t>Correlation with market events and announcements</w:t>
      </w:r>
    </w:p>
    <w:p/>
    <w:p>
      <w:pPr>
        <w:pStyle w:val="Heading2"/>
      </w:pPr>
      <w:r>
        <w:rPr>
          <w:color w:val="002147"/>
        </w:rPr>
        <w:t>6.3 Geographic Distribution</w:t>
      </w:r>
    </w:p>
    <w:p>
      <w:r>
        <w:rPr>
          <w:sz w:val="22"/>
        </w:rPr>
        <w:t>Map coverage by geographic region to identify location-specific risks or opportunities:</w:t>
      </w:r>
    </w:p>
    <w:p>
      <w:pPr>
        <w:pStyle w:val="ListBullet"/>
      </w:pPr>
      <w:r>
        <w:rPr>
          <w:sz w:val="20"/>
        </w:rPr>
        <w:t>Coverage heat map by country/region</w:t>
      </w:r>
    </w:p>
    <w:p>
      <w:pPr>
        <w:pStyle w:val="ListBullet"/>
      </w:pPr>
      <w:r>
        <w:rPr>
          <w:sz w:val="20"/>
        </w:rPr>
        <w:t>Regional sentiment comparison</w:t>
      </w:r>
    </w:p>
    <w:p>
      <w:pPr>
        <w:pStyle w:val="ListBullet"/>
      </w:pPr>
      <w:r>
        <w:rPr>
          <w:sz w:val="20"/>
        </w:rPr>
        <w:t>Local vs. international coverage ratio</w:t>
      </w:r>
    </w:p>
    <w:p>
      <w:pPr>
        <w:pStyle w:val="ListBullet"/>
      </w:pPr>
      <w:r>
        <w:rPr>
          <w:sz w:val="20"/>
        </w:rPr>
        <w:t>Emerging market coverage tracking</w:t>
      </w:r>
    </w:p>
    <w:p>
      <w:pPr>
        <w:pStyle w:val="ListBullet"/>
      </w:pPr>
      <w:r>
        <w:rPr>
          <w:sz w:val="20"/>
        </w:rPr>
        <w:t>Regional regulatory issue flagging</w:t>
      </w:r>
    </w:p>
    <w:p/>
    <w:p>
      <w:pPr>
        <w:pStyle w:val="Heading2"/>
      </w:pPr>
      <w:r>
        <w:rPr>
          <w:color w:val="002147"/>
        </w:rPr>
        <w:t>6.4 Key Journalist &amp; Influencer Identification</w:t>
      </w:r>
    </w:p>
    <w:p>
      <w:r>
        <w:rPr>
          <w:sz w:val="22"/>
        </w:rPr>
        <w:t>Identify the most influential voices covering your supplier:</w:t>
      </w:r>
    </w:p>
    <w:p>
      <w:pPr>
        <w:pStyle w:val="ListBullet"/>
      </w:pPr>
      <w:r>
        <w:rPr>
          <w:sz w:val="20"/>
        </w:rPr>
        <w:t>Most frequent journalists writing about the supplier</w:t>
      </w:r>
    </w:p>
    <w:p>
      <w:pPr>
        <w:pStyle w:val="ListBullet"/>
      </w:pPr>
      <w:r>
        <w:rPr>
          <w:sz w:val="20"/>
        </w:rPr>
        <w:t>Highest-reach publications providing coverage</w:t>
      </w:r>
    </w:p>
    <w:p>
      <w:pPr>
        <w:pStyle w:val="ListBullet"/>
      </w:pPr>
      <w:r>
        <w:rPr>
          <w:sz w:val="20"/>
        </w:rPr>
        <w:t>Industry analysts with consistent coverage</w:t>
      </w:r>
    </w:p>
    <w:p>
      <w:pPr>
        <w:pStyle w:val="ListBullet"/>
      </w:pPr>
      <w:r>
        <w:rPr>
          <w:sz w:val="20"/>
        </w:rPr>
        <w:t>Social media influencers mentioning the company</w:t>
      </w:r>
    </w:p>
    <w:p>
      <w:pPr>
        <w:pStyle w:val="ListBullet"/>
      </w:pPr>
      <w:r>
        <w:rPr>
          <w:sz w:val="20"/>
        </w:rPr>
        <w:t>Verified account mentions (blue checkmarks)</w:t>
      </w:r>
    </w:p>
    <w:p/>
    <w:p>
      <w:pPr>
        <w:pStyle w:val="Heading2"/>
      </w:pPr>
      <w:r>
        <w:rPr>
          <w:color w:val="002147"/>
        </w:rPr>
        <w:t>6.5 Topic Clustering</w:t>
      </w:r>
    </w:p>
    <w:p>
      <w:r>
        <w:rPr>
          <w:sz w:val="22"/>
        </w:rPr>
        <w:t>Automatically identify the most frequently discussed themes:</w:t>
      </w:r>
    </w:p>
    <w:p>
      <w:pPr>
        <w:pStyle w:val="ListBullet"/>
      </w:pPr>
      <w:r>
        <w:rPr>
          <w:sz w:val="20"/>
        </w:rPr>
        <w:t>Natural language processing to extract key topics</w:t>
      </w:r>
    </w:p>
    <w:p>
      <w:pPr>
        <w:pStyle w:val="ListBullet"/>
      </w:pPr>
      <w:r>
        <w:rPr>
          <w:sz w:val="20"/>
        </w:rPr>
        <w:t>Word clouds showing most common terms</w:t>
      </w:r>
    </w:p>
    <w:p>
      <w:pPr>
        <w:pStyle w:val="ListBullet"/>
      </w:pPr>
      <w:r>
        <w:rPr>
          <w:sz w:val="20"/>
        </w:rPr>
        <w:t>Topic frequency analysis over time</w:t>
      </w:r>
    </w:p>
    <w:p>
      <w:pPr>
        <w:pStyle w:val="ListBullet"/>
      </w:pPr>
      <w:r>
        <w:rPr>
          <w:sz w:val="20"/>
        </w:rPr>
        <w:t>Emerging theme detection</w:t>
      </w:r>
    </w:p>
    <w:p>
      <w:pPr>
        <w:pStyle w:val="ListBullet"/>
      </w:pPr>
      <w:r>
        <w:rPr>
          <w:sz w:val="20"/>
        </w:rPr>
        <w:t>Correlation between topics and sentiment</w:t>
      </w:r>
    </w:p>
    <w:p/>
    <w:p>
      <w:pPr>
        <w:pStyle w:val="Heading2"/>
      </w:pPr>
      <w:r>
        <w:rPr>
          <w:color w:val="002147"/>
        </w:rPr>
        <w:t>6.6 Early Warning System</w:t>
      </w:r>
    </w:p>
    <w:p>
      <w:r>
        <w:rPr>
          <w:sz w:val="22"/>
        </w:rPr>
        <w:t>Proactive alerts for reputation threats:</w:t>
      </w:r>
    </w:p>
    <w:p>
      <w:pPr>
        <w:pStyle w:val="ListBullet"/>
      </w:pPr>
      <w:r>
        <w:rPr>
          <w:b/>
          <w:sz w:val="20"/>
        </w:rPr>
        <w:t xml:space="preserve">Critical Alert: </w:t>
      </w:r>
      <w:r>
        <w:rPr>
          <w:sz w:val="20"/>
        </w:rPr>
        <w:t>Immediate notification for crisis-level negative coverage (score 0-15)</w:t>
      </w:r>
    </w:p>
    <w:p>
      <w:pPr>
        <w:pStyle w:val="ListBullet"/>
      </w:pPr>
      <w:r>
        <w:rPr>
          <w:b/>
          <w:sz w:val="20"/>
        </w:rPr>
        <w:t xml:space="preserve">Trend Alert: </w:t>
      </w:r>
      <w:r>
        <w:rPr>
          <w:sz w:val="20"/>
        </w:rPr>
        <w:t>Notification when sentiment drops &gt;10 points in 48 hours</w:t>
      </w:r>
    </w:p>
    <w:p>
      <w:pPr>
        <w:pStyle w:val="ListBullet"/>
      </w:pPr>
      <w:r>
        <w:rPr>
          <w:b/>
          <w:sz w:val="20"/>
        </w:rPr>
        <w:t xml:space="preserve">Volume Spike: </w:t>
      </w:r>
      <w:r>
        <w:rPr>
          <w:sz w:val="20"/>
        </w:rPr>
        <w:t>Alert when daily mentions exceed 2x 30-day average</w:t>
      </w:r>
    </w:p>
    <w:p>
      <w:pPr>
        <w:pStyle w:val="ListBullet"/>
      </w:pPr>
      <w:r>
        <w:rPr>
          <w:b/>
          <w:sz w:val="20"/>
        </w:rPr>
        <w:t xml:space="preserve">Executive Alert: </w:t>
      </w:r>
      <w:r>
        <w:rPr>
          <w:sz w:val="20"/>
        </w:rPr>
        <w:t>Immediate notification for C-suite related coverage</w:t>
      </w:r>
    </w:p>
    <w:p>
      <w:pPr>
        <w:pStyle w:val="ListBullet"/>
      </w:pPr>
      <w:r>
        <w:rPr>
          <w:b/>
          <w:sz w:val="20"/>
        </w:rPr>
        <w:t xml:space="preserve">Legal Alert: </w:t>
      </w:r>
      <w:r>
        <w:rPr>
          <w:sz w:val="20"/>
        </w:rPr>
        <w:t>Notification of litigation or regulatory action coverage</w:t>
      </w:r>
    </w:p>
    <w:p/>
    <w:p>
      <w:pPr>
        <w:pStyle w:val="Heading2"/>
      </w:pPr>
      <w:r>
        <w:rPr>
          <w:color w:val="002147"/>
        </w:rPr>
        <w:t>6.7 Comparative Reporting</w:t>
      </w:r>
    </w:p>
    <w:p>
      <w:r>
        <w:rPr>
          <w:sz w:val="22"/>
        </w:rPr>
        <w:t>Weekly and monthly comparison reports show changes over time:</w:t>
      </w:r>
    </w:p>
    <w:p>
      <w:pPr>
        <w:pStyle w:val="ListBullet"/>
      </w:pPr>
      <w:r>
        <w:rPr>
          <w:sz w:val="20"/>
        </w:rPr>
        <w:t>Week-over-week sentiment change</w:t>
      </w:r>
    </w:p>
    <w:p>
      <w:pPr>
        <w:pStyle w:val="ListBullet"/>
      </w:pPr>
      <w:r>
        <w:rPr>
          <w:sz w:val="20"/>
        </w:rPr>
        <w:t>Month-over-month volume trends</w:t>
      </w:r>
    </w:p>
    <w:p>
      <w:pPr>
        <w:pStyle w:val="ListBullet"/>
      </w:pPr>
      <w:r>
        <w:rPr>
          <w:sz w:val="20"/>
        </w:rPr>
        <w:t>Quarterly deep-dive analysis</w:t>
      </w:r>
    </w:p>
    <w:p>
      <w:pPr>
        <w:pStyle w:val="ListBullet"/>
      </w:pPr>
      <w:r>
        <w:rPr>
          <w:sz w:val="20"/>
        </w:rPr>
        <w:t>Year-over-year benchmarking</w:t>
      </w:r>
    </w:p>
    <w:p>
      <w:pPr>
        <w:pStyle w:val="ListBullet"/>
      </w:pPr>
      <w:r>
        <w:rPr>
          <w:sz w:val="20"/>
        </w:rPr>
        <w:t>Before/after event impact analysis</w:t>
      </w:r>
    </w:p>
    <w:p>
      <w:r>
        <w:br w:type="page"/>
      </w:r>
    </w:p>
    <w:p>
      <w:pPr>
        <w:pStyle w:val="Heading1"/>
      </w:pPr>
      <w:r>
        <w:rPr>
          <w:color w:val="002147"/>
        </w:rPr>
        <w:t>7. PRODUCT TIERS &amp; PRICING</w:t>
      </w:r>
    </w:p>
    <w:p>
      <w:r>
        <w:rPr>
          <w:sz w:val="22"/>
        </w:rPr>
        <w:t>Three service tiers provide flexible options based on monitoring intensity, coverage scope, and reporting frequency.</w:t>
      </w:r>
    </w:p>
    <w:p/>
    <w:p>
      <w:pPr>
        <w:pStyle w:val="Heading2"/>
      </w:pPr>
      <w:r>
        <w:rPr>
          <w:color w:val="002147"/>
        </w:rPr>
        <w:t>7.1 Monitor Tier</w:t>
      </w:r>
    </w:p>
    <w:p>
      <w:r>
        <w:rPr>
          <w:b/>
          <w:color w:val="2B6CB0"/>
          <w:sz w:val="24"/>
        </w:rPr>
        <w:t>EUR 35/month per supplier</w:t>
      </w:r>
    </w:p>
    <w:p>
      <w:pPr>
        <w:pStyle w:val="ListBullet"/>
      </w:pPr>
      <w:r>
        <w:rPr>
          <w:sz w:val="20"/>
        </w:rPr>
        <w:t>Weekly summary email with key highlights</w:t>
      </w:r>
    </w:p>
    <w:p>
      <w:pPr>
        <w:pStyle w:val="ListBullet"/>
      </w:pPr>
      <w:r>
        <w:rPr>
          <w:sz w:val="20"/>
        </w:rPr>
        <w:t>Maximum 10 suppliers per account</w:t>
      </w:r>
    </w:p>
    <w:p>
      <w:pPr>
        <w:pStyle w:val="ListBullet"/>
      </w:pPr>
      <w:r>
        <w:rPr>
          <w:sz w:val="20"/>
        </w:rPr>
        <w:t>Traditional media monitoring only</w:t>
      </w:r>
    </w:p>
    <w:p>
      <w:pPr>
        <w:pStyle w:val="ListBullet"/>
      </w:pPr>
      <w:r>
        <w:rPr>
          <w:sz w:val="20"/>
        </w:rPr>
        <w:t>Basic sentiment classification (positive/neutral/negative)</w:t>
      </w:r>
    </w:p>
    <w:p>
      <w:pPr>
        <w:pStyle w:val="ListBullet"/>
      </w:pPr>
      <w:r>
        <w:rPr>
          <w:sz w:val="20"/>
        </w:rPr>
        <w:t>No trend charts or detailed analysis</w:t>
      </w:r>
    </w:p>
    <w:p>
      <w:pPr>
        <w:pStyle w:val="ListBullet"/>
      </w:pPr>
      <w:r>
        <w:rPr>
          <w:sz w:val="20"/>
        </w:rPr>
        <w:t>Email support</w:t>
      </w:r>
    </w:p>
    <w:p/>
    <w:p>
      <w:pPr>
        <w:pStyle w:val="Heading2"/>
      </w:pPr>
      <w:r>
        <w:rPr>
          <w:color w:val="002147"/>
        </w:rPr>
        <w:t>7.2 Alert Tier</w:t>
      </w:r>
    </w:p>
    <w:p>
      <w:r>
        <w:rPr>
          <w:b/>
          <w:color w:val="2B6CB0"/>
          <w:sz w:val="24"/>
        </w:rPr>
        <w:t>EUR 105/month per supplier</w:t>
      </w:r>
    </w:p>
    <w:p>
      <w:pPr>
        <w:pStyle w:val="ListBullet"/>
      </w:pPr>
      <w:r>
        <w:rPr>
          <w:sz w:val="20"/>
        </w:rPr>
        <w:t>Full monthly report (12-page Word document)</w:t>
      </w:r>
    </w:p>
    <w:p>
      <w:pPr>
        <w:pStyle w:val="ListBullet"/>
      </w:pPr>
      <w:r>
        <w:rPr>
          <w:sz w:val="20"/>
        </w:rPr>
        <w:t>Sentiment trend charts included</w:t>
      </w:r>
    </w:p>
    <w:p>
      <w:pPr>
        <w:pStyle w:val="ListBullet"/>
      </w:pPr>
      <w:r>
        <w:rPr>
          <w:sz w:val="20"/>
        </w:rPr>
        <w:t>Social media monitoring (X/Twitter + LinkedIn)</w:t>
      </w:r>
    </w:p>
    <w:p>
      <w:pPr>
        <w:pStyle w:val="ListBullet"/>
      </w:pPr>
      <w:r>
        <w:rPr>
          <w:sz w:val="20"/>
        </w:rPr>
        <w:t>Real-time alerts for critical news</w:t>
      </w:r>
    </w:p>
    <w:p>
      <w:pPr>
        <w:pStyle w:val="ListBullet"/>
      </w:pPr>
      <w:r>
        <w:rPr>
          <w:sz w:val="20"/>
        </w:rPr>
        <w:t>Maximum 25 suppliers per account</w:t>
      </w:r>
    </w:p>
    <w:p>
      <w:pPr>
        <w:pStyle w:val="ListBullet"/>
      </w:pPr>
      <w:r>
        <w:rPr>
          <w:sz w:val="20"/>
        </w:rPr>
        <w:t>Key journalist identification</w:t>
      </w:r>
    </w:p>
    <w:p>
      <w:pPr>
        <w:pStyle w:val="ListBullet"/>
      </w:pPr>
      <w:r>
        <w:rPr>
          <w:sz w:val="20"/>
        </w:rPr>
        <w:t>Topic clustering analysis</w:t>
      </w:r>
    </w:p>
    <w:p>
      <w:pPr>
        <w:pStyle w:val="ListBullet"/>
      </w:pPr>
      <w:r>
        <w:rPr>
          <w:sz w:val="20"/>
        </w:rPr>
        <w:t>Priority email support</w:t>
      </w:r>
    </w:p>
    <w:p/>
    <w:p>
      <w:pPr>
        <w:pStyle w:val="Heading2"/>
      </w:pPr>
      <w:r>
        <w:rPr>
          <w:color w:val="002147"/>
        </w:rPr>
        <w:t>7.3 Enterprise Tier</w:t>
      </w:r>
    </w:p>
    <w:p>
      <w:r>
        <w:rPr>
          <w:b/>
          <w:color w:val="2B6CB0"/>
          <w:sz w:val="24"/>
        </w:rPr>
        <w:t>Custom pricing</w:t>
      </w:r>
    </w:p>
    <w:p>
      <w:pPr>
        <w:pStyle w:val="ListBullet"/>
      </w:pPr>
      <w:r>
        <w:rPr>
          <w:sz w:val="20"/>
        </w:rPr>
        <w:t>Weekly reports with full format</w:t>
      </w:r>
    </w:p>
    <w:p>
      <w:pPr>
        <w:pStyle w:val="ListBullet"/>
      </w:pPr>
      <w:r>
        <w:rPr>
          <w:sz w:val="20"/>
        </w:rPr>
        <w:t>All 4 social platforms (X, LinkedIn, Facebook, YouTube)</w:t>
      </w:r>
    </w:p>
    <w:p>
      <w:pPr>
        <w:pStyle w:val="ListBullet"/>
      </w:pPr>
      <w:r>
        <w:rPr>
          <w:sz w:val="20"/>
        </w:rPr>
        <w:t>Custom dashboards and analytics</w:t>
      </w:r>
    </w:p>
    <w:p>
      <w:pPr>
        <w:pStyle w:val="ListBullet"/>
      </w:pPr>
      <w:r>
        <w:rPr>
          <w:sz w:val="20"/>
        </w:rPr>
        <w:t>Unlimited suppliers</w:t>
      </w:r>
    </w:p>
    <w:p>
      <w:pPr>
        <w:pStyle w:val="ListBullet"/>
      </w:pPr>
      <w:r>
        <w:rPr>
          <w:sz w:val="20"/>
        </w:rPr>
        <w:t>API access for integration</w:t>
      </w:r>
    </w:p>
    <w:p>
      <w:pPr>
        <w:pStyle w:val="ListBullet"/>
      </w:pPr>
      <w:r>
        <w:rPr>
          <w:sz w:val="20"/>
        </w:rPr>
        <w:t>WhatsApp alerts for critical issues</w:t>
      </w:r>
    </w:p>
    <w:p>
      <w:pPr>
        <w:pStyle w:val="ListBullet"/>
      </w:pPr>
      <w:r>
        <w:rPr>
          <w:sz w:val="20"/>
        </w:rPr>
        <w:t>Dedicated account manager</w:t>
      </w:r>
    </w:p>
    <w:p>
      <w:pPr>
        <w:pStyle w:val="ListBullet"/>
      </w:pPr>
      <w:r>
        <w:rPr>
          <w:sz w:val="20"/>
        </w:rPr>
        <w:t>Custom report branding</w:t>
      </w:r>
    </w:p>
    <w:p>
      <w:pPr>
        <w:pStyle w:val="ListBullet"/>
      </w:pPr>
      <w:r>
        <w:rPr>
          <w:sz w:val="20"/>
        </w:rPr>
        <w:t>Quarterly business reviews</w:t>
      </w:r>
    </w:p>
    <w:p/>
    <w:p>
      <w:pPr>
        <w:pStyle w:val="Heading2"/>
      </w:pPr>
      <w:r>
        <w:rPr>
          <w:color w:val="002147"/>
        </w:rPr>
        <w:t>7.4 Tier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8E8"/>
          </w:tcPr>
          <w:p>
            <w:r>
              <w:rPr>
                <w:b/>
                <w:sz w:val="18"/>
              </w:rPr>
              <w:t>Feature</w:t>
            </w:r>
          </w:p>
        </w:tc>
        <w:tc>
          <w:tcPr>
            <w:tcW w:type="dxa" w:w="2160"/>
            <w:shd w:fill="E8E8E8"/>
          </w:tcPr>
          <w:p>
            <w:r>
              <w:rPr>
                <w:b/>
                <w:sz w:val="18"/>
              </w:rPr>
              <w:t>Monitor (EUR 35)</w:t>
            </w:r>
          </w:p>
        </w:tc>
        <w:tc>
          <w:tcPr>
            <w:tcW w:type="dxa" w:w="2160"/>
            <w:shd w:fill="E8E8E8"/>
          </w:tcPr>
          <w:p>
            <w:r>
              <w:rPr>
                <w:b/>
                <w:sz w:val="18"/>
              </w:rPr>
              <w:t>Alert (EUR 105)</w:t>
            </w:r>
          </w:p>
        </w:tc>
        <w:tc>
          <w:tcPr>
            <w:tcW w:type="dxa" w:w="2160"/>
            <w:shd w:fill="E8E8E8"/>
          </w:tcPr>
          <w:p>
            <w:r>
              <w:rPr>
                <w:b/>
                <w:sz w:val="18"/>
              </w:rPr>
              <w:t>Enterprise (Custom)</w:t>
            </w:r>
          </w:p>
        </w:tc>
      </w:tr>
      <w:tr>
        <w:tc>
          <w:tcPr>
            <w:tcW w:type="dxa" w:w="2160"/>
          </w:tcPr>
          <w:p>
            <w:r>
              <w:rPr>
                <w:sz w:val="18"/>
              </w:rPr>
              <w:t>Report Frequency</w:t>
            </w:r>
          </w:p>
        </w:tc>
        <w:tc>
          <w:tcPr>
            <w:tcW w:type="dxa" w:w="2160"/>
          </w:tcPr>
          <w:p>
            <w:r>
              <w:rPr>
                <w:sz w:val="18"/>
              </w:rPr>
              <w:t>Weekly email</w:t>
            </w:r>
          </w:p>
        </w:tc>
        <w:tc>
          <w:tcPr>
            <w:tcW w:type="dxa" w:w="2160"/>
          </w:tcPr>
          <w:p>
            <w:r>
              <w:rPr>
                <w:sz w:val="18"/>
              </w:rPr>
              <w:t>Monthly full report</w:t>
            </w:r>
          </w:p>
        </w:tc>
        <w:tc>
          <w:tcPr>
            <w:tcW w:type="dxa" w:w="2160"/>
          </w:tcPr>
          <w:p>
            <w:r>
              <w:rPr>
                <w:sz w:val="18"/>
              </w:rPr>
              <w:t>Weekly full report</w:t>
            </w:r>
          </w:p>
        </w:tc>
      </w:tr>
      <w:tr>
        <w:tc>
          <w:tcPr>
            <w:tcW w:type="dxa" w:w="2160"/>
          </w:tcPr>
          <w:p>
            <w:r>
              <w:rPr>
                <w:sz w:val="18"/>
              </w:rPr>
              <w:t>Max Suppliers</w:t>
            </w:r>
          </w:p>
        </w:tc>
        <w:tc>
          <w:tcPr>
            <w:tcW w:type="dxa" w:w="2160"/>
          </w:tcPr>
          <w:p>
            <w:r>
              <w:rPr>
                <w:sz w:val="18"/>
              </w:rPr>
              <w:t>10</w:t>
            </w:r>
          </w:p>
        </w:tc>
        <w:tc>
          <w:tcPr>
            <w:tcW w:type="dxa" w:w="2160"/>
          </w:tcPr>
          <w:p>
            <w:r>
              <w:rPr>
                <w:sz w:val="18"/>
              </w:rPr>
              <w:t>25</w:t>
            </w:r>
          </w:p>
        </w:tc>
        <w:tc>
          <w:tcPr>
            <w:tcW w:type="dxa" w:w="2160"/>
          </w:tcPr>
          <w:p>
            <w:r>
              <w:rPr>
                <w:sz w:val="18"/>
              </w:rPr>
              <w:t>Unlimited</w:t>
            </w:r>
          </w:p>
        </w:tc>
      </w:tr>
      <w:tr>
        <w:tc>
          <w:tcPr>
            <w:tcW w:type="dxa" w:w="2160"/>
          </w:tcPr>
          <w:p>
            <w:r>
              <w:rPr>
                <w:sz w:val="18"/>
              </w:rPr>
              <w:t>Traditional Media</w:t>
            </w:r>
          </w:p>
        </w:tc>
        <w:tc>
          <w:tcPr>
            <w:tcW w:type="dxa" w:w="2160"/>
          </w:tcPr>
          <w:p>
            <w:r>
              <w:rPr>
                <w:sz w:val="18"/>
              </w:rPr>
              <w:t>Included</w:t>
            </w:r>
          </w:p>
        </w:tc>
        <w:tc>
          <w:tcPr>
            <w:tcW w:type="dxa" w:w="2160"/>
          </w:tcPr>
          <w:p>
            <w:r>
              <w:rPr>
                <w:sz w:val="18"/>
              </w:rPr>
              <w:t>Included</w:t>
            </w:r>
          </w:p>
        </w:tc>
        <w:tc>
          <w:tcPr>
            <w:tcW w:type="dxa" w:w="2160"/>
          </w:tcPr>
          <w:p>
            <w:r>
              <w:rPr>
                <w:sz w:val="18"/>
              </w:rPr>
              <w:t>Included</w:t>
            </w:r>
          </w:p>
        </w:tc>
      </w:tr>
      <w:tr>
        <w:tc>
          <w:tcPr>
            <w:tcW w:type="dxa" w:w="2160"/>
          </w:tcPr>
          <w:p>
            <w:r>
              <w:rPr>
                <w:sz w:val="18"/>
              </w:rPr>
              <w:t>Social Media</w:t>
            </w:r>
          </w:p>
        </w:tc>
        <w:tc>
          <w:tcPr>
            <w:tcW w:type="dxa" w:w="2160"/>
          </w:tcPr>
          <w:p>
            <w:r>
              <w:rPr>
                <w:sz w:val="18"/>
              </w:rPr>
              <w:t>None</w:t>
            </w:r>
          </w:p>
        </w:tc>
        <w:tc>
          <w:tcPr>
            <w:tcW w:type="dxa" w:w="2160"/>
          </w:tcPr>
          <w:p>
            <w:r>
              <w:rPr>
                <w:sz w:val="18"/>
              </w:rPr>
              <w:t>X + LinkedIn</w:t>
            </w:r>
          </w:p>
        </w:tc>
        <w:tc>
          <w:tcPr>
            <w:tcW w:type="dxa" w:w="2160"/>
          </w:tcPr>
          <w:p>
            <w:r>
              <w:rPr>
                <w:sz w:val="18"/>
              </w:rPr>
              <w:t>All platforms</w:t>
            </w:r>
          </w:p>
        </w:tc>
      </w:tr>
      <w:tr>
        <w:tc>
          <w:tcPr>
            <w:tcW w:type="dxa" w:w="2160"/>
          </w:tcPr>
          <w:p>
            <w:r>
              <w:rPr>
                <w:sz w:val="18"/>
              </w:rPr>
              <w:t>Sentiment Charts</w:t>
            </w:r>
          </w:p>
        </w:tc>
        <w:tc>
          <w:tcPr>
            <w:tcW w:type="dxa" w:w="2160"/>
          </w:tcPr>
          <w:p>
            <w:r>
              <w:rPr>
                <w:sz w:val="18"/>
              </w:rPr>
              <w:t>No</w:t>
            </w:r>
          </w:p>
        </w:tc>
        <w:tc>
          <w:tcPr>
            <w:tcW w:type="dxa" w:w="2160"/>
          </w:tcPr>
          <w:p>
            <w:r>
              <w:rPr>
                <w:sz w:val="18"/>
              </w:rPr>
              <w:t>Yes</w:t>
            </w:r>
          </w:p>
        </w:tc>
        <w:tc>
          <w:tcPr>
            <w:tcW w:type="dxa" w:w="2160"/>
          </w:tcPr>
          <w:p>
            <w:r>
              <w:rPr>
                <w:sz w:val="18"/>
              </w:rPr>
              <w:t>Yes + custom</w:t>
            </w:r>
          </w:p>
        </w:tc>
      </w:tr>
      <w:tr>
        <w:tc>
          <w:tcPr>
            <w:tcW w:type="dxa" w:w="2160"/>
          </w:tcPr>
          <w:p>
            <w:r>
              <w:rPr>
                <w:sz w:val="18"/>
              </w:rPr>
              <w:t>Real-time Alerts</w:t>
            </w:r>
          </w:p>
        </w:tc>
        <w:tc>
          <w:tcPr>
            <w:tcW w:type="dxa" w:w="2160"/>
          </w:tcPr>
          <w:p>
            <w:r>
              <w:rPr>
                <w:sz w:val="18"/>
              </w:rPr>
              <w:t>No</w:t>
            </w:r>
          </w:p>
        </w:tc>
        <w:tc>
          <w:tcPr>
            <w:tcW w:type="dxa" w:w="2160"/>
          </w:tcPr>
          <w:p>
            <w:r>
              <w:rPr>
                <w:sz w:val="18"/>
              </w:rPr>
              <w:t>Yes</w:t>
            </w:r>
          </w:p>
        </w:tc>
        <w:tc>
          <w:tcPr>
            <w:tcW w:type="dxa" w:w="2160"/>
          </w:tcPr>
          <w:p>
            <w:r>
              <w:rPr>
                <w:sz w:val="18"/>
              </w:rPr>
              <w:t>Yes + WhatsApp</w:t>
            </w:r>
          </w:p>
        </w:tc>
      </w:tr>
      <w:tr>
        <w:tc>
          <w:tcPr>
            <w:tcW w:type="dxa" w:w="2160"/>
          </w:tcPr>
          <w:p>
            <w:r>
              <w:rPr>
                <w:sz w:val="18"/>
              </w:rPr>
              <w:t>Trend Analysis</w:t>
            </w:r>
          </w:p>
        </w:tc>
        <w:tc>
          <w:tcPr>
            <w:tcW w:type="dxa" w:w="2160"/>
          </w:tcPr>
          <w:p>
            <w:r>
              <w:rPr>
                <w:sz w:val="18"/>
              </w:rPr>
              <w:t>Basic</w:t>
            </w:r>
          </w:p>
        </w:tc>
        <w:tc>
          <w:tcPr>
            <w:tcW w:type="dxa" w:w="2160"/>
          </w:tcPr>
          <w:p>
            <w:r>
              <w:rPr>
                <w:sz w:val="18"/>
              </w:rPr>
              <w:t>Full</w:t>
            </w:r>
          </w:p>
        </w:tc>
        <w:tc>
          <w:tcPr>
            <w:tcW w:type="dxa" w:w="2160"/>
          </w:tcPr>
          <w:p>
            <w:r>
              <w:rPr>
                <w:sz w:val="18"/>
              </w:rPr>
              <w:t>Advanced</w:t>
            </w:r>
          </w:p>
        </w:tc>
      </w:tr>
      <w:tr>
        <w:tc>
          <w:tcPr>
            <w:tcW w:type="dxa" w:w="2160"/>
          </w:tcPr>
          <w:p>
            <w:r>
              <w:rPr>
                <w:sz w:val="18"/>
              </w:rPr>
              <w:t>API Access</w:t>
            </w:r>
          </w:p>
        </w:tc>
        <w:tc>
          <w:tcPr>
            <w:tcW w:type="dxa" w:w="2160"/>
          </w:tcPr>
          <w:p>
            <w:r>
              <w:rPr>
                <w:sz w:val="18"/>
              </w:rPr>
              <w:t>No</w:t>
            </w:r>
          </w:p>
        </w:tc>
        <w:tc>
          <w:tcPr>
            <w:tcW w:type="dxa" w:w="2160"/>
          </w:tcPr>
          <w:p>
            <w:r>
              <w:rPr>
                <w:sz w:val="18"/>
              </w:rPr>
              <w:t>No</w:t>
            </w:r>
          </w:p>
        </w:tc>
        <w:tc>
          <w:tcPr>
            <w:tcW w:type="dxa" w:w="2160"/>
          </w:tcPr>
          <w:p>
            <w:r>
              <w:rPr>
                <w:sz w:val="18"/>
              </w:rPr>
              <w:t>Yes</w:t>
            </w:r>
          </w:p>
        </w:tc>
      </w:tr>
      <w:tr>
        <w:tc>
          <w:tcPr>
            <w:tcW w:type="dxa" w:w="2160"/>
          </w:tcPr>
          <w:p>
            <w:r>
              <w:rPr>
                <w:sz w:val="18"/>
              </w:rPr>
              <w:t>Support</w:t>
            </w:r>
          </w:p>
        </w:tc>
        <w:tc>
          <w:tcPr>
            <w:tcW w:type="dxa" w:w="2160"/>
          </w:tcPr>
          <w:p>
            <w:r>
              <w:rPr>
                <w:sz w:val="18"/>
              </w:rPr>
              <w:t>Email</w:t>
            </w:r>
          </w:p>
        </w:tc>
        <w:tc>
          <w:tcPr>
            <w:tcW w:type="dxa" w:w="2160"/>
          </w:tcPr>
          <w:p>
            <w:r>
              <w:rPr>
                <w:sz w:val="18"/>
              </w:rPr>
              <w:t>Priority email</w:t>
            </w:r>
          </w:p>
        </w:tc>
        <w:tc>
          <w:tcPr>
            <w:tcW w:type="dxa" w:w="2160"/>
          </w:tcPr>
          <w:p>
            <w:r>
              <w:rPr>
                <w:sz w:val="18"/>
              </w:rPr>
              <w:t>Dedicated manager</w:t>
            </w:r>
          </w:p>
        </w:tc>
      </w:tr>
      <w:tr>
        <w:tc>
          <w:tcPr>
            <w:tcW w:type="dxa" w:w="2160"/>
          </w:tcPr>
          <w:p>
            <w:r>
              <w:rPr>
                <w:sz w:val="18"/>
              </w:rPr>
              <w:t>Custom Branding</w:t>
            </w:r>
          </w:p>
        </w:tc>
        <w:tc>
          <w:tcPr>
            <w:tcW w:type="dxa" w:w="2160"/>
          </w:tcPr>
          <w:p>
            <w:r>
              <w:rPr>
                <w:sz w:val="18"/>
              </w:rPr>
              <w:t>No</w:t>
            </w:r>
          </w:p>
        </w:tc>
        <w:tc>
          <w:tcPr>
            <w:tcW w:type="dxa" w:w="2160"/>
          </w:tcPr>
          <w:p>
            <w:r>
              <w:rPr>
                <w:sz w:val="18"/>
              </w:rPr>
              <w:t>No</w:t>
            </w:r>
          </w:p>
        </w:tc>
        <w:tc>
          <w:tcPr>
            <w:tcW w:type="dxa" w:w="2160"/>
          </w:tcPr>
          <w:p>
            <w:r>
              <w:rPr>
                <w:sz w:val="18"/>
              </w:rPr>
              <w:t>Yes</w:t>
            </w:r>
          </w:p>
        </w:tc>
      </w:tr>
    </w:tbl>
    <w:p>
      <w:r>
        <w:br w:type="page"/>
      </w:r>
    </w:p>
    <w:p>
      <w:pPr>
        <w:pStyle w:val="Heading1"/>
      </w:pPr>
      <w:r>
        <w:rPr>
          <w:color w:val="002147"/>
        </w:rPr>
        <w:t>8. OPERATIONAL WORKFLOW</w:t>
      </w:r>
    </w:p>
    <w:p>
      <w:r>
        <w:rPr>
          <w:sz w:val="22"/>
        </w:rPr>
        <w:t>The 30-day monitoring cycle follows a structured workflow to ensure consistent, high-quality delivery.</w:t>
      </w:r>
    </w:p>
    <w:p/>
    <w:p>
      <w:pPr>
        <w:pStyle w:val="Heading2"/>
      </w:pPr>
      <w:r>
        <w:rPr>
          <w:color w:val="002147"/>
        </w:rPr>
        <w:t>8.1 Daily Operations</w:t>
      </w:r>
    </w:p>
    <w:p>
      <w:pPr>
        <w:pStyle w:val="ListBullet"/>
      </w:pPr>
      <w:r>
        <w:rPr>
          <w:b/>
          <w:sz w:val="20"/>
        </w:rPr>
        <w:t xml:space="preserve">06:00: </w:t>
      </w:r>
      <w:r>
        <w:rPr>
          <w:sz w:val="20"/>
        </w:rPr>
        <w:t>Automated scan of overnight mentions across all sources</w:t>
      </w:r>
    </w:p>
    <w:p>
      <w:pPr>
        <w:pStyle w:val="ListBullet"/>
      </w:pPr>
      <w:r>
        <w:rPr>
          <w:b/>
          <w:sz w:val="20"/>
        </w:rPr>
        <w:t xml:space="preserve">08:00: </w:t>
      </w:r>
      <w:r>
        <w:rPr>
          <w:sz w:val="20"/>
        </w:rPr>
        <w:t>Alert review - flag critical items for immediate notification</w:t>
      </w:r>
    </w:p>
    <w:p>
      <w:pPr>
        <w:pStyle w:val="ListBullet"/>
      </w:pPr>
      <w:r>
        <w:rPr>
          <w:b/>
          <w:sz w:val="20"/>
        </w:rPr>
        <w:t xml:space="preserve">10:00: </w:t>
      </w:r>
      <w:r>
        <w:rPr>
          <w:sz w:val="20"/>
        </w:rPr>
        <w:t>Social media monitoring - X/Twitter real-time scan</w:t>
      </w:r>
    </w:p>
    <w:p>
      <w:pPr>
        <w:pStyle w:val="ListBullet"/>
      </w:pPr>
      <w:r>
        <w:rPr>
          <w:b/>
          <w:sz w:val="20"/>
        </w:rPr>
        <w:t xml:space="preserve">12:00: </w:t>
      </w:r>
      <w:r>
        <w:rPr>
          <w:sz w:val="20"/>
        </w:rPr>
        <w:t>Midday update - check for breaking news</w:t>
      </w:r>
    </w:p>
    <w:p>
      <w:pPr>
        <w:pStyle w:val="ListBullet"/>
      </w:pPr>
      <w:r>
        <w:rPr>
          <w:b/>
          <w:sz w:val="20"/>
        </w:rPr>
        <w:t xml:space="preserve">14:00: </w:t>
      </w:r>
      <w:r>
        <w:rPr>
          <w:sz w:val="20"/>
        </w:rPr>
        <w:t>LinkedIn and industry forum monitoring</w:t>
      </w:r>
    </w:p>
    <w:p>
      <w:pPr>
        <w:pStyle w:val="ListBullet"/>
      </w:pPr>
      <w:r>
        <w:rPr>
          <w:b/>
          <w:sz w:val="20"/>
        </w:rPr>
        <w:t xml:space="preserve">16:00: </w:t>
      </w:r>
      <w:r>
        <w:rPr>
          <w:sz w:val="20"/>
        </w:rPr>
        <w:t>Regulatory filing check (for public companies)</w:t>
      </w:r>
    </w:p>
    <w:p>
      <w:pPr>
        <w:pStyle w:val="ListBullet"/>
      </w:pPr>
      <w:r>
        <w:rPr>
          <w:b/>
          <w:sz w:val="20"/>
        </w:rPr>
        <w:t xml:space="preserve">18:00: </w:t>
      </w:r>
      <w:r>
        <w:rPr>
          <w:sz w:val="20"/>
        </w:rPr>
        <w:t>End-of-day summary and alert dispatch</w:t>
      </w:r>
    </w:p>
    <w:p/>
    <w:p>
      <w:pPr>
        <w:pStyle w:val="Heading2"/>
      </w:pPr>
      <w:r>
        <w:rPr>
          <w:color w:val="002147"/>
        </w:rPr>
        <w:t>8.2 Weekly Workflow</w:t>
      </w:r>
    </w:p>
    <w:p>
      <w:pPr>
        <w:pStyle w:val="ListBullet"/>
      </w:pPr>
      <w:r>
        <w:rPr>
          <w:b/>
          <w:sz w:val="20"/>
        </w:rPr>
        <w:t xml:space="preserve">Monday: </w:t>
      </w:r>
      <w:r>
        <w:rPr>
          <w:sz w:val="20"/>
        </w:rPr>
        <w:t>Week-start briefing, review weekend coverage, update trend charts</w:t>
      </w:r>
    </w:p>
    <w:p>
      <w:pPr>
        <w:pStyle w:val="ListBullet"/>
      </w:pPr>
      <w:r>
        <w:rPr>
          <w:b/>
          <w:sz w:val="20"/>
        </w:rPr>
        <w:t xml:space="preserve">Tuesday-Thursday: </w:t>
      </w:r>
      <w:r>
        <w:rPr>
          <w:sz w:val="20"/>
        </w:rPr>
        <w:t>Continuous monitoring, alert management, mention logging</w:t>
      </w:r>
    </w:p>
    <w:p>
      <w:pPr>
        <w:pStyle w:val="ListBullet"/>
      </w:pPr>
      <w:r>
        <w:rPr>
          <w:b/>
          <w:sz w:val="20"/>
        </w:rPr>
        <w:t xml:space="preserve">Friday: </w:t>
      </w:r>
      <w:r>
        <w:rPr>
          <w:sz w:val="20"/>
        </w:rPr>
        <w:t>Weekly summary preparation for Monitor tier clients</w:t>
      </w:r>
    </w:p>
    <w:p>
      <w:pPr>
        <w:pStyle w:val="ListBullet"/>
      </w:pPr>
      <w:r>
        <w:rPr>
          <w:b/>
          <w:sz w:val="20"/>
        </w:rPr>
        <w:t xml:space="preserve">Weekend: </w:t>
      </w:r>
      <w:r>
        <w:rPr>
          <w:sz w:val="20"/>
        </w:rPr>
        <w:t>Automated monitoring continues, critical alerts only</w:t>
      </w:r>
    </w:p>
    <w:p/>
    <w:p>
      <w:pPr>
        <w:pStyle w:val="Heading2"/>
      </w:pPr>
      <w:r>
        <w:rPr>
          <w:color w:val="002147"/>
        </w:rPr>
        <w:t>8.3 Monthly Report Production</w:t>
      </w:r>
    </w:p>
    <w:p>
      <w:r>
        <w:rPr>
          <w:sz w:val="22"/>
        </w:rPr>
        <w:t>For Alert and Enterprise tiers, the monthly report follows this production schedule:</w:t>
      </w:r>
    </w:p>
    <w:p>
      <w:pPr>
        <w:pStyle w:val="ListBullet"/>
      </w:pPr>
      <w:r>
        <w:rPr>
          <w:b/>
          <w:sz w:val="20"/>
        </w:rPr>
        <w:t xml:space="preserve">Days 1-25: </w:t>
      </w:r>
      <w:r>
        <w:rPr>
          <w:sz w:val="20"/>
        </w:rPr>
        <w:t>Continuous monitoring and data collection</w:t>
      </w:r>
    </w:p>
    <w:p>
      <w:pPr>
        <w:pStyle w:val="ListBullet"/>
      </w:pPr>
      <w:r>
        <w:rPr>
          <w:b/>
          <w:sz w:val="20"/>
        </w:rPr>
        <w:t xml:space="preserve">Day 26: </w:t>
      </w:r>
      <w:r>
        <w:rPr>
          <w:sz w:val="20"/>
        </w:rPr>
        <w:t>Data aggregation and sentiment analysis</w:t>
      </w:r>
    </w:p>
    <w:p>
      <w:pPr>
        <w:pStyle w:val="ListBullet"/>
      </w:pPr>
      <w:r>
        <w:rPr>
          <w:b/>
          <w:sz w:val="20"/>
        </w:rPr>
        <w:t xml:space="preserve">Day 27: </w:t>
      </w:r>
      <w:r>
        <w:rPr>
          <w:sz w:val="20"/>
        </w:rPr>
        <w:t>Chart generation and trend analysis</w:t>
      </w:r>
    </w:p>
    <w:p>
      <w:pPr>
        <w:pStyle w:val="ListBullet"/>
      </w:pPr>
      <w:r>
        <w:rPr>
          <w:b/>
          <w:sz w:val="20"/>
        </w:rPr>
        <w:t xml:space="preserve">Day 28: </w:t>
      </w:r>
      <w:r>
        <w:rPr>
          <w:sz w:val="20"/>
        </w:rPr>
        <w:t>Key themes identification and strategic analysis</w:t>
      </w:r>
    </w:p>
    <w:p>
      <w:pPr>
        <w:pStyle w:val="ListBullet"/>
      </w:pPr>
      <w:r>
        <w:rPr>
          <w:b/>
          <w:sz w:val="20"/>
        </w:rPr>
        <w:t xml:space="preserve">Day 29: </w:t>
      </w:r>
      <w:r>
        <w:rPr>
          <w:sz w:val="20"/>
        </w:rPr>
        <w:t>Recommendation development and quality review</w:t>
      </w:r>
    </w:p>
    <w:p>
      <w:pPr>
        <w:pStyle w:val="ListBullet"/>
      </w:pPr>
      <w:r>
        <w:rPr>
          <w:b/>
          <w:sz w:val="20"/>
        </w:rPr>
        <w:t xml:space="preserve">Day 30: </w:t>
      </w:r>
      <w:r>
        <w:rPr>
          <w:sz w:val="20"/>
        </w:rPr>
        <w:t>Final report assembly and client delivery</w:t>
      </w:r>
    </w:p>
    <w:p/>
    <w:p>
      <w:pPr>
        <w:pStyle w:val="Heading2"/>
      </w:pPr>
      <w:r>
        <w:rPr>
          <w:color w:val="002147"/>
        </w:rPr>
        <w:t>8.4 Data Retention</w:t>
      </w:r>
    </w:p>
    <w:tbl>
      <w:tblPr>
        <w:tblStyle w:val="TableGrid"/>
        <w:tblW w:type="auto" w:w="0"/>
        <w:tblLook w:firstColumn="1" w:firstRow="1" w:lastColumn="0" w:lastRow="0" w:noHBand="0" w:noVBand="1" w:val="04A0"/>
      </w:tblPr>
      <w:tblGrid>
        <w:gridCol w:w="4320"/>
        <w:gridCol w:w="4320"/>
      </w:tblGrid>
      <w:tr>
        <w:tc>
          <w:tcPr>
            <w:tcW w:type="dxa" w:w="4320"/>
            <w:shd w:fill="E8E8E8"/>
          </w:tcPr>
          <w:p>
            <w:r>
              <w:rPr>
                <w:b/>
                <w:sz w:val="20"/>
              </w:rPr>
              <w:t>Data Type</w:t>
            </w:r>
          </w:p>
        </w:tc>
        <w:tc>
          <w:tcPr>
            <w:tcW w:type="dxa" w:w="4320"/>
            <w:shd w:fill="E8E8E8"/>
          </w:tcPr>
          <w:p>
            <w:r>
              <w:rPr>
                <w:b/>
                <w:sz w:val="20"/>
              </w:rPr>
              <w:t>Retention Period</w:t>
            </w:r>
          </w:p>
        </w:tc>
      </w:tr>
      <w:tr>
        <w:tc>
          <w:tcPr>
            <w:tcW w:type="dxa" w:w="4320"/>
          </w:tcPr>
          <w:p>
            <w:r>
              <w:rPr>
                <w:sz w:val="20"/>
              </w:rPr>
              <w:t>Raw mention data</w:t>
            </w:r>
          </w:p>
        </w:tc>
        <w:tc>
          <w:tcPr>
            <w:tcW w:type="dxa" w:w="4320"/>
          </w:tcPr>
          <w:p>
            <w:r>
              <w:rPr>
                <w:sz w:val="20"/>
              </w:rPr>
              <w:t>12 months</w:t>
            </w:r>
          </w:p>
        </w:tc>
      </w:tr>
      <w:tr>
        <w:tc>
          <w:tcPr>
            <w:tcW w:type="dxa" w:w="4320"/>
          </w:tcPr>
          <w:p>
            <w:r>
              <w:rPr>
                <w:sz w:val="20"/>
              </w:rPr>
              <w:t>Processed sentiment scores</w:t>
            </w:r>
          </w:p>
        </w:tc>
        <w:tc>
          <w:tcPr>
            <w:tcW w:type="dxa" w:w="4320"/>
          </w:tcPr>
          <w:p>
            <w:r>
              <w:rPr>
                <w:sz w:val="20"/>
              </w:rPr>
              <w:t>24 months</w:t>
            </w:r>
          </w:p>
        </w:tc>
      </w:tr>
      <w:tr>
        <w:tc>
          <w:tcPr>
            <w:tcW w:type="dxa" w:w="4320"/>
          </w:tcPr>
          <w:p>
            <w:r>
              <w:rPr>
                <w:sz w:val="20"/>
              </w:rPr>
              <w:t>Client reports</w:t>
            </w:r>
          </w:p>
        </w:tc>
        <w:tc>
          <w:tcPr>
            <w:tcW w:type="dxa" w:w="4320"/>
          </w:tcPr>
          <w:p>
            <w:r>
              <w:rPr>
                <w:sz w:val="20"/>
              </w:rPr>
              <w:t>Indefinite (client archive)</w:t>
            </w:r>
          </w:p>
        </w:tc>
      </w:tr>
      <w:tr>
        <w:tc>
          <w:tcPr>
            <w:tcW w:type="dxa" w:w="4320"/>
          </w:tcPr>
          <w:p>
            <w:r>
              <w:rPr>
                <w:sz w:val="20"/>
              </w:rPr>
              <w:t>Alert logs</w:t>
            </w:r>
          </w:p>
        </w:tc>
        <w:tc>
          <w:tcPr>
            <w:tcW w:type="dxa" w:w="4320"/>
          </w:tcPr>
          <w:p>
            <w:r>
              <w:rPr>
                <w:sz w:val="20"/>
              </w:rPr>
              <w:t>6 months</w:t>
            </w:r>
          </w:p>
        </w:tc>
      </w:tr>
    </w:tbl>
    <w:p>
      <w:r>
        <w:br w:type="page"/>
      </w:r>
    </w:p>
    <w:p>
      <w:pPr>
        <w:pStyle w:val="Heading1"/>
      </w:pPr>
      <w:r>
        <w:rPr>
          <w:color w:val="002147"/>
        </w:rPr>
        <w:t>9. QUALITY ASSURANCE</w:t>
      </w:r>
    </w:p>
    <w:p>
      <w:r>
        <w:rPr>
          <w:sz w:val="22"/>
        </w:rPr>
        <w:t>Rigorous quality controls ensure accurate, reliable intelligence delivery.</w:t>
      </w:r>
    </w:p>
    <w:p/>
    <w:p>
      <w:pPr>
        <w:pStyle w:val="Heading2"/>
      </w:pPr>
      <w:r>
        <w:rPr>
          <w:color w:val="002147"/>
        </w:rPr>
        <w:t>9.1 Pre-Delivery Checklist</w:t>
      </w:r>
    </w:p>
    <w:p>
      <w:r>
        <w:rPr>
          <w:sz w:val="22"/>
        </w:rPr>
        <w:t>Every report undergoes quality review before delivery:</w:t>
      </w:r>
    </w:p>
    <w:p>
      <w:pPr>
        <w:pStyle w:val="ListBullet"/>
      </w:pPr>
      <w:r>
        <w:rPr>
          <w:sz w:val="20"/>
        </w:rPr>
        <w:t>Cover page contains correct company name and reporting period</w:t>
      </w:r>
    </w:p>
    <w:p>
      <w:pPr>
        <w:pStyle w:val="ListBullet"/>
      </w:pPr>
      <w:r>
        <w:rPr>
          <w:sz w:val="20"/>
        </w:rPr>
        <w:t>Executive summary risk assessment is color-coded</w:t>
      </w:r>
    </w:p>
    <w:p>
      <w:pPr>
        <w:pStyle w:val="ListBullet"/>
      </w:pPr>
      <w:r>
        <w:rPr>
          <w:sz w:val="20"/>
        </w:rPr>
        <w:t>All charts are generated and embedded</w:t>
      </w:r>
    </w:p>
    <w:p>
      <w:pPr>
        <w:pStyle w:val="ListBullet"/>
      </w:pPr>
      <w:r>
        <w:rPr>
          <w:sz w:val="20"/>
        </w:rPr>
        <w:t>No placeholder text remains in document</w:t>
      </w:r>
    </w:p>
    <w:p>
      <w:pPr>
        <w:pStyle w:val="ListBullet"/>
      </w:pPr>
      <w:r>
        <w:rPr>
          <w:sz w:val="20"/>
        </w:rPr>
        <w:t>Sentiment scores are mathematically correct</w:t>
      </w:r>
    </w:p>
    <w:p>
      <w:pPr>
        <w:pStyle w:val="ListBullet"/>
      </w:pPr>
      <w:r>
        <w:rPr>
          <w:sz w:val="20"/>
        </w:rPr>
        <w:t>All hyperlinks are functional</w:t>
      </w:r>
    </w:p>
    <w:p>
      <w:pPr>
        <w:pStyle w:val="ListBullet"/>
      </w:pPr>
      <w:r>
        <w:rPr>
          <w:sz w:val="20"/>
        </w:rPr>
        <w:t>Key themes minimum count (5) is met</w:t>
      </w:r>
    </w:p>
    <w:p>
      <w:pPr>
        <w:pStyle w:val="ListBullet"/>
      </w:pPr>
      <w:r>
        <w:rPr>
          <w:sz w:val="20"/>
        </w:rPr>
        <w:t>Recommendations are specific and actionable</w:t>
      </w:r>
    </w:p>
    <w:p>
      <w:pPr>
        <w:pStyle w:val="ListBullet"/>
      </w:pPr>
      <w:r>
        <w:rPr>
          <w:sz w:val="20"/>
        </w:rPr>
        <w:t>Confidentiality footer is present</w:t>
      </w:r>
    </w:p>
    <w:p>
      <w:pPr>
        <w:pStyle w:val="ListBullet"/>
      </w:pPr>
      <w:r>
        <w:rPr>
          <w:sz w:val="20"/>
        </w:rPr>
        <w:t>File size indicates charts are embedded (&gt;100KB)</w:t>
      </w:r>
    </w:p>
    <w:p/>
    <w:p>
      <w:pPr>
        <w:pStyle w:val="Heading2"/>
      </w:pPr>
      <w:r>
        <w:rPr>
          <w:color w:val="002147"/>
        </w:rPr>
        <w:t>9.2 Accuracy Standards</w:t>
      </w:r>
    </w:p>
    <w:p>
      <w:r>
        <w:rPr>
          <w:sz w:val="22"/>
        </w:rPr>
        <w:t>Target accuracy metrics:</w:t>
      </w:r>
    </w:p>
    <w:tbl>
      <w:tblPr>
        <w:tblStyle w:val="TableGrid"/>
        <w:tblW w:type="auto" w:w="0"/>
        <w:tblLook w:firstColumn="1" w:firstRow="1" w:lastColumn="0" w:lastRow="0" w:noHBand="0" w:noVBand="1" w:val="04A0"/>
      </w:tblPr>
      <w:tblGrid>
        <w:gridCol w:w="4320"/>
        <w:gridCol w:w="4320"/>
      </w:tblGrid>
      <w:tr>
        <w:tc>
          <w:tcPr>
            <w:tcW w:type="dxa" w:w="4320"/>
            <w:shd w:fill="E8E8E8"/>
          </w:tcPr>
          <w:p>
            <w:r>
              <w:rPr>
                <w:b/>
                <w:sz w:val="20"/>
              </w:rPr>
              <w:t>Metric</w:t>
            </w:r>
          </w:p>
        </w:tc>
        <w:tc>
          <w:tcPr>
            <w:tcW w:type="dxa" w:w="4320"/>
            <w:shd w:fill="E8E8E8"/>
          </w:tcPr>
          <w:p>
            <w:r>
              <w:rPr>
                <w:b/>
                <w:sz w:val="20"/>
              </w:rPr>
              <w:t>Target</w:t>
            </w:r>
          </w:p>
        </w:tc>
      </w:tr>
      <w:tr>
        <w:tc>
          <w:tcPr>
            <w:tcW w:type="dxa" w:w="4320"/>
          </w:tcPr>
          <w:p>
            <w:r>
              <w:rPr>
                <w:sz w:val="20"/>
              </w:rPr>
              <w:t>Sentiment classification accuracy</w:t>
            </w:r>
          </w:p>
        </w:tc>
        <w:tc>
          <w:tcPr>
            <w:tcW w:type="dxa" w:w="4320"/>
          </w:tcPr>
          <w:p>
            <w:r>
              <w:rPr>
                <w:sz w:val="20"/>
              </w:rPr>
              <w:t>&gt;90%</w:t>
            </w:r>
          </w:p>
        </w:tc>
      </w:tr>
      <w:tr>
        <w:tc>
          <w:tcPr>
            <w:tcW w:type="dxa" w:w="4320"/>
          </w:tcPr>
          <w:p>
            <w:r>
              <w:rPr>
                <w:sz w:val="20"/>
              </w:rPr>
              <w:t>Mention capture rate</w:t>
            </w:r>
          </w:p>
        </w:tc>
        <w:tc>
          <w:tcPr>
            <w:tcW w:type="dxa" w:w="4320"/>
          </w:tcPr>
          <w:p>
            <w:r>
              <w:rPr>
                <w:sz w:val="20"/>
              </w:rPr>
              <w:t>&gt;95% (major sources)</w:t>
            </w:r>
          </w:p>
        </w:tc>
      </w:tr>
      <w:tr>
        <w:tc>
          <w:tcPr>
            <w:tcW w:type="dxa" w:w="4320"/>
          </w:tcPr>
          <w:p>
            <w:r>
              <w:rPr>
                <w:sz w:val="20"/>
              </w:rPr>
              <w:t>Alert false positive rate</w:t>
            </w:r>
          </w:p>
        </w:tc>
        <w:tc>
          <w:tcPr>
            <w:tcW w:type="dxa" w:w="4320"/>
          </w:tcPr>
          <w:p>
            <w:r>
              <w:rPr>
                <w:sz w:val="20"/>
              </w:rPr>
              <w:t>&lt;5%</w:t>
            </w:r>
          </w:p>
        </w:tc>
      </w:tr>
      <w:tr>
        <w:tc>
          <w:tcPr>
            <w:tcW w:type="dxa" w:w="4320"/>
          </w:tcPr>
          <w:p>
            <w:r>
              <w:rPr>
                <w:sz w:val="20"/>
              </w:rPr>
              <w:t>Report delivery on-time rate</w:t>
            </w:r>
          </w:p>
        </w:tc>
        <w:tc>
          <w:tcPr>
            <w:tcW w:type="dxa" w:w="4320"/>
          </w:tcPr>
          <w:p>
            <w:r>
              <w:rPr>
                <w:sz w:val="20"/>
              </w:rPr>
              <w:t>&gt;98%</w:t>
            </w:r>
          </w:p>
        </w:tc>
      </w:tr>
      <w:tr>
        <w:tc>
          <w:tcPr>
            <w:tcW w:type="dxa" w:w="4320"/>
          </w:tcPr>
          <w:p/>
        </w:tc>
        <w:tc>
          <w:tcPr>
            <w:tcW w:type="dxa" w:w="4320"/>
          </w:tcPr>
          <w:p/>
        </w:tc>
      </w:tr>
    </w:tbl>
    <w:p/>
    <w:p>
      <w:pPr>
        <w:pStyle w:val="Heading2"/>
      </w:pPr>
      <w:r>
        <w:rPr>
          <w:color w:val="002147"/>
        </w:rPr>
        <w:t>9.3 Continuous Improvement</w:t>
      </w:r>
    </w:p>
    <w:p>
      <w:r>
        <w:rPr>
          <w:sz w:val="22"/>
        </w:rPr>
        <w:t>Ongoing enhancement processes:</w:t>
      </w:r>
    </w:p>
    <w:p>
      <w:pPr>
        <w:pStyle w:val="ListBullet"/>
      </w:pPr>
      <w:r>
        <w:rPr>
          <w:sz w:val="20"/>
        </w:rPr>
        <w:t>Monthly calibration of sentiment scoring against manual review</w:t>
      </w:r>
    </w:p>
    <w:p>
      <w:pPr>
        <w:pStyle w:val="ListBullet"/>
      </w:pPr>
      <w:r>
        <w:rPr>
          <w:sz w:val="20"/>
        </w:rPr>
        <w:t>Quarterly source list updates based on relevance and reach</w:t>
      </w:r>
    </w:p>
    <w:p>
      <w:pPr>
        <w:pStyle w:val="ListBullet"/>
      </w:pPr>
      <w:r>
        <w:rPr>
          <w:sz w:val="20"/>
        </w:rPr>
        <w:t>Client feedback integration into report format evolution</w:t>
      </w:r>
    </w:p>
    <w:p>
      <w:pPr>
        <w:pStyle w:val="ListBullet"/>
      </w:pPr>
      <w:r>
        <w:rPr>
          <w:sz w:val="20"/>
        </w:rPr>
        <w:t>Bi-annual methodology review and updates</w:t>
      </w:r>
    </w:p>
    <w:p>
      <w:pPr>
        <w:pStyle w:val="ListBullet"/>
      </w:pPr>
      <w:r>
        <w:rPr>
          <w:sz w:val="20"/>
        </w:rPr>
        <w:t>Annual competitive benchmarking of coverage completeness</w:t>
      </w:r>
    </w:p>
    <w:p>
      <w:r>
        <w:br w:type="page"/>
      </w:r>
    </w:p>
    <w:p>
      <w:pPr>
        <w:pStyle w:val="Heading1"/>
      </w:pPr>
      <w:r>
        <w:rPr>
          <w:color w:val="002147"/>
        </w:rPr>
        <w:t>10. APPENDICES</w:t>
      </w:r>
    </w:p>
    <w:p/>
    <w:p>
      <w:pPr>
        <w:pStyle w:val="Heading2"/>
      </w:pPr>
      <w:r>
        <w:rPr>
          <w:color w:val="002147"/>
        </w:rPr>
        <w:t>Appendix A: Color Palette Reference</w:t>
      </w:r>
    </w:p>
    <w:tbl>
      <w:tblPr>
        <w:tblStyle w:val="TableGrid"/>
        <w:tblW w:type="auto" w:w="0"/>
        <w:tblLook w:firstColumn="1" w:firstRow="1" w:lastColumn="0" w:lastRow="0" w:noHBand="0" w:noVBand="1" w:val="04A0"/>
      </w:tblPr>
      <w:tblGrid>
        <w:gridCol w:w="2880"/>
        <w:gridCol w:w="2880"/>
        <w:gridCol w:w="2880"/>
      </w:tblGrid>
      <w:tr>
        <w:tc>
          <w:tcPr>
            <w:tcW w:type="dxa" w:w="2880"/>
            <w:shd w:fill="E8E8E8"/>
          </w:tcPr>
          <w:p>
            <w:r>
              <w:rPr>
                <w:b/>
                <w:sz w:val="18"/>
              </w:rPr>
              <w:t>Element</w:t>
            </w:r>
          </w:p>
        </w:tc>
        <w:tc>
          <w:tcPr>
            <w:tcW w:type="dxa" w:w="2880"/>
            <w:shd w:fill="E8E8E8"/>
          </w:tcPr>
          <w:p>
            <w:r>
              <w:rPr>
                <w:b/>
                <w:sz w:val="18"/>
              </w:rPr>
              <w:t>Hex Code</w:t>
            </w:r>
          </w:p>
        </w:tc>
        <w:tc>
          <w:tcPr>
            <w:tcW w:type="dxa" w:w="2880"/>
            <w:shd w:fill="E8E8E8"/>
          </w:tcPr>
          <w:p>
            <w:r>
              <w:rPr>
                <w:b/>
                <w:sz w:val="18"/>
              </w:rPr>
              <w:t>RGB</w:t>
            </w:r>
          </w:p>
        </w:tc>
      </w:tr>
      <w:tr>
        <w:tc>
          <w:tcPr>
            <w:tcW w:type="dxa" w:w="2880"/>
          </w:tcPr>
          <w:p>
            <w:r>
              <w:rPr>
                <w:sz w:val="18"/>
              </w:rPr>
              <w:t>Navy (Primary)</w:t>
            </w:r>
          </w:p>
        </w:tc>
        <w:tc>
          <w:tcPr>
            <w:tcW w:type="dxa" w:w="2880"/>
          </w:tcPr>
          <w:p>
            <w:r>
              <w:rPr>
                <w:sz w:val="18"/>
              </w:rPr>
              <w:t>#002147</w:t>
            </w:r>
          </w:p>
        </w:tc>
        <w:tc>
          <w:tcPr>
            <w:tcW w:type="dxa" w:w="2880"/>
          </w:tcPr>
          <w:p>
            <w:r>
              <w:rPr>
                <w:sz w:val="18"/>
              </w:rPr>
              <w:t>0, 33, 71</w:t>
            </w:r>
          </w:p>
        </w:tc>
      </w:tr>
      <w:tr>
        <w:tc>
          <w:tcPr>
            <w:tcW w:type="dxa" w:w="2880"/>
          </w:tcPr>
          <w:p>
            <w:r>
              <w:rPr>
                <w:sz w:val="18"/>
              </w:rPr>
              <w:t>Cobalt (Accent)</w:t>
            </w:r>
          </w:p>
        </w:tc>
        <w:tc>
          <w:tcPr>
            <w:tcW w:type="dxa" w:w="2880"/>
          </w:tcPr>
          <w:p>
            <w:r>
              <w:rPr>
                <w:sz w:val="18"/>
              </w:rPr>
              <w:t>#2B6CB0</w:t>
            </w:r>
          </w:p>
        </w:tc>
        <w:tc>
          <w:tcPr>
            <w:tcW w:type="dxa" w:w="2880"/>
          </w:tcPr>
          <w:p>
            <w:r>
              <w:rPr>
                <w:sz w:val="18"/>
              </w:rPr>
              <w:t>43, 108, 176</w:t>
            </w:r>
          </w:p>
        </w:tc>
      </w:tr>
      <w:tr>
        <w:tc>
          <w:tcPr>
            <w:tcW w:type="dxa" w:w="2880"/>
          </w:tcPr>
          <w:p>
            <w:r>
              <w:rPr>
                <w:sz w:val="18"/>
              </w:rPr>
              <w:t>Green (Positive)</w:t>
            </w:r>
          </w:p>
        </w:tc>
        <w:tc>
          <w:tcPr>
            <w:tcW w:type="dxa" w:w="2880"/>
          </w:tcPr>
          <w:p>
            <w:r>
              <w:rPr>
                <w:sz w:val="18"/>
              </w:rPr>
              <w:t>#48BB78</w:t>
            </w:r>
          </w:p>
        </w:tc>
        <w:tc>
          <w:tcPr>
            <w:tcW w:type="dxa" w:w="2880"/>
          </w:tcPr>
          <w:p>
            <w:r>
              <w:rPr>
                <w:sz w:val="18"/>
              </w:rPr>
              <w:t>72, 187, 120</w:t>
            </w:r>
          </w:p>
        </w:tc>
      </w:tr>
      <w:tr>
        <w:tc>
          <w:tcPr>
            <w:tcW w:type="dxa" w:w="2880"/>
          </w:tcPr>
          <w:p>
            <w:r>
              <w:rPr>
                <w:sz w:val="18"/>
              </w:rPr>
              <w:t>Amber (Medium)</w:t>
            </w:r>
          </w:p>
        </w:tc>
        <w:tc>
          <w:tcPr>
            <w:tcW w:type="dxa" w:w="2880"/>
          </w:tcPr>
          <w:p>
            <w:r>
              <w:rPr>
                <w:sz w:val="18"/>
              </w:rPr>
              <w:t>#D69E2E</w:t>
            </w:r>
          </w:p>
        </w:tc>
        <w:tc>
          <w:tcPr>
            <w:tcW w:type="dxa" w:w="2880"/>
          </w:tcPr>
          <w:p>
            <w:r>
              <w:rPr>
                <w:sz w:val="18"/>
              </w:rPr>
              <w:t>214, 158, 46</w:t>
            </w:r>
          </w:p>
        </w:tc>
      </w:tr>
      <w:tr>
        <w:tc>
          <w:tcPr>
            <w:tcW w:type="dxa" w:w="2880"/>
          </w:tcPr>
          <w:p>
            <w:r>
              <w:rPr>
                <w:sz w:val="18"/>
              </w:rPr>
              <w:t>Red (Negative)</w:t>
            </w:r>
          </w:p>
        </w:tc>
        <w:tc>
          <w:tcPr>
            <w:tcW w:type="dxa" w:w="2880"/>
          </w:tcPr>
          <w:p>
            <w:r>
              <w:rPr>
                <w:sz w:val="18"/>
              </w:rPr>
              <w:t>#E53E3E</w:t>
            </w:r>
          </w:p>
        </w:tc>
        <w:tc>
          <w:tcPr>
            <w:tcW w:type="dxa" w:w="2880"/>
          </w:tcPr>
          <w:p>
            <w:r>
              <w:rPr>
                <w:sz w:val="18"/>
              </w:rPr>
              <w:t>229, 62, 62</w:t>
            </w:r>
          </w:p>
        </w:tc>
      </w:tr>
      <w:tr>
        <w:tc>
          <w:tcPr>
            <w:tcW w:type="dxa" w:w="2880"/>
          </w:tcPr>
          <w:p>
            <w:r>
              <w:rPr>
                <w:sz w:val="18"/>
              </w:rPr>
              <w:t>Pos Background</w:t>
            </w:r>
          </w:p>
        </w:tc>
        <w:tc>
          <w:tcPr>
            <w:tcW w:type="dxa" w:w="2880"/>
          </w:tcPr>
          <w:p>
            <w:r>
              <w:rPr>
                <w:sz w:val="18"/>
              </w:rPr>
              <w:t>#d4edda</w:t>
            </w:r>
          </w:p>
        </w:tc>
        <w:tc>
          <w:tcPr>
            <w:tcW w:type="dxa" w:w="2880"/>
          </w:tcPr>
          <w:p>
            <w:r>
              <w:rPr>
                <w:sz w:val="18"/>
              </w:rPr>
              <w:t>212, 237, 218</w:t>
            </w:r>
          </w:p>
        </w:tc>
      </w:tr>
      <w:tr>
        <w:tc>
          <w:tcPr>
            <w:tcW w:type="dxa" w:w="2880"/>
          </w:tcPr>
          <w:p>
            <w:r>
              <w:rPr>
                <w:sz w:val="18"/>
              </w:rPr>
              <w:t>Neut Background</w:t>
            </w:r>
          </w:p>
        </w:tc>
        <w:tc>
          <w:tcPr>
            <w:tcW w:type="dxa" w:w="2880"/>
          </w:tcPr>
          <w:p>
            <w:r>
              <w:rPr>
                <w:sz w:val="18"/>
              </w:rPr>
              <w:t>#fff3cd</w:t>
            </w:r>
          </w:p>
        </w:tc>
        <w:tc>
          <w:tcPr>
            <w:tcW w:type="dxa" w:w="2880"/>
          </w:tcPr>
          <w:p>
            <w:r>
              <w:rPr>
                <w:sz w:val="18"/>
              </w:rPr>
              <w:t>255, 243, 205</w:t>
            </w:r>
          </w:p>
        </w:tc>
      </w:tr>
      <w:tr>
        <w:tc>
          <w:tcPr>
            <w:tcW w:type="dxa" w:w="2880"/>
          </w:tcPr>
          <w:p>
            <w:r>
              <w:rPr>
                <w:sz w:val="18"/>
              </w:rPr>
              <w:t>Neg Background</w:t>
            </w:r>
          </w:p>
        </w:tc>
        <w:tc>
          <w:tcPr>
            <w:tcW w:type="dxa" w:w="2880"/>
          </w:tcPr>
          <w:p>
            <w:r>
              <w:rPr>
                <w:sz w:val="18"/>
              </w:rPr>
              <w:t>#f8d7da</w:t>
            </w:r>
          </w:p>
        </w:tc>
        <w:tc>
          <w:tcPr>
            <w:tcW w:type="dxa" w:w="2880"/>
          </w:tcPr>
          <w:p>
            <w:r>
              <w:rPr>
                <w:sz w:val="18"/>
              </w:rPr>
              <w:t>248, 215, 218</w:t>
            </w:r>
          </w:p>
        </w:tc>
      </w:tr>
      <w:tr>
        <w:tc>
          <w:tcPr>
            <w:tcW w:type="dxa" w:w="2880"/>
          </w:tcPr>
          <w:p>
            <w:r>
              <w:rPr>
                <w:sz w:val="18"/>
              </w:rPr>
              <w:t>X/Twitter Blue</w:t>
            </w:r>
          </w:p>
        </w:tc>
        <w:tc>
          <w:tcPr>
            <w:tcW w:type="dxa" w:w="2880"/>
          </w:tcPr>
          <w:p>
            <w:r>
              <w:rPr>
                <w:sz w:val="18"/>
              </w:rPr>
              <w:t>#1DA1F2</w:t>
            </w:r>
          </w:p>
        </w:tc>
        <w:tc>
          <w:tcPr>
            <w:tcW w:type="dxa" w:w="2880"/>
          </w:tcPr>
          <w:p>
            <w:r>
              <w:rPr>
                <w:sz w:val="18"/>
              </w:rPr>
              <w:t>29, 161, 242</w:t>
            </w:r>
          </w:p>
        </w:tc>
      </w:tr>
      <w:tr>
        <w:tc>
          <w:tcPr>
            <w:tcW w:type="dxa" w:w="2880"/>
          </w:tcPr>
          <w:p>
            <w:r>
              <w:rPr>
                <w:sz w:val="18"/>
              </w:rPr>
              <w:t>LinkedIn Blue</w:t>
            </w:r>
          </w:p>
        </w:tc>
        <w:tc>
          <w:tcPr>
            <w:tcW w:type="dxa" w:w="2880"/>
          </w:tcPr>
          <w:p>
            <w:r>
              <w:rPr>
                <w:sz w:val="18"/>
              </w:rPr>
              <w:t>#0A66C2</w:t>
            </w:r>
          </w:p>
        </w:tc>
        <w:tc>
          <w:tcPr>
            <w:tcW w:type="dxa" w:w="2880"/>
          </w:tcPr>
          <w:p>
            <w:r>
              <w:rPr>
                <w:sz w:val="18"/>
              </w:rPr>
              <w:t>10, 102, 194</w:t>
            </w:r>
          </w:p>
        </w:tc>
      </w:tr>
      <w:tr>
        <w:tc>
          <w:tcPr>
            <w:tcW w:type="dxa" w:w="2880"/>
          </w:tcPr>
          <w:p/>
        </w:tc>
        <w:tc>
          <w:tcPr>
            <w:tcW w:type="dxa" w:w="2880"/>
          </w:tcPr>
          <w:p/>
        </w:tc>
        <w:tc>
          <w:tcPr>
            <w:tcW w:type="dxa" w:w="2880"/>
          </w:tcPr>
          <w:p/>
        </w:tc>
      </w:tr>
    </w:tbl>
    <w:p/>
    <w:p>
      <w:pPr>
        <w:pStyle w:val="Heading2"/>
      </w:pPr>
      <w:r>
        <w:rPr>
          <w:color w:val="002147"/>
        </w:rPr>
        <w:t>Appendix B: Source Tier Definitions</w:t>
      </w:r>
    </w:p>
    <w:p>
      <w:r>
        <w:rPr>
          <w:b/>
          <w:color w:val="002147"/>
          <w:sz w:val="20"/>
        </w:rPr>
        <w:t>Tier 1 - Global Financial</w:t>
      </w:r>
    </w:p>
    <w:p>
      <w:r>
        <w:rPr>
          <w:sz w:val="20"/>
        </w:rPr>
        <w:t>Reuters, Bloomberg, Financial Times, Wall Street Journal, CNBC. These sources have global reach, professional editorial standards, and significant influence on market sentiment. Weight: 4x</w:t>
      </w:r>
    </w:p>
    <w:p>
      <w:r>
        <w:rPr>
          <w:b/>
          <w:color w:val="002147"/>
          <w:sz w:val="20"/>
        </w:rPr>
        <w:t>Tier 2 - Industry Leading</w:t>
      </w:r>
    </w:p>
    <w:p>
      <w:r>
        <w:rPr>
          <w:sz w:val="20"/>
        </w:rPr>
        <w:t>Established trade publications with dedicated editorial staff, national newspapers with business sections, reputable industry analysts. Weight: 2x</w:t>
      </w:r>
    </w:p>
    <w:p>
      <w:r>
        <w:rPr>
          <w:b/>
          <w:color w:val="002147"/>
          <w:sz w:val="20"/>
        </w:rPr>
        <w:t>Tier 3 - Regional/Specialist</w:t>
      </w:r>
    </w:p>
    <w:p>
      <w:r>
        <w:rPr>
          <w:sz w:val="20"/>
        </w:rPr>
        <w:t>Local newspapers, niche industry blogs with established readership, regional business journals. Weight: 1x</w:t>
      </w:r>
    </w:p>
    <w:p>
      <w:r>
        <w:rPr>
          <w:b/>
          <w:color w:val="002147"/>
          <w:sz w:val="20"/>
        </w:rPr>
        <w:t>Tier 4 - Social/Blogs</w:t>
      </w:r>
    </w:p>
    <w:p>
      <w:r>
        <w:rPr>
          <w:sz w:val="20"/>
        </w:rPr>
        <w:t>Individual social media posts, unverified blogs, forum discussions. Limited editorial oversight but useful for sentiment trends. Weight: 0.5x</w:t>
      </w:r>
    </w:p>
    <w:p/>
    <w:p>
      <w:pPr>
        <w:pStyle w:val="Heading2"/>
      </w:pPr>
      <w:r>
        <w:rPr>
          <w:color w:val="002147"/>
        </w:rPr>
        <w:t>Appendix C: Glossary</w:t>
      </w:r>
    </w:p>
    <w:p>
      <w:pPr>
        <w:pStyle w:val="ListBullet"/>
      </w:pPr>
      <w:r>
        <w:rPr>
          <w:b/>
          <w:sz w:val="20"/>
        </w:rPr>
        <w:t xml:space="preserve">Mention: </w:t>
      </w:r>
      <w:r>
        <w:rPr>
          <w:sz w:val="20"/>
        </w:rPr>
        <w:t>Any reference to the target company in a monitored source</w:t>
      </w:r>
    </w:p>
    <w:p>
      <w:pPr>
        <w:pStyle w:val="ListBullet"/>
      </w:pPr>
      <w:r>
        <w:rPr>
          <w:b/>
          <w:sz w:val="20"/>
        </w:rPr>
        <w:t xml:space="preserve">Sentiment Score: </w:t>
      </w:r>
      <w:r>
        <w:rPr>
          <w:sz w:val="20"/>
        </w:rPr>
        <w:t>Numerical rating (0-100) indicating the positivity/negativity of coverage</w:t>
      </w:r>
    </w:p>
    <w:p>
      <w:pPr>
        <w:pStyle w:val="ListBullet"/>
      </w:pPr>
      <w:r>
        <w:rPr>
          <w:b/>
          <w:sz w:val="20"/>
        </w:rPr>
        <w:t xml:space="preserve">Share of Voice: </w:t>
      </w:r>
      <w:r>
        <w:rPr>
          <w:sz w:val="20"/>
        </w:rPr>
        <w:t>Percentage of industry coverage captured by the target vs. competitors</w:t>
      </w:r>
    </w:p>
    <w:p>
      <w:pPr>
        <w:pStyle w:val="ListBullet"/>
      </w:pPr>
      <w:r>
        <w:rPr>
          <w:b/>
          <w:sz w:val="20"/>
        </w:rPr>
        <w:t xml:space="preserve">Moving Average: </w:t>
      </w:r>
      <w:r>
        <w:rPr>
          <w:sz w:val="20"/>
        </w:rPr>
        <w:t>Smoothed trend line calculated from average of previous 7 days</w:t>
      </w:r>
    </w:p>
    <w:p>
      <w:pPr>
        <w:pStyle w:val="ListBullet"/>
      </w:pPr>
      <w:r>
        <w:rPr>
          <w:b/>
          <w:sz w:val="20"/>
        </w:rPr>
        <w:t xml:space="preserve">Volume: </w:t>
      </w:r>
      <w:r>
        <w:rPr>
          <w:sz w:val="20"/>
        </w:rPr>
        <w:t>Count of mentions over a specified time period</w:t>
      </w:r>
    </w:p>
    <w:p>
      <w:pPr>
        <w:pStyle w:val="ListBullet"/>
      </w:pPr>
      <w:r>
        <w:rPr>
          <w:b/>
          <w:sz w:val="20"/>
        </w:rPr>
        <w:t xml:space="preserve">Inflection Point: </w:t>
      </w:r>
      <w:r>
        <w:rPr>
          <w:sz w:val="20"/>
        </w:rPr>
        <w:t>Date where sentiment trend changes direction significantly</w:t>
      </w:r>
    </w:p>
    <w:p>
      <w:pPr>
        <w:pStyle w:val="ListBullet"/>
      </w:pPr>
      <w:r>
        <w:rPr>
          <w:b/>
          <w:sz w:val="20"/>
        </w:rPr>
        <w:t xml:space="preserve">Reach: </w:t>
      </w:r>
      <w:r>
        <w:rPr>
          <w:sz w:val="20"/>
        </w:rPr>
        <w:t>Estimated audience size for a given mention</w:t>
      </w:r>
    </w:p>
    <w:p>
      <w:pPr>
        <w:pStyle w:val="ListBullet"/>
      </w:pPr>
      <w:r>
        <w:rPr>
          <w:b/>
          <w:sz w:val="20"/>
        </w:rPr>
        <w:t xml:space="preserve">Engagement: </w:t>
      </w:r>
      <w:r>
        <w:rPr>
          <w:sz w:val="20"/>
        </w:rPr>
        <w:t>Social media interactions (likes, shares, comments)</w:t>
      </w:r>
    </w:p>
    <w:p/>
    <w:p/>
    <w:p>
      <w:pPr>
        <w:jc w:val="center"/>
      </w:pPr>
      <w:r>
        <w:rPr>
          <w:color w:val="646464"/>
          <w:sz w:val="22"/>
        </w:rPr>
        <w:t>--- END OF DOCUMENT ---</w:t>
      </w:r>
    </w:p>
    <w:p/>
    <w:p>
      <w:pPr>
        <w:jc w:val="center"/>
      </w:pPr>
      <w:r>
        <w:rPr>
          <w:color w:val="969696"/>
          <w:sz w:val="18"/>
        </w:rPr>
        <w:t>Document Version: 1.0</w:t>
      </w:r>
    </w:p>
    <w:p>
      <w:pPr>
        <w:jc w:val="center"/>
      </w:pPr>
      <w:r>
        <w:rPr>
          <w:color w:val="969696"/>
          <w:sz w:val="18"/>
        </w:rPr>
        <w:t>Date: April 2026</w:t>
      </w:r>
    </w:p>
    <w:p>
      <w:pPr>
        <w:jc w:val="center"/>
      </w:pPr>
      <w:r>
        <w:rPr>
          <w:color w:val="969696"/>
          <w:sz w:val="18"/>
        </w:rPr>
        <w:t>Manu Forti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