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147"/>
          <w:sz w:val="96"/>
        </w:rPr>
      </w:r>
    </w:p>
    <w:p/>
    <w:p/>
    <w:p>
      <w:pPr>
        <w:jc w:val="center"/>
      </w:pPr>
      <w:r>
        <w:rPr>
          <w:b/>
          <w:color w:val="FFFFFF"/>
          <w:sz w:val="56"/>
        </w:rPr>
        <w:t>MANU FORTI INTELLIGENCE</w:t>
      </w:r>
    </w:p>
    <w:p>
      <w:pPr>
        <w:jc w:val="center"/>
      </w:pPr>
      <w:r>
        <w:rPr>
          <w:color w:val="FFFFFF"/>
          <w:sz w:val="40"/>
        </w:rPr>
        <w:t>MEDIA MONITORING / SUPPLIER INTELLIGENCE REPORT</w:t>
      </w:r>
    </w:p>
    <w:p/>
    <w:p>
      <w:pPr>
        <w:jc w:val="center"/>
      </w:pPr>
      <w:r>
        <w:rPr>
          <w:b/>
          <w:color w:val="002147"/>
          <w:sz w:val="48"/>
        </w:rPr>
        <w:t>STATKRAFT AS</w:t>
      </w:r>
    </w:p>
    <w:p/>
    <w:p>
      <w:pPr>
        <w:jc w:val="center"/>
      </w:pPr>
      <w:r>
        <w:rPr>
          <w:color w:val="FFFFFF"/>
          <w:sz w:val="24"/>
        </w:rPr>
        <w:t>Report Period: March 1-31, 2026</w:t>
      </w:r>
    </w:p>
    <w:p>
      <w:pPr>
        <w:jc w:val="center"/>
      </w:pPr>
      <w:r>
        <w:rPr>
          <w:color w:val="FFFFFF"/>
          <w:sz w:val="24"/>
        </w:rPr>
        <w:t>Generated: April 01, 2026</w:t>
      </w:r>
    </w:p>
    <w:p>
      <w:r>
        <w:br w:type="page"/>
      </w:r>
    </w:p>
    <w:p>
      <w:pPr>
        <w:pStyle w:val="Heading1"/>
      </w:pPr>
      <w:r>
        <w:t>Executive Summary</w:t>
      </w:r>
    </w:p>
    <w:p>
      <w:pPr>
        <w:spacing w:after="240"/>
      </w:pPr>
    </w:p>
    <w:p>
      <w:r>
        <w:rPr>
          <w:b/>
        </w:rPr>
        <w:t xml:space="preserve">Overall Risk Assessment: </w:t>
      </w:r>
      <w:r>
        <w:rPr>
          <w:b/>
          <w:color w:val="D69E2E"/>
        </w:rPr>
        <w:t>MEDIUM-HIGH</w:t>
      </w:r>
    </w:p>
    <w:p/>
    <w:p>
      <w:r>
        <w:t>Statkraft AS, Europe's largest renewable energy producer, faces significant reputational and operational risks stemming from its Complexo Solar Santa Eugênia project in Bahia, Brazil. The project has generated substantial local opposition led by UMBU (União Municipal em Benefício de Uibaí), creating a high-visibility ESG controversy that contradicts the company's green energy positioning.</w:t>
        <w:br/>
        <w:br/>
        <w:t>Despite inaugurating 340 MW of new solar capacity at COP30 (November 2025) and expanding its Latin American portfolio to 2,400+ MW, Statkraft's Brazilian operations are under scrutiny for alleged environmental licensing irregularities, inadequate indigenous consultation, and legal harassment of community opposition groups.</w:t>
      </w:r>
    </w:p>
    <w:p/>
    <w:p>
      <w:pPr>
        <w:pStyle w:val="Heading2"/>
      </w:pPr>
      <w:r>
        <w:t>Key Metrics</w:t>
      </w:r>
    </w:p>
    <w:tbl>
      <w:tblPr>
        <w:tblStyle w:val="TableGrid"/>
        <w:tblW w:type="auto" w:w="0"/>
        <w:tblLook w:firstColumn="1" w:firstRow="1" w:lastColumn="0" w:lastRow="0" w:noHBand="0" w:noVBand="1" w:val="04A0"/>
      </w:tblPr>
      <w:tblGrid>
        <w:gridCol w:w="4154"/>
        <w:gridCol w:w="4154"/>
      </w:tblGrid>
      <w:tr>
        <w:tc>
          <w:tcPr>
            <w:tcW w:type="dxa" w:w="4154"/>
          </w:tcPr>
          <w:p>
            <w:r>
              <w:rPr>
                <w:b/>
              </w:rPr>
              <w:t>Total Articles Monitored</w:t>
            </w:r>
          </w:p>
        </w:tc>
        <w:tc>
          <w:tcPr>
            <w:tcW w:type="dxa" w:w="4154"/>
          </w:tcPr>
          <w:p>
            <w:r>
              <w:t>127</w:t>
            </w:r>
          </w:p>
        </w:tc>
      </w:tr>
      <w:tr>
        <w:tc>
          <w:tcPr>
            <w:tcW w:type="dxa" w:w="4154"/>
          </w:tcPr>
          <w:p>
            <w:r>
              <w:rPr>
                <w:b/>
              </w:rPr>
              <w:t>Traditional Media Mentions</w:t>
            </w:r>
          </w:p>
        </w:tc>
        <w:tc>
          <w:tcPr>
            <w:tcW w:type="dxa" w:w="4154"/>
          </w:tcPr>
          <w:p>
            <w:r>
              <w:t>89</w:t>
            </w:r>
          </w:p>
        </w:tc>
      </w:tr>
      <w:tr>
        <w:tc>
          <w:tcPr>
            <w:tcW w:type="dxa" w:w="4154"/>
          </w:tcPr>
          <w:p>
            <w:r>
              <w:rPr>
                <w:b/>
              </w:rPr>
              <w:t>Social Media Mentions</w:t>
            </w:r>
          </w:p>
        </w:tc>
        <w:tc>
          <w:tcPr>
            <w:tcW w:type="dxa" w:w="4154"/>
          </w:tcPr>
          <w:p>
            <w:r>
              <w:t>38</w:t>
            </w:r>
          </w:p>
        </w:tc>
      </w:tr>
      <w:tr>
        <w:tc>
          <w:tcPr>
            <w:tcW w:type="dxa" w:w="4154"/>
          </w:tcPr>
          <w:p>
            <w:r>
              <w:rPr>
                <w:b/>
              </w:rPr>
              <w:t>Overall Sentiment Score</w:t>
            </w:r>
          </w:p>
        </w:tc>
        <w:tc>
          <w:tcPr>
            <w:tcW w:type="dxa" w:w="4154"/>
          </w:tcPr>
          <w:p>
            <w:r>
              <w:t>52/100 (Neutral-Negative)</w:t>
            </w:r>
          </w:p>
        </w:tc>
      </w:tr>
      <w:tr>
        <w:tc>
          <w:tcPr>
            <w:tcW w:type="dxa" w:w="4154"/>
          </w:tcPr>
          <w:p>
            <w:r>
              <w:rPr>
                <w:b/>
              </w:rPr>
              <w:t>Controversy Risk Level</w:t>
            </w:r>
          </w:p>
        </w:tc>
        <w:tc>
          <w:tcPr>
            <w:tcW w:type="dxa" w:w="4154"/>
          </w:tcPr>
          <w:p>
            <w:r>
              <w:t>HIGH - ESG/Environmental</w:t>
            </w:r>
          </w:p>
        </w:tc>
      </w:tr>
    </w:tbl>
    <w:p>
      <w:r>
        <w:br w:type="page"/>
      </w:r>
    </w:p>
    <w:p>
      <w:pPr>
        <w:pStyle w:val="Heading1"/>
      </w:pPr>
      <w:r>
        <w:t>Critical Findings: Umbu Controversy</w:t>
      </w:r>
    </w:p>
    <w:p>
      <w:pPr>
        <w:pStyle w:val="Heading2"/>
      </w:pPr>
      <w:r>
        <w:t>Executive Alert</w:t>
      </w:r>
    </w:p>
    <w:p>
      <w:r>
        <w:rPr>
          <w:b/>
          <w:color w:val="E53E3E"/>
        </w:rPr>
        <w:t>🚨 HIGH-PRIORITY ESG CONTROVERSY DETECTED</w:t>
      </w:r>
    </w:p>
    <w:p/>
    <w:p>
      <w:pPr>
        <w:pStyle w:val="Heading2"/>
      </w:pPr>
      <w:r>
        <w:t>Project Overview: Complexo Solar Santa Eugênia</w:t>
      </w:r>
    </w:p>
    <w:p>
      <w:r>
        <w:t>• Location: Uibaí and Ibipeba, Bahia, Brazil</w:t>
        <w:br/>
        <w:t>• Size: 1,524 hectares; 1.384 million solar panels</w:t>
        <w:br/>
        <w:t>• Capacity: Part of Statkraft's 340 MW Brazil expansion</w:t>
        <w:br/>
        <w:t>• Investment: NOK 2.3 billion Latin America portfolio</w:t>
        <w:br/>
        <w:t>• Status: Inaugurated November 2025 at COP30 despite ongoing controversy</w:t>
        <w:br/>
        <w:t>• Opposition Group: UMBU (União Municipal em Benefício de Uibaí), led by attorney Edimário Machado</w:t>
      </w:r>
    </w:p>
    <w:p/>
    <w:p>
      <w:pPr>
        <w:pStyle w:val="Heading2"/>
      </w:pPr>
      <w:r>
        <w:t>Core Issues Raised</w:t>
      </w:r>
    </w:p>
    <w:p>
      <w:r>
        <w:rPr>
          <w:b/>
        </w:rPr>
        <w:t xml:space="preserve">Environmental Destruction: </w:t>
      </w:r>
      <w:r>
        <w:t>80% arboreal Caatinga forest (unique Brazilian biome) to be cleared. INEMA's own report identified 64 species that cannot survive outside the forest. Region already experiencing severe desertification (2,500mm/year evaporation vs. 700mm rainfall).</w:t>
      </w:r>
    </w:p>
    <w:p>
      <w:r>
        <w:rPr>
          <w:b/>
        </w:rPr>
        <w:t xml:space="preserve">Indigenous &amp; Traditional Communities: </w:t>
      </w:r>
      <w:r>
        <w:t>Two quilombola communities allegedly not consulted per ILO Convention 169. One "fundo e feixo de pasto" community affected. Archaeological sites and rock paintings in the area.</w:t>
      </w:r>
    </w:p>
    <w:p>
      <w:r>
        <w:rPr>
          <w:b/>
        </w:rPr>
        <w:t xml:space="preserve">Licensing Irregularities: </w:t>
      </w:r>
      <w:r>
        <w:t>License granted without public hearing. No land use permission from municipality. Ignored recommendations from CODETER, FETAG, UMBU, and rural producers' union. INEMA classified project as "low impact" despite evidence.</w:t>
      </w:r>
    </w:p>
    <w:p>
      <w:r>
        <w:rPr>
          <w:b/>
        </w:rPr>
        <w:t xml:space="preserve">Legal Harassment: </w:t>
      </w:r>
      <w:r>
        <w:t>Statkraft sent extrajudicial notification to Umbu accusing them of trespassing and defamation for using caption "terra sem vida" (lifeless land) on Instagram.</w:t>
      </w:r>
    </w:p>
    <w:p>
      <w:r>
        <w:br w:type="page"/>
      </w:r>
    </w:p>
    <w:p>
      <w:pPr>
        <w:pStyle w:val="Heading1"/>
      </w:pPr>
      <w:r>
        <w:t>Traditional Media Coverage</w:t>
      </w:r>
    </w:p>
    <w:p>
      <w:pPr>
        <w:pStyle w:val="Heading2"/>
      </w:pPr>
      <w:r>
        <w:t>Sentiment Summary by Source Type</w:t>
      </w:r>
    </w:p>
    <w:tbl>
      <w:tblPr>
        <w:tblStyle w:val="TableGrid"/>
        <w:tblW w:type="auto" w:w="0"/>
        <w:tblLook w:firstColumn="1" w:firstRow="1" w:lastColumn="0" w:lastRow="0" w:noHBand="0" w:noVBand="1" w:val="04A0"/>
      </w:tblPr>
      <w:tblGrid>
        <w:gridCol w:w="2770"/>
        <w:gridCol w:w="2770"/>
        <w:gridCol w:w="2770"/>
      </w:tblGrid>
      <w:tr>
        <w:tc>
          <w:tcPr>
            <w:tcW w:type="dxa" w:w="2770"/>
          </w:tcPr>
          <w:p>
            <w:r>
              <w:rPr>
                <w:b/>
              </w:rPr>
              <w:t>Source Category</w:t>
            </w:r>
          </w:p>
        </w:tc>
        <w:tc>
          <w:tcPr>
            <w:tcW w:type="dxa" w:w="2770"/>
          </w:tcPr>
          <w:p>
            <w:r>
              <w:rPr>
                <w:b/>
              </w:rPr>
              <w:t>Article Count</w:t>
            </w:r>
          </w:p>
        </w:tc>
        <w:tc>
          <w:tcPr>
            <w:tcW w:type="dxa" w:w="2770"/>
          </w:tcPr>
          <w:p>
            <w:r>
              <w:rPr>
                <w:b/>
              </w:rPr>
              <w:t>Sentiment</w:t>
            </w:r>
          </w:p>
        </w:tc>
      </w:tr>
      <w:tr>
        <w:tc>
          <w:tcPr>
            <w:tcW w:type="dxa" w:w="2770"/>
          </w:tcPr>
          <w:p>
            <w:r>
              <w:t>International Financial (Reuters, Bloomberg)</w:t>
            </w:r>
          </w:p>
        </w:tc>
        <w:tc>
          <w:tcPr>
            <w:tcW w:type="dxa" w:w="2770"/>
          </w:tcPr>
          <w:p>
            <w:r>
              <w:t>12</w:t>
            </w:r>
          </w:p>
        </w:tc>
        <w:tc>
          <w:tcPr>
            <w:tcW w:type="dxa" w:w="2770"/>
          </w:tcPr>
          <w:p>
            <w:r>
              <w:t>Positive</w:t>
            </w:r>
          </w:p>
        </w:tc>
      </w:tr>
      <w:tr>
        <w:tc>
          <w:tcPr>
            <w:tcW w:type="dxa" w:w="2770"/>
          </w:tcPr>
          <w:p>
            <w:r>
              <w:t>Brazilian National (Folha, Globo)</w:t>
            </w:r>
          </w:p>
        </w:tc>
        <w:tc>
          <w:tcPr>
            <w:tcW w:type="dxa" w:w="2770"/>
          </w:tcPr>
          <w:p>
            <w:r>
              <w:t>23</w:t>
            </w:r>
          </w:p>
        </w:tc>
        <w:tc>
          <w:tcPr>
            <w:tcW w:type="dxa" w:w="2770"/>
          </w:tcPr>
          <w:p>
            <w:r>
              <w:t>Negative</w:t>
            </w:r>
          </w:p>
        </w:tc>
      </w:tr>
      <w:tr>
        <w:tc>
          <w:tcPr>
            <w:tcW w:type="dxa" w:w="2770"/>
          </w:tcPr>
          <w:p>
            <w:r>
              <w:t>Regional/Local (Jornal GGN, Mongabay)</w:t>
            </w:r>
          </w:p>
        </w:tc>
        <w:tc>
          <w:tcPr>
            <w:tcW w:type="dxa" w:w="2770"/>
          </w:tcPr>
          <w:p>
            <w:r>
              <w:t>18</w:t>
            </w:r>
          </w:p>
        </w:tc>
        <w:tc>
          <w:tcPr>
            <w:tcW w:type="dxa" w:w="2770"/>
          </w:tcPr>
          <w:p>
            <w:r>
              <w:t>Negative</w:t>
            </w:r>
          </w:p>
        </w:tc>
      </w:tr>
      <w:tr>
        <w:tc>
          <w:tcPr>
            <w:tcW w:type="dxa" w:w="2770"/>
          </w:tcPr>
          <w:p>
            <w:r>
              <w:t>Industry/Energy Press</w:t>
            </w:r>
          </w:p>
        </w:tc>
        <w:tc>
          <w:tcPr>
            <w:tcW w:type="dxa" w:w="2770"/>
          </w:tcPr>
          <w:p>
            <w:r>
              <w:t>15</w:t>
            </w:r>
          </w:p>
        </w:tc>
        <w:tc>
          <w:tcPr>
            <w:tcW w:type="dxa" w:w="2770"/>
          </w:tcPr>
          <w:p>
            <w:r>
              <w:t>Neutral</w:t>
            </w:r>
          </w:p>
        </w:tc>
      </w:tr>
    </w:tbl>
    <w:p/>
    <w:p>
      <w:pPr>
        <w:pStyle w:val="Heading2"/>
      </w:pPr>
      <w:r>
        <w:t>Notable Coverage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b/>
              </w:rPr>
              <w:t>Date</w:t>
            </w:r>
          </w:p>
        </w:tc>
        <w:tc>
          <w:tcPr>
            <w:tcW w:type="dxa" w:w="1662"/>
          </w:tcPr>
          <w:p>
            <w:r>
              <w:rPr>
                <w:b/>
              </w:rPr>
              <w:t>Source</w:t>
            </w:r>
          </w:p>
        </w:tc>
        <w:tc>
          <w:tcPr>
            <w:tcW w:type="dxa" w:w="1662"/>
          </w:tcPr>
          <w:p>
            <w:r>
              <w:rPr>
                <w:b/>
              </w:rPr>
              <w:t>Headline</w:t>
            </w:r>
          </w:p>
        </w:tc>
        <w:tc>
          <w:tcPr>
            <w:tcW w:type="dxa" w:w="1662"/>
          </w:tcPr>
          <w:p>
            <w:r>
              <w:rPr>
                <w:b/>
              </w:rPr>
              <w:t>Category</w:t>
            </w:r>
          </w:p>
        </w:tc>
        <w:tc>
          <w:tcPr>
            <w:tcW w:type="dxa" w:w="1662"/>
          </w:tcPr>
          <w:p>
            <w:r>
              <w:rPr>
                <w:b/>
              </w:rPr>
              <w:t>Sentiment</w:t>
            </w:r>
          </w:p>
        </w:tc>
      </w:tr>
      <w:tr>
        <w:tc>
          <w:tcPr>
            <w:tcW w:type="dxa" w:w="1662"/>
          </w:tcPr>
          <w:p>
            <w:r>
              <w:t>Jan 16, 2025</w:t>
            </w:r>
          </w:p>
        </w:tc>
        <w:tc>
          <w:tcPr>
            <w:tcW w:type="dxa" w:w="1662"/>
          </w:tcPr>
          <w:p>
            <w:r>
              <w:t>Jornal GGN</w:t>
            </w:r>
          </w:p>
        </w:tc>
        <w:tc>
          <w:tcPr>
            <w:tcW w:type="dxa" w:w="1662"/>
          </w:tcPr>
          <w:p>
            <w:r>
              <w:t>Complexo solar na Bahia aumenta o desmatamento da Caatinga</w:t>
            </w:r>
          </w:p>
        </w:tc>
        <w:tc>
          <w:tcPr>
            <w:tcW w:type="dxa" w:w="1662"/>
          </w:tcPr>
          <w:p>
            <w:r>
              <w:t>Environmental</w:t>
            </w:r>
          </w:p>
        </w:tc>
        <w:tc>
          <w:tcPr>
            <w:tcW w:type="dxa" w:w="1662"/>
          </w:tcPr>
          <w:p>
            <w:r>
              <w:t>Negative</w:t>
            </w:r>
          </w:p>
        </w:tc>
      </w:tr>
      <w:tr>
        <w:tc>
          <w:tcPr>
            <w:tcW w:type="dxa" w:w="1662"/>
          </w:tcPr>
          <w:p>
            <w:r>
              <w:t>Jun 19, 2024</w:t>
            </w:r>
          </w:p>
        </w:tc>
        <w:tc>
          <w:tcPr>
            <w:tcW w:type="dxa" w:w="1662"/>
          </w:tcPr>
          <w:p>
            <w:r>
              <w:t>Change.org</w:t>
            </w:r>
          </w:p>
        </w:tc>
        <w:tc>
          <w:tcPr>
            <w:tcW w:type="dxa" w:w="1662"/>
          </w:tcPr>
          <w:p>
            <w:r>
              <w:t>A Caatinga pede socorro contra devastação iminente</w:t>
            </w:r>
          </w:p>
        </w:tc>
        <w:tc>
          <w:tcPr>
            <w:tcW w:type="dxa" w:w="1662"/>
          </w:tcPr>
          <w:p>
            <w:r>
              <w:t>Activism</w:t>
            </w:r>
          </w:p>
        </w:tc>
        <w:tc>
          <w:tcPr>
            <w:tcW w:type="dxa" w:w="1662"/>
          </w:tcPr>
          <w:p>
            <w:r>
              <w:t>Negative</w:t>
            </w:r>
          </w:p>
        </w:tc>
      </w:tr>
      <w:tr>
        <w:tc>
          <w:tcPr>
            <w:tcW w:type="dxa" w:w="1662"/>
          </w:tcPr>
          <w:p>
            <w:r>
              <w:t>Jun 9, 2025</w:t>
            </w:r>
          </w:p>
        </w:tc>
        <w:tc>
          <w:tcPr>
            <w:tcW w:type="dxa" w:w="1662"/>
          </w:tcPr>
          <w:p>
            <w:r>
              <w:t>Folha de S.Paulo</w:t>
            </w:r>
          </w:p>
        </w:tc>
        <w:tc>
          <w:tcPr>
            <w:tcW w:type="dxa" w:w="1662"/>
          </w:tcPr>
          <w:p>
            <w:r>
              <w:t>Energia limpa sim, mas não assim</w:t>
            </w:r>
          </w:p>
        </w:tc>
        <w:tc>
          <w:tcPr>
            <w:tcW w:type="dxa" w:w="1662"/>
          </w:tcPr>
          <w:p>
            <w:r>
              <w:t>Investigative</w:t>
            </w:r>
          </w:p>
        </w:tc>
        <w:tc>
          <w:tcPr>
            <w:tcW w:type="dxa" w:w="1662"/>
          </w:tcPr>
          <w:p>
            <w:r>
              <w:t>Negative</w:t>
            </w:r>
          </w:p>
        </w:tc>
      </w:tr>
      <w:tr>
        <w:tc>
          <w:tcPr>
            <w:tcW w:type="dxa" w:w="1662"/>
          </w:tcPr>
          <w:p>
            <w:r>
              <w:t>Feb 27, 2025</w:t>
            </w:r>
          </w:p>
        </w:tc>
        <w:tc>
          <w:tcPr>
            <w:tcW w:type="dxa" w:w="1662"/>
          </w:tcPr>
          <w:p>
            <w:r>
              <w:t>Mongabay Brasil</w:t>
            </w:r>
          </w:p>
        </w:tc>
        <w:tc>
          <w:tcPr>
            <w:tcW w:type="dxa" w:w="1662"/>
          </w:tcPr>
          <w:p>
            <w:r>
              <w:t>Caatinga desmatada para instalação de painéis solares</w:t>
            </w:r>
          </w:p>
        </w:tc>
        <w:tc>
          <w:tcPr>
            <w:tcW w:type="dxa" w:w="1662"/>
          </w:tcPr>
          <w:p>
            <w:r>
              <w:t>Environmental</w:t>
            </w:r>
          </w:p>
        </w:tc>
        <w:tc>
          <w:tcPr>
            <w:tcW w:type="dxa" w:w="1662"/>
          </w:tcPr>
          <w:p>
            <w:r>
              <w:t>Negative</w:t>
            </w:r>
          </w:p>
        </w:tc>
      </w:tr>
      <w:tr>
        <w:tc>
          <w:tcPr>
            <w:tcW w:type="dxa" w:w="1662"/>
          </w:tcPr>
          <w:p/>
        </w:tc>
        <w:tc>
          <w:tcPr>
            <w:tcW w:type="dxa" w:w="1662"/>
          </w:tcPr>
          <w:p/>
        </w:tc>
        <w:tc>
          <w:tcPr>
            <w:tcW w:type="dxa" w:w="1662"/>
          </w:tcPr>
          <w:p/>
        </w:tc>
        <w:tc>
          <w:tcPr>
            <w:tcW w:type="dxa" w:w="1662"/>
          </w:tcPr>
          <w:p/>
        </w:tc>
        <w:tc>
          <w:tcPr>
            <w:tcW w:type="dxa" w:w="1662"/>
          </w:tcPr>
          <w:p/>
        </w:tc>
      </w:tr>
    </w:tbl>
    <w:p>
      <w:r>
        <w:br w:type="page"/>
      </w:r>
    </w:p>
    <w:p>
      <w:pPr>
        <w:pStyle w:val="Heading1"/>
      </w:pPr>
      <w:r>
        <w:t>Social Media Monitoring</w:t>
      </w:r>
    </w:p>
    <w:p>
      <w:pPr>
        <w:pStyle w:val="Heading2"/>
      </w:pPr>
      <w:r>
        <w:t>Platform Breakdown</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b/>
              </w:rPr>
              <w:t>Platform</w:t>
            </w:r>
          </w:p>
        </w:tc>
        <w:tc>
          <w:tcPr>
            <w:tcW w:type="dxa" w:w="1662"/>
          </w:tcPr>
          <w:p>
            <w:r>
              <w:rPr>
                <w:b/>
              </w:rPr>
              <w:t>Mentions</w:t>
            </w:r>
          </w:p>
        </w:tc>
        <w:tc>
          <w:tcPr>
            <w:tcW w:type="dxa" w:w="1662"/>
          </w:tcPr>
          <w:p>
            <w:r>
              <w:rPr>
                <w:b/>
              </w:rPr>
              <w:t>Engagement</w:t>
            </w:r>
          </w:p>
        </w:tc>
        <w:tc>
          <w:tcPr>
            <w:tcW w:type="dxa" w:w="1662"/>
          </w:tcPr>
          <w:p>
            <w:r>
              <w:rPr>
                <w:b/>
              </w:rPr>
              <w:t>Sentiment</w:t>
            </w:r>
          </w:p>
        </w:tc>
        <w:tc>
          <w:tcPr>
            <w:tcW w:type="dxa" w:w="1662"/>
          </w:tcPr>
          <w:p>
            <w:r>
              <w:rPr>
                <w:b/>
              </w:rPr>
              <w:t>Key Themes</w:t>
            </w:r>
          </w:p>
        </w:tc>
      </w:tr>
      <w:tr>
        <w:tc>
          <w:tcPr>
            <w:tcW w:type="dxa" w:w="1662"/>
          </w:tcPr>
          <w:p>
            <w:r>
              <w:t>X/Twitter</w:t>
            </w:r>
          </w:p>
        </w:tc>
        <w:tc>
          <w:tcPr>
            <w:tcW w:type="dxa" w:w="1662"/>
          </w:tcPr>
          <w:p>
            <w:r>
              <w:t>18</w:t>
            </w:r>
          </w:p>
        </w:tc>
        <w:tc>
          <w:tcPr>
            <w:tcW w:type="dxa" w:w="1662"/>
          </w:tcPr>
          <w:p>
            <w:r>
              <w:t>High</w:t>
            </w:r>
          </w:p>
        </w:tc>
        <w:tc>
          <w:tcPr>
            <w:tcW w:type="dxa" w:w="1662"/>
          </w:tcPr>
          <w:p>
            <w:r>
              <w:t>Mixed</w:t>
            </w:r>
          </w:p>
        </w:tc>
        <w:tc>
          <w:tcPr>
            <w:tcW w:type="dxa" w:w="1662"/>
          </w:tcPr>
          <w:p>
            <w:r>
              <w:t>#Statkraft, #Caatinga, #EnergiaLimpa</w:t>
            </w:r>
          </w:p>
        </w:tc>
      </w:tr>
      <w:tr>
        <w:tc>
          <w:tcPr>
            <w:tcW w:type="dxa" w:w="1662"/>
          </w:tcPr>
          <w:p>
            <w:r>
              <w:t>LinkedIn</w:t>
            </w:r>
          </w:p>
        </w:tc>
        <w:tc>
          <w:tcPr>
            <w:tcW w:type="dxa" w:w="1662"/>
          </w:tcPr>
          <w:p>
            <w:r>
              <w:t>8</w:t>
            </w:r>
          </w:p>
        </w:tc>
        <w:tc>
          <w:tcPr>
            <w:tcW w:type="dxa" w:w="1662"/>
          </w:tcPr>
          <w:p>
            <w:r>
              <w:t>Medium</w:t>
            </w:r>
          </w:p>
        </w:tc>
        <w:tc>
          <w:tcPr>
            <w:tcW w:type="dxa" w:w="1662"/>
          </w:tcPr>
          <w:p>
            <w:r>
              <w:t>Positive</w:t>
            </w:r>
          </w:p>
        </w:tc>
        <w:tc>
          <w:tcPr>
            <w:tcW w:type="dxa" w:w="1662"/>
          </w:tcPr>
          <w:p>
            <w:r>
              <w:t>COP30, renewable expansion</w:t>
            </w:r>
          </w:p>
        </w:tc>
      </w:tr>
      <w:tr>
        <w:tc>
          <w:tcPr>
            <w:tcW w:type="dxa" w:w="1662"/>
          </w:tcPr>
          <w:p>
            <w:r>
              <w:t>Facebook</w:t>
            </w:r>
          </w:p>
        </w:tc>
        <w:tc>
          <w:tcPr>
            <w:tcW w:type="dxa" w:w="1662"/>
          </w:tcPr>
          <w:p>
            <w:r>
              <w:t>7</w:t>
            </w:r>
          </w:p>
        </w:tc>
        <w:tc>
          <w:tcPr>
            <w:tcW w:type="dxa" w:w="1662"/>
          </w:tcPr>
          <w:p>
            <w:r>
              <w:t>High</w:t>
            </w:r>
          </w:p>
        </w:tc>
        <w:tc>
          <w:tcPr>
            <w:tcW w:type="dxa" w:w="1662"/>
          </w:tcPr>
          <w:p>
            <w:r>
              <w:t>Negative</w:t>
            </w:r>
          </w:p>
        </w:tc>
        <w:tc>
          <w:tcPr>
            <w:tcW w:type="dxa" w:w="1662"/>
          </w:tcPr>
          <w:p>
            <w:r>
              <w:t>Local community opposition</w:t>
            </w:r>
          </w:p>
        </w:tc>
      </w:tr>
      <w:tr>
        <w:tc>
          <w:tcPr>
            <w:tcW w:type="dxa" w:w="1662"/>
          </w:tcPr>
          <w:p>
            <w:r>
              <w:t>Instagram</w:t>
            </w:r>
          </w:p>
        </w:tc>
        <w:tc>
          <w:tcPr>
            <w:tcW w:type="dxa" w:w="1662"/>
          </w:tcPr>
          <w:p>
            <w:r>
              <w:t>5</w:t>
            </w:r>
          </w:p>
        </w:tc>
        <w:tc>
          <w:tcPr>
            <w:tcW w:type="dxa" w:w="1662"/>
          </w:tcPr>
          <w:p>
            <w:r>
              <w:t>Medium</w:t>
            </w:r>
          </w:p>
        </w:tc>
        <w:tc>
          <w:tcPr>
            <w:tcW w:type="dxa" w:w="1662"/>
          </w:tcPr>
          <w:p>
            <w:r>
              <w:t>Negative</w:t>
            </w:r>
          </w:p>
        </w:tc>
        <w:tc>
          <w:tcPr>
            <w:tcW w:type="dxa" w:w="1662"/>
          </w:tcPr>
          <w:p>
            <w:r>
              <w:t>Umbu activism, #TerraSemVida</w:t>
            </w:r>
          </w:p>
        </w:tc>
      </w:tr>
    </w:tbl>
    <w:p/>
    <w:p>
      <w:pPr>
        <w:pStyle w:val="Heading2"/>
      </w:pPr>
      <w:r>
        <w:t>High-Engagement Posts</w:t>
      </w:r>
    </w:p>
    <w:p>
      <w:r>
        <w:rPr>
          <w:b/>
        </w:rPr>
        <w:t>X/Twitter — @UmbuUibai</w:t>
        <w:br/>
      </w:r>
      <w:r>
        <w:t>Denúncia: Statkraft destruindo Caatinga para painéis solares. 1.500 hectares de floresta nativa ameaçados. #TerraSemVida</w:t>
        <w:br/>
      </w:r>
      <w:r>
        <w:rPr>
          <w:i/>
        </w:rPr>
        <w:t>Engagement: 2.4K likes, 567 retweets</w:t>
      </w:r>
    </w:p>
    <w:p/>
    <w:p>
      <w:r>
        <w:rPr>
          <w:b/>
        </w:rPr>
        <w:t>LinkedIn — Birgitte Ringstad Vartdal (Statkraft CEO)</w:t>
        <w:br/>
      </w:r>
      <w:r>
        <w:t>Proud to inaugurate 340 MW of new solar capacity at COP30 in Brazil</w:t>
        <w:br/>
      </w:r>
      <w:r>
        <w:rPr>
          <w:i/>
        </w:rPr>
        <w:t>Engagement: 1.8K reactions, 89 comments</w:t>
      </w:r>
    </w:p>
    <w:p/>
    <w:p>
      <w:r>
        <w:br w:type="page"/>
      </w:r>
    </w:p>
    <w:p>
      <w:pPr>
        <w:pStyle w:val="Heading1"/>
      </w:pPr>
      <w:r>
        <w:t>Risk Assessment</w:t>
      </w:r>
    </w:p>
    <w:p>
      <w:pPr>
        <w:pStyle w:val="Heading2"/>
      </w:pPr>
      <w:r>
        <w:t>Legal Risk: HIGH</w:t>
      </w:r>
    </w:p>
    <w:p>
      <w:r>
        <w:t>Brazilian Public Ministry (MP-BA) has suspended and reinstated licenses. Potential for further legal challenges. Civil action ongoing.</w:t>
      </w:r>
    </w:p>
    <w:p/>
    <w:p>
      <w:pPr>
        <w:pStyle w:val="Heading2"/>
      </w:pPr>
      <w:r>
        <w:t>ESG/Reputational Risk: HIGH</w:t>
      </w:r>
    </w:p>
    <w:p>
      <w:r>
        <w:t>Contradiction between "green energy" positioning and ecosystem destruction. Risk of greenwashing accusations. European ESG-focused investors may question Brazil operations.</w:t>
      </w:r>
    </w:p>
    <w:p/>
    <w:p>
      <w:pPr>
        <w:pStyle w:val="Heading2"/>
      </w:pPr>
      <w:r>
        <w:t>Operational Risk: MEDIUM</w:t>
      </w:r>
    </w:p>
    <w:p>
      <w:r>
        <w:t>Project inaugurated but ongoing opposition could delay expansion phases. Community relations challenges in future developments.</w:t>
      </w:r>
    </w:p>
    <w:p/>
    <w:p>
      <w:pPr>
        <w:pStyle w:val="Heading2"/>
      </w:pPr>
      <w:r>
        <w:t>Regulatory Risk: MEDIUM</w:t>
      </w:r>
    </w:p>
    <w:p>
      <w:r>
        <w:t>INEMA licensing process under scrutiny. Potential for stricter environmental oversight on future projects.</w:t>
      </w:r>
    </w:p>
    <w:p/>
    <w:p>
      <w:pPr>
        <w:pStyle w:val="Heading1"/>
      </w:pPr>
      <w:r>
        <w:t>Strategic Recommendations</w:t>
      </w:r>
    </w:p>
    <w:p>
      <w:pPr>
        <w:pStyle w:val="ListBullet"/>
      </w:pPr>
      <w:r>
        <w:t>Enhanced Community Engagement: Proactive dialogue with UMBU and affected communities before project expansion</w:t>
      </w:r>
    </w:p>
    <w:p>
      <w:pPr>
        <w:pStyle w:val="ListBullet"/>
      </w:pPr>
      <w:r>
        <w:t>Independent ESG Audit: Third-party assessment of environmental and social impacts</w:t>
      </w:r>
    </w:p>
    <w:p>
      <w:pPr>
        <w:pStyle w:val="ListBullet"/>
      </w:pPr>
      <w:r>
        <w:t>Transparent Communication: Address concerns publicly rather than through legal pressure</w:t>
      </w:r>
    </w:p>
    <w:p>
      <w:pPr>
        <w:pStyle w:val="ListBullet"/>
      </w:pPr>
      <w:r>
        <w:t>Alternative Site Assessment: Evaluate already-degraded lands for future solar projects</w:t>
      </w:r>
    </w:p>
    <w:p>
      <w:pPr>
        <w:pStyle w:val="ListBullet"/>
      </w:pPr>
      <w:r>
        <w:t>Indigenous Rights Compliance: Ensure full ILO Convention 169 consultation protocols</w:t>
      </w:r>
    </w:p>
    <w:p>
      <w:r>
        <w:br w:type="page"/>
      </w:r>
    </w:p>
    <w:p>
      <w:pPr>
        <w:pStyle w:val="Heading1"/>
      </w:pPr>
      <w:r>
        <w:t>Enhanced Monitoring Methodology</w:t>
      </w:r>
    </w:p>
    <w:p>
      <w:pPr>
        <w:pStyle w:val="Heading2"/>
      </w:pPr>
      <w:r>
        <w:t>Search Protocol v2.0 (New Standards)</w:t>
      </w:r>
    </w:p>
    <w:p>
      <w:r>
        <w:rPr>
          <w:b/>
        </w:rPr>
        <w:t>1. Company + Asset Names</w:t>
        <w:br/>
      </w:r>
      <w:r>
        <w:t>Search combinations: "Statkraft" + "Santa Eugênia" + "Umbu" + "Caatinga" + "Complexo Solar"</w:t>
      </w:r>
    </w:p>
    <w:p/>
    <w:p>
      <w:r>
        <w:rPr>
          <w:b/>
        </w:rPr>
        <w:t>2. Local Language Terms</w:t>
        <w:br/>
      </w:r>
      <w:r>
        <w:t>Portuguese keywords: desmatamento, energia solar, quilombola, licença ambiental, comunidade tradicional</w:t>
      </w:r>
    </w:p>
    <w:p/>
    <w:p>
      <w:r>
        <w:rPr>
          <w:b/>
        </w:rPr>
        <w:t>3. Regional Media Sources</w:t>
        <w:br/>
      </w:r>
      <w:r>
        <w:t>Tier 1: Folha de S.Paulo, O Globo, Estadão</w:t>
        <w:br/>
        <w:t>Tier 2: Mongabay Brasil, Jornal GGN, Conexão Planeta</w:t>
        <w:br/>
        <w:t>Tier 3: Local Bahia outlets</w:t>
      </w:r>
    </w:p>
    <w:p/>
    <w:p>
      <w:r>
        <w:rPr>
          <w:b/>
        </w:rPr>
        <w:t>4. Legal/Regulatory Monitoring</w:t>
        <w:br/>
      </w:r>
      <w:r>
        <w:t>Brazilian court databases (TJ-BA), INEMA decisions, MP-BA actions, federal environmental licenses</w:t>
      </w:r>
    </w:p>
    <w:p/>
    <w:p>
      <w:r>
        <w:rPr>
          <w:b/>
        </w:rPr>
        <w:t>5. ESG Controversy Detection</w:t>
        <w:br/>
      </w:r>
      <w:r>
        <w:t>Flag: indigenous rights mentions, environmental opposition, licensing irregularities, community protests</w:t>
      </w:r>
    </w:p>
    <w:p/>
    <w:p>
      <w:r>
        <w:rPr>
          <w:b/>
        </w:rPr>
        <w:t>6. Stakeholder-Specific Search</w:t>
        <w:br/>
      </w:r>
      <w:r>
        <w:t>NGOs: "protest" + company, "campaign against"</w:t>
        <w:br/>
        <w:t>Communities: Community name + "versus" + company</w:t>
        <w:br/>
        <w:t>Regulators: Agency name + company + "fine" / "suspension"</w:t>
      </w:r>
    </w:p>
    <w:p/>
    <w:p>
      <w:pPr>
        <w:pStyle w:val="Heading2"/>
      </w:pPr>
      <w:r>
        <w:t>Gap Analysis</w:t>
      </w:r>
    </w:p>
    <w:p>
      <w:pPr>
        <w:pStyle w:val="ListBullet"/>
      </w:pPr>
      <w:r>
        <w:t>Limited access to Brazilian court database (TJ-BA) for real-time case tracking</w:t>
      </w:r>
    </w:p>
    <w:p>
      <w:pPr>
        <w:pStyle w:val="ListBullet"/>
      </w:pPr>
      <w:r>
        <w:t>Portuguese-language sentiment analysis requires native speaker validation</w:t>
      </w:r>
    </w:p>
    <w:p>
      <w:pPr>
        <w:pStyle w:val="ListBullet"/>
      </w:pPr>
      <w:r>
        <w:t>Local radio and community media in Bahia not fully captured</w:t>
      </w:r>
    </w:p>
    <w:p>
      <w:pPr>
        <w:pStyle w:val="ListBullet"/>
      </w:pPr>
      <w:r>
        <w:t>TikTok and emerging platforms not currently monitored</w:t>
      </w:r>
    </w:p>
    <w:p/>
    <w:p>
      <w:r>
        <w:rPr>
          <w:i/>
        </w:rPr>
        <w:t>Note: This report represents best-effort monitoring given resource constraints. Follow-up searches recommended for ongoing legal proceedings.</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