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2240"/>
      </w:tblGrid>
      <w:tr>
        <w:tc>
          <w:tcPr>
            <w:tcW w:type="dxa" w:w="8640"/>
            <w:shd w:fill="002147"/>
            <w:top w:val="nil"/>
            <w:left w:val="nil"/>
            <w:bottom w:val="nil"/>
            <w:right w:val="nil"/>
          </w:tcPr>
          <w:p/>
          <w:p/>
          <w:p/>
          <w:p>
            <w:pPr>
              <w:jc w:val="center"/>
            </w:pPr>
            <w:r>
              <w:drawing>
                <wp:inline xmlns:a="http://schemas.openxmlformats.org/drawingml/2006/main" xmlns:pic="http://schemas.openxmlformats.org/drawingml/2006/picture">
                  <wp:extent cx="1371600" cy="1684325"/>
                  <wp:docPr id="1" name="Picture 1"/>
                  <wp:cNvGraphicFramePr>
                    <a:graphicFrameLocks noChangeAspect="1"/>
                  </wp:cNvGraphicFramePr>
                  <a:graphic>
                    <a:graphicData uri="http://schemas.openxmlformats.org/drawingml/2006/picture">
                      <pic:pic>
                        <pic:nvPicPr>
                          <pic:cNvPr id="0" name="manu_forti_logo.png"/>
                          <pic:cNvPicPr/>
                        </pic:nvPicPr>
                        <pic:blipFill>
                          <a:blip r:embed="rId9"/>
                          <a:stretch>
                            <a:fillRect/>
                          </a:stretch>
                        </pic:blipFill>
                        <pic:spPr>
                          <a:xfrm>
                            <a:off x="0" y="0"/>
                            <a:ext cx="1371600" cy="1684325"/>
                          </a:xfrm>
                          <a:prstGeom prst="rect"/>
                        </pic:spPr>
                      </pic:pic>
                    </a:graphicData>
                  </a:graphic>
                </wp:inline>
              </w:drawing>
            </w:r>
          </w:p>
          <w:p/>
          <w:p>
            <w:pPr>
              <w:jc w:val="center"/>
            </w:pPr>
            <w:r>
              <w:rPr>
                <w:b/>
                <w:color w:val="FFFFFF"/>
                <w:sz w:val="56"/>
              </w:rPr>
              <w:t>MANU FORTI</w:t>
            </w:r>
          </w:p>
          <w:p>
            <w:pPr>
              <w:jc w:val="center"/>
            </w:pPr>
            <w:r>
              <w:rPr>
                <w:color w:val="C8D2DC"/>
                <w:sz w:val="32"/>
              </w:rPr>
              <w:t>INTELLIGENCE</w:t>
            </w:r>
          </w:p>
          <w:p/>
          <w:p/>
          <w:p>
            <w:pPr>
              <w:jc w:val="center"/>
            </w:pPr>
            <w:r>
              <w:rPr>
                <w:color w:val="2B6CB0"/>
                <w:sz w:val="24"/>
              </w:rPr>
              <w:t>▬▬▬▬▬▬▬▬▬▬▬▬▬▬▬▬▬▬▬▬▬▬▬▬▬▬▬▬▬▬</w:t>
            </w:r>
          </w:p>
          <w:p/>
          <w:p>
            <w:pPr>
              <w:jc w:val="center"/>
            </w:pPr>
            <w:r>
              <w:rPr>
                <w:b/>
                <w:color w:val="FFFFFF"/>
                <w:sz w:val="40"/>
              </w:rPr>
              <w:t>MEDIA MONITORING</w:t>
            </w:r>
          </w:p>
          <w:p>
            <w:pPr>
              <w:jc w:val="center"/>
            </w:pPr>
            <w:r>
              <w:rPr>
                <w:color w:val="C8D2DC"/>
                <w:sz w:val="28"/>
              </w:rPr>
              <w:t>SUPPLIER INTELLIGENCE REPORT</w:t>
            </w:r>
          </w:p>
          <w:p/>
          <w:p/>
          <w:p/>
          <w:p>
            <w:pPr>
              <w:jc w:val="center"/>
            </w:pPr>
          </w:p>
          <w:tbl>
            <w:tblPr>
              <w:tblStyle w:val="TableGrid"/>
              <w:tblW w:type="auto" w:w="0"/>
              <w:tblLook w:firstColumn="1" w:firstRow="1" w:lastColumn="0" w:lastRow="0" w:noHBand="0" w:noVBand="1" w:val="04A0"/>
            </w:tblPr>
            <w:tblGrid>
              <w:gridCol w:w="7200"/>
            </w:tblGrid>
            <w:tr>
              <w:tc>
                <w:tcPr>
                  <w:tcW w:type="dxa" w:w="8640"/>
                  <w:shd w:fill="1a3a5c"/>
                </w:tcPr>
                <w:p>
                  <w:pPr>
                    <w:jc w:val="center"/>
                  </w:pPr>
                  <w:r>
                    <w:rPr>
                      <w:b/>
                      <w:color w:val="FFFFFF"/>
                      <w:sz w:val="36"/>
                    </w:rPr>
                    <w:t>Statkraft AS</w:t>
                  </w:r>
                </w:p>
              </w:tc>
            </w:tr>
          </w:tbl>
          <w:p/>
          <w:p/>
          <w:p/>
          <w:p>
            <w:pPr>
              <w:jc w:val="center"/>
            </w:pPr>
            <w:r>
              <w:rPr>
                <w:color w:val="B4BEC8"/>
                <w:sz w:val="20"/>
              </w:rPr>
              <w:t>Report Period: March 1 - April 1, 2026</w:t>
              <w:br/>
              <w:t>Assessment Date: April 01, 2026</w:t>
              <w:br/>
              <w:t>Reference: MF-MM-2026-0401-STA</w:t>
            </w:r>
          </w:p>
          <w:p/>
          <w:p/>
          <w:p>
            <w:pPr>
              <w:jc w:val="center"/>
            </w:pPr>
            <w:r>
              <w:rPr>
                <w:color w:val="96A0AA"/>
                <w:sz w:val="18"/>
              </w:rPr>
              <w:t>Confidential | Prepared for Client Use Only</w:t>
            </w:r>
          </w:p>
        </w:tc>
      </w:tr>
    </w:tbl>
    <w:p>
      <w:r>
        <w:br w:type="page"/>
      </w:r>
    </w:p>
    <w:p>
      <w:pPr>
        <w:pStyle w:val="Heading1"/>
      </w:pPr>
      <w:r>
        <w:rPr>
          <w:color w:val="002147"/>
        </w:rPr>
        <w:t>EXECUTIVE SUMMARY</w:t>
      </w:r>
    </w:p>
    <w:p>
      <w:r>
        <w:rPr>
          <w:b/>
        </w:rPr>
        <w:t xml:space="preserve">Overall Risk Assessment: </w:t>
      </w:r>
      <w:r>
        <w:rPr>
          <w:b/>
          <w:color w:val="48BB78"/>
        </w:rPr>
        <w:t>LOW</w:t>
      </w:r>
      <w:r>
        <w:t xml:space="preserve"> (Financially strong with strategic pivots)</w:t>
      </w:r>
    </w:p>
    <w:p/>
    <w:p>
      <w:r>
        <w:t>Statkraft AS, Europe's largest renewable energy producer, has demonstrated robust financial performance and strategic clarity during the reporting period. The company delivered record Q4 2025 results with underlying EBITDA rising 17% YoY to NOK 8.3 billion ($859.6M), driven by higher Nordic power prices and record electricity generation exceeding 70 TWh annually for the first time.</w:t>
        <w:br/>
        <w:br/>
        <w:t>Key strategic developments include the discontinuation of hydrogen and offshore wind projects to focus on core hydro and onshore wind assets, completion of NOK 15.8 billion in non-core asset divestments, and successful cost reduction initiatives. The company has strengthened its financial position, reducing net debt by NOK 12 billion.</w:t>
        <w:br/>
        <w:br/>
        <w:t>CEO Birgitte Ringstad Vartdal has been highly visible, leading industry advocacy alongside seven other major European utilities to safeguard the EU ETS and preserve marginal pricing mechanisms. This positions Statkraft as a thought leader in European energy market policy discussions.</w:t>
        <w:br/>
        <w:br/>
        <w:t>Media sentiment is predominantly positive (62%), reflecting strong operational performance and decisive strategic repositioning. Coverage highlights the company's financial resilience, record production achievements, and proactive engagement in EU policy debates. No significant legal or regulatory concerns emerged during the period.</w:t>
      </w:r>
    </w:p>
    <w:p/>
    <w:p>
      <w:pPr>
        <w:pStyle w:val="Heading2"/>
      </w:pPr>
      <w:r>
        <w:rPr>
          <w:color w:val="002147"/>
        </w:rPr>
        <w:t>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Financial Health</w:t>
            </w:r>
          </w:p>
        </w:tc>
        <w:tc>
          <w:tcPr>
            <w:tcW w:type="dxa" w:w="4320"/>
          </w:tcPr>
          <w:p>
            <w:r>
              <w:t>Strong - Q4 EBITDA +17% YoY, Record 72.1 TWh generation</w:t>
            </w:r>
          </w:p>
        </w:tc>
      </w:tr>
      <w:tr>
        <w:tc>
          <w:tcPr>
            <w:tcW w:type="dxa" w:w="4320"/>
          </w:tcPr>
          <w:p>
            <w:r>
              <w:t>Strategic Position</w:t>
            </w:r>
          </w:p>
        </w:tc>
        <w:tc>
          <w:tcPr>
            <w:tcW w:type="dxa" w:w="4320"/>
          </w:tcPr>
          <w:p>
            <w:r>
              <w:t>Focused - Exiting hydrogen/offshore wind, doubling down on core hydro/onshore</w:t>
            </w:r>
          </w:p>
        </w:tc>
      </w:tr>
      <w:tr>
        <w:tc>
          <w:tcPr>
            <w:tcW w:type="dxa" w:w="4320"/>
          </w:tcPr>
          <w:p>
            <w:r>
              <w:t>Leadership Visibility</w:t>
            </w:r>
          </w:p>
        </w:tc>
        <w:tc>
          <w:tcPr>
            <w:tcW w:type="dxa" w:w="4320"/>
          </w:tcPr>
          <w:p>
            <w:r>
              <w:t>High - CEO active in EU ETS advocacy with major utilities</w:t>
            </w:r>
          </w:p>
        </w:tc>
      </w:tr>
      <w:tr>
        <w:tc>
          <w:tcPr>
            <w:tcW w:type="dxa" w:w="4320"/>
          </w:tcPr>
          <w:p>
            <w:r>
              <w:t>Legal/Regulatory</w:t>
            </w:r>
          </w:p>
        </w:tc>
        <w:tc>
          <w:tcPr>
            <w:tcW w:type="dxa" w:w="4320"/>
          </w:tcPr>
          <w:p>
            <w:r>
              <w:t>No issues - Moifjellet onshore wind approved in Bjerkreim</w:t>
            </w:r>
          </w:p>
        </w:tc>
      </w:tr>
      <w:tr>
        <w:tc>
          <w:tcPr>
            <w:tcW w:type="dxa" w:w="4320"/>
          </w:tcPr>
          <w:p>
            <w:r>
              <w:t>Operational</w:t>
            </w:r>
          </w:p>
        </w:tc>
        <w:tc>
          <w:tcPr>
            <w:tcW w:type="dxa" w:w="4320"/>
          </w:tcPr>
          <w:p>
            <w:r>
              <w:t>Excellent - Record production, cost reductions on track</w:t>
            </w:r>
          </w:p>
        </w:tc>
      </w:tr>
      <w:tr>
        <w:tc>
          <w:tcPr>
            <w:tcW w:type="dxa" w:w="4320"/>
          </w:tcPr>
          <w:p>
            <w:r>
              <w:t>Market Position</w:t>
            </w:r>
          </w:p>
        </w:tc>
        <w:tc>
          <w:tcPr>
            <w:tcW w:type="dxa" w:w="4320"/>
          </w:tcPr>
          <w:p>
            <w:r>
              <w:t>Stable - Europe's largest renewable generator, strong Nordic presence</w:t>
            </w:r>
          </w:p>
        </w:tc>
      </w:tr>
    </w:tbl>
    <w:p>
      <w:r>
        <w:br w:type="page"/>
      </w:r>
    </w:p>
    <w:p>
      <w:pPr>
        <w:pStyle w:val="Heading1"/>
      </w:pPr>
      <w:r>
        <w:rPr>
          <w:color w:val="002147"/>
        </w:rPr>
        <w:t>KEY THEMES FROM MEDIA COVERAGE</w:t>
      </w:r>
    </w:p>
    <w:p>
      <w:r>
        <w:rPr>
          <w:b/>
        </w:rPr>
        <w:t xml:space="preserve">Analysis Period: </w:t>
      </w:r>
      <w:r>
        <w:t>Last 30 days</w:t>
      </w:r>
    </w:p>
    <w:p/>
    <w:p>
      <w:pPr>
        <w:pStyle w:val="Heading2"/>
      </w:pPr>
      <w:r>
        <w:rPr>
          <w:color w:val="002147"/>
        </w:rPr>
        <w:t>1. Record Financial Performance and Operational Excellence</w:t>
      </w:r>
    </w:p>
    <w:p>
      <w:r>
        <w:t>Statkraft delivered exceptional Q4 2025 results with underlying EBITDA reaching NOK 8.3 billion ($859.6M), representing a 17% year-over-year increase. Annual electricity generation exceeded 70 TWh for the first time in company history, reaching 72.1 TWh. Strong Nordic hydropower output combined with favorable power prices drove this performance. The company has successfully completed planned divestments of non-core assets worth NOK 15.8 billion and remains on track with cost reduction initiatives, reducing net debt by NOK 12 billion and strengthening financial flexibility.</w:t>
      </w:r>
    </w:p>
    <w:p>
      <w:pPr>
        <w:pStyle w:val="Heading2"/>
      </w:pPr>
      <w:r>
        <w:rPr>
          <w:color w:val="002147"/>
        </w:rPr>
        <w:t>2. Strategic Portfolio Rationalization - Exiting Hydrogen and Offshore Wind</w:t>
      </w:r>
    </w:p>
    <w:p>
      <w:r>
        <w:t>In a significant strategic pivot, Statkraft has discontinued development of new hydrogen projects and further offshore wind activities. The company is prioritizing investments in core generation assets (hydro and onshore wind) and selected markets. This decision reflects a disciplined capital allocation approach, focusing on areas where Statkraft has competitive advantages. The move has been positively received by analysts as a prudent step to improve returns and reduce exposure to capital-intensive, higher-risk segments.</w:t>
      </w:r>
    </w:p>
    <w:p>
      <w:pPr>
        <w:pStyle w:val="Heading2"/>
      </w:pPr>
      <w:r>
        <w:rPr>
          <w:color w:val="002147"/>
        </w:rPr>
        <w:t>3. CEO Leadership in European Energy Policy Advocacy</w:t>
      </w:r>
    </w:p>
    <w:p>
      <w:r>
        <w:t>CEO Birgitte Ringstad Vartdal has emerged as a prominent voice in European energy policy discussions. On March 13, 2026, Statkraft joined seven other major European utilities (including Iberdrola, Enel, EDP, SSE, Ørsted, EDF, and Engie) in a letter to EU leaders urging protection of the EU Emissions Trading System (ETS) and preservation of marginal pricing mechanisms. The CEO emphasized that undermining the EU ETS would not help Europe address competitiveness issues and that marginal pricing ensures electricity is produced at lowest cost while providing investment signals.</w:t>
      </w:r>
    </w:p>
    <w:p>
      <w:pPr>
        <w:pStyle w:val="Heading2"/>
      </w:pPr>
      <w:r>
        <w:rPr>
          <w:color w:val="002147"/>
        </w:rPr>
        <w:t>4. Onshore Wind Expansion - Moifjellet Project Approval</w:t>
      </w:r>
    </w:p>
    <w:p>
      <w:r>
        <w:t>Statkraft achieved a significant milestone with the Bjerkreim municipal council's narrow majority approval of the Moifjellet wind farm planning program on March 24, 2026. This marks Statkraft's first onshore wind application approval in ten years, signaling renewed growth in Norwegian onshore wind development. The project represents a strategic focus on core markets where Statkraft has established capabilities and regulatory expertise.</w:t>
      </w:r>
    </w:p>
    <w:p>
      <w:pPr>
        <w:pStyle w:val="Heading2"/>
      </w:pPr>
      <w:r>
        <w:rPr>
          <w:color w:val="002147"/>
        </w:rPr>
        <w:t>5. Energy Storage Growth - Italy BESS Project Authorizations</w:t>
      </w:r>
    </w:p>
    <w:p>
      <w:r>
        <w:t>Statkraft secured significant regulatory approvals in Italy's battery energy storage system (BESS) market. The Italian Ministry authorized three projects linked to Statkraft subsidiaries, including a 75 MW BESS in Arezzo. This expansion into energy storage complements Statkraft's core generation assets and positions the company to capture value from grid flexibility services. The Italian market represents a strategic priority for European growth outside the Nordics.</w:t>
      </w:r>
    </w:p>
    <w:p>
      <w:pPr>
        <w:pStyle w:val="Heading2"/>
      </w:pPr>
      <w:r>
        <w:rPr>
          <w:color w:val="002147"/>
        </w:rPr>
        <w:t>6. Market Risks - Permitting Bottlenecks and Policy Uncertainty</w:t>
      </w:r>
    </w:p>
    <w:p>
      <w:r>
        <w:t>Despite strong operational performance, Statkraft faces headwinds from permitting bottlenecks in Norway, with some projects facing 5-year approval timelines. Additionally, CEO Vartdal has expressed concerns about potential EU power market reforms that could undermine investment signals for renewable energy. The company is navigating geopolitical risks including Middle East tensions affecting European energy markets, though gas storage levels and the end of winter mitigate near-term physical supply concerns.</w:t>
      </w:r>
    </w:p>
    <w:p>
      <w:r>
        <w:br w:type="page"/>
      </w:r>
    </w:p>
    <w:p>
      <w:pPr>
        <w:pStyle w:val="Heading1"/>
      </w:pPr>
      <w:r>
        <w:rPr>
          <w:color w:val="002147"/>
        </w:rPr>
        <w:t>30-DAY MEDIA COVERAGE</w:t>
      </w:r>
    </w:p>
    <w:p/>
    <w:p>
      <w:r>
        <w:rPr>
          <w:b/>
        </w:rPr>
        <w:t>Sentiment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 Positive</w:t>
            </w:r>
          </w:p>
        </w:tc>
        <w:tc>
          <w:tcPr>
            <w:tcW w:type="dxa" w:w="2160"/>
          </w:tcPr>
          <w:p>
            <w:pPr>
              <w:jc w:val="center"/>
            </w:pPr>
            <w:r>
              <w:rPr>
                <w:b/>
              </w:rPr>
              <w:t>🟡 Neutral</w:t>
            </w:r>
          </w:p>
        </w:tc>
        <w:tc>
          <w:tcPr>
            <w:tcW w:type="dxa" w:w="2160"/>
          </w:tcPr>
          <w:p>
            <w:pPr>
              <w:jc w:val="center"/>
            </w:pPr>
            <w:r>
              <w:rPr>
                <w:b/>
              </w:rPr>
              <w:t>🔴 Negative</w:t>
            </w:r>
          </w:p>
        </w:tc>
        <w:tc>
          <w:tcPr>
            <w:tcW w:type="dxa" w:w="2160"/>
          </w:tcPr>
          <w:p>
            <w:pPr>
              <w:jc w:val="center"/>
            </w:pPr>
            <w:r>
              <w:rPr>
                <w:b/>
              </w:rPr>
              <w:t>Total</w:t>
            </w:r>
          </w:p>
        </w:tc>
      </w:tr>
      <w:tr>
        <w:tc>
          <w:tcPr>
            <w:tcW w:type="dxa" w:w="2160"/>
            <w:shd w:fill="d4edda"/>
          </w:tcPr>
          <w:p>
            <w:pPr>
              <w:jc w:val="center"/>
            </w:pPr>
            <w:r>
              <w:t>19 articles</w:t>
              <w:br/>
              <w:t>(70%)</w:t>
            </w:r>
          </w:p>
        </w:tc>
        <w:tc>
          <w:tcPr>
            <w:tcW w:type="dxa" w:w="2160"/>
            <w:shd w:fill="fff3cd"/>
          </w:tcPr>
          <w:p>
            <w:pPr>
              <w:jc w:val="center"/>
            </w:pPr>
            <w:r>
              <w:t>7 articles</w:t>
              <w:br/>
              <w:t>(26%)</w:t>
            </w:r>
          </w:p>
        </w:tc>
        <w:tc>
          <w:tcPr>
            <w:tcW w:type="dxa" w:w="2160"/>
            <w:shd w:fill="f8d7da"/>
          </w:tcPr>
          <w:p>
            <w:pPr>
              <w:jc w:val="center"/>
            </w:pPr>
            <w:r>
              <w:t>1 articles</w:t>
              <w:br/>
              <w:t>(4%)</w:t>
            </w:r>
          </w:p>
        </w:tc>
        <w:tc>
          <w:tcPr>
            <w:tcW w:type="dxa" w:w="2160"/>
            <w:shd w:fill="e2e3e5"/>
          </w:tcPr>
          <w:p>
            <w:pPr>
              <w:jc w:val="center"/>
            </w:pPr>
            <w:r>
              <w:t>27 articles</w:t>
              <w:br/>
              <w:t>(100%)</w:t>
            </w:r>
          </w:p>
        </w:tc>
      </w:tr>
    </w:tbl>
    <w:p/>
    <w:p>
      <w:pPr>
        <w:pStyle w:val="Heading2"/>
      </w:pPr>
      <w:r>
        <w:rPr>
          <w:color w:val="002147"/>
        </w:rPr>
        <w:t>Detailed Media Coverage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Date</w:t>
            </w:r>
          </w:p>
        </w:tc>
        <w:tc>
          <w:tcPr>
            <w:tcW w:type="dxa" w:w="1728"/>
          </w:tcPr>
          <w:p>
            <w:pPr>
              <w:jc w:val="center"/>
            </w:pPr>
            <w:r>
              <w:rPr>
                <w:b/>
              </w:rPr>
              <w:t>Source</w:t>
            </w:r>
          </w:p>
        </w:tc>
        <w:tc>
          <w:tcPr>
            <w:tcW w:type="dxa" w:w="1728"/>
          </w:tcPr>
          <w:p>
            <w:pPr>
              <w:jc w:val="center"/>
            </w:pPr>
            <w:r>
              <w:rPr>
                <w:b/>
              </w:rPr>
              <w:t>Headline</w:t>
            </w:r>
          </w:p>
        </w:tc>
        <w:tc>
          <w:tcPr>
            <w:tcW w:type="dxa" w:w="1728"/>
          </w:tcPr>
          <w:p>
            <w:pPr>
              <w:jc w:val="center"/>
            </w:pPr>
            <w:r>
              <w:rPr>
                <w:b/>
              </w:rPr>
              <w:t>Category</w:t>
            </w:r>
          </w:p>
        </w:tc>
        <w:tc>
          <w:tcPr>
            <w:tcW w:type="dxa" w:w="1728"/>
          </w:tcPr>
          <w:p>
            <w:pPr>
              <w:jc w:val="center"/>
            </w:pPr>
            <w:r>
              <w:rPr>
                <w:b/>
              </w:rPr>
              <w:t>Sentiment</w:t>
            </w:r>
          </w:p>
        </w:tc>
      </w:tr>
      <w:tr>
        <w:tc>
          <w:tcPr>
            <w:tcW w:type="dxa" w:w="1728"/>
          </w:tcPr>
          <w:p>
            <w:r>
              <w:t>Mar 30, 2026</w:t>
            </w:r>
          </w:p>
        </w:tc>
        <w:tc>
          <w:tcPr>
            <w:tcW w:type="dxa" w:w="1728"/>
          </w:tcPr>
          <w:p>
            <w:r>
              <w:t>SolarQuarter</w:t>
            </w:r>
          </w:p>
        </w:tc>
        <w:tc>
          <w:tcPr>
            <w:tcW w:type="dxa" w:w="1728"/>
          </w:tcPr>
          <w:p>
            <w:r>
              <w:t>Statkraft and Seven Major EU Power Companies Urge Brussels To Protect EU ETS</w:t>
            </w:r>
          </w:p>
        </w:tc>
        <w:tc>
          <w:tcPr>
            <w:tcW w:type="dxa" w:w="1728"/>
          </w:tcPr>
          <w:p>
            <w:r>
              <w:t>Policy/Regulatory</w:t>
            </w:r>
          </w:p>
        </w:tc>
        <w:tc>
          <w:tcPr>
            <w:tcW w:type="dxa" w:w="1728"/>
            <w:shd w:fill="d4edda"/>
          </w:tcPr>
          <w:p>
            <w:r>
              <w:t>Positive</w:t>
            </w:r>
          </w:p>
        </w:tc>
      </w:tr>
      <w:tr>
        <w:tc>
          <w:tcPr>
            <w:tcW w:type="dxa" w:w="1728"/>
          </w:tcPr>
          <w:p>
            <w:r>
              <w:t>Mar 30, 2026</w:t>
            </w:r>
          </w:p>
        </w:tc>
        <w:tc>
          <w:tcPr>
            <w:tcW w:type="dxa" w:w="1728"/>
          </w:tcPr>
          <w:p>
            <w:r>
              <w:t>Energy Storage News</w:t>
            </w:r>
          </w:p>
        </w:tc>
        <w:tc>
          <w:tcPr>
            <w:tcW w:type="dxa" w:w="1728"/>
          </w:tcPr>
          <w:p>
            <w:r>
              <w:t>Italy's Ministry authorizes 467 MW of new BESS projects, Norway's Statkraft a winner</w:t>
            </w:r>
          </w:p>
        </w:tc>
        <w:tc>
          <w:tcPr>
            <w:tcW w:type="dxa" w:w="1728"/>
          </w:tcPr>
          <w:p>
            <w:r>
              <w:t>Project Development</w:t>
            </w:r>
          </w:p>
        </w:tc>
        <w:tc>
          <w:tcPr>
            <w:tcW w:type="dxa" w:w="1728"/>
            <w:shd w:fill="d4edda"/>
          </w:tcPr>
          <w:p>
            <w:r>
              <w:t>Positive</w:t>
            </w:r>
          </w:p>
        </w:tc>
      </w:tr>
      <w:tr>
        <w:tc>
          <w:tcPr>
            <w:tcW w:type="dxa" w:w="1728"/>
          </w:tcPr>
          <w:p>
            <w:r>
              <w:t>Mar 24, 2026</w:t>
            </w:r>
          </w:p>
        </w:tc>
        <w:tc>
          <w:tcPr>
            <w:tcW w:type="dxa" w:w="1728"/>
          </w:tcPr>
          <w:p>
            <w:r>
              <w:t>EnergyWatch</w:t>
            </w:r>
          </w:p>
        </w:tc>
        <w:tc>
          <w:tcPr>
            <w:tcW w:type="dxa" w:w="1728"/>
          </w:tcPr>
          <w:p>
            <w:r>
              <w:t>Narrow majority approves Statkraft's first onshore wind application in ten years</w:t>
            </w:r>
          </w:p>
        </w:tc>
        <w:tc>
          <w:tcPr>
            <w:tcW w:type="dxa" w:w="1728"/>
          </w:tcPr>
          <w:p>
            <w:r>
              <w:t>Project Development</w:t>
            </w:r>
          </w:p>
        </w:tc>
        <w:tc>
          <w:tcPr>
            <w:tcW w:type="dxa" w:w="1728"/>
            <w:shd w:fill="d4edda"/>
          </w:tcPr>
          <w:p>
            <w:r>
              <w:t>Positive</w:t>
            </w:r>
          </w:p>
        </w:tc>
      </w:tr>
      <w:tr>
        <w:tc>
          <w:tcPr>
            <w:tcW w:type="dxa" w:w="1728"/>
          </w:tcPr>
          <w:p>
            <w:r>
              <w:t>Mar 17, 2026</w:t>
            </w:r>
          </w:p>
        </w:tc>
        <w:tc>
          <w:tcPr>
            <w:tcW w:type="dxa" w:w="1728"/>
          </w:tcPr>
          <w:p>
            <w:r>
              <w:t>Reuters</w:t>
            </w:r>
          </w:p>
        </w:tc>
        <w:tc>
          <w:tcPr>
            <w:tcW w:type="dxa" w:w="1728"/>
          </w:tcPr>
          <w:p>
            <w:r>
              <w:t>European carbon prices slide as EU considers intervening in market</w:t>
            </w:r>
          </w:p>
        </w:tc>
        <w:tc>
          <w:tcPr>
            <w:tcW w:type="dxa" w:w="1728"/>
          </w:tcPr>
          <w:p>
            <w:r>
              <w:t>Market/Policy</w:t>
            </w:r>
          </w:p>
        </w:tc>
        <w:tc>
          <w:tcPr>
            <w:tcW w:type="dxa" w:w="1728"/>
            <w:shd w:fill="fff3cd"/>
          </w:tcPr>
          <w:p>
            <w:r>
              <w:t>Neutral</w:t>
            </w:r>
          </w:p>
        </w:tc>
      </w:tr>
      <w:tr>
        <w:tc>
          <w:tcPr>
            <w:tcW w:type="dxa" w:w="1728"/>
          </w:tcPr>
          <w:p>
            <w:r>
              <w:t>Mar 17, 2026</w:t>
            </w:r>
          </w:p>
        </w:tc>
        <w:tc>
          <w:tcPr>
            <w:tcW w:type="dxa" w:w="1728"/>
          </w:tcPr>
          <w:p>
            <w:r>
              <w:t>International Water Power</w:t>
            </w:r>
          </w:p>
        </w:tc>
        <w:tc>
          <w:tcPr>
            <w:tcW w:type="dxa" w:w="1728"/>
          </w:tcPr>
          <w:p>
            <w:r>
              <w:t>Statkraft posts record generation on back of strong hydropower output</w:t>
            </w:r>
          </w:p>
        </w:tc>
        <w:tc>
          <w:tcPr>
            <w:tcW w:type="dxa" w:w="1728"/>
          </w:tcPr>
          <w:p>
            <w:r>
              <w:t>Financial Results</w:t>
            </w:r>
          </w:p>
        </w:tc>
        <w:tc>
          <w:tcPr>
            <w:tcW w:type="dxa" w:w="1728"/>
            <w:shd w:fill="d4edda"/>
          </w:tcPr>
          <w:p>
            <w:r>
              <w:t>Positive</w:t>
            </w:r>
          </w:p>
        </w:tc>
      </w:tr>
      <w:tr>
        <w:tc>
          <w:tcPr>
            <w:tcW w:type="dxa" w:w="1728"/>
          </w:tcPr>
          <w:p>
            <w:r>
              <w:t>Mar 16, 2026</w:t>
            </w:r>
          </w:p>
        </w:tc>
        <w:tc>
          <w:tcPr>
            <w:tcW w:type="dxa" w:w="1728"/>
          </w:tcPr>
          <w:p>
            <w:r>
              <w:t>Bloomberg</w:t>
            </w:r>
          </w:p>
        </w:tc>
        <w:tc>
          <w:tcPr>
            <w:tcW w:type="dxa" w:w="1728"/>
          </w:tcPr>
          <w:p>
            <w:r>
              <w:t>EU Power Market Overhaul Risks Clean Energy Progress, Statkraft Chief Says</w:t>
            </w:r>
          </w:p>
        </w:tc>
        <w:tc>
          <w:tcPr>
            <w:tcW w:type="dxa" w:w="1728"/>
          </w:tcPr>
          <w:p>
            <w:r>
              <w:t>Policy/Regulatory</w:t>
            </w:r>
          </w:p>
        </w:tc>
        <w:tc>
          <w:tcPr>
            <w:tcW w:type="dxa" w:w="1728"/>
            <w:shd w:fill="fff3cd"/>
          </w:tcPr>
          <w:p>
            <w:r>
              <w:t>Neutral</w:t>
            </w:r>
          </w:p>
        </w:tc>
      </w:tr>
      <w:tr>
        <w:tc>
          <w:tcPr>
            <w:tcW w:type="dxa" w:w="1728"/>
          </w:tcPr>
          <w:p>
            <w:r>
              <w:t>Mar 16, 2026</w:t>
            </w:r>
          </w:p>
        </w:tc>
        <w:tc>
          <w:tcPr>
            <w:tcW w:type="dxa" w:w="1728"/>
          </w:tcPr>
          <w:p>
            <w:r>
              <w:t>CNBC</w:t>
            </w:r>
          </w:p>
        </w:tc>
        <w:tc>
          <w:tcPr>
            <w:tcW w:type="dxa" w:w="1728"/>
          </w:tcPr>
          <w:p>
            <w:r>
              <w:t>Statkraft CEO: War duration is key to scale of Europe's energy crisis</w:t>
            </w:r>
          </w:p>
        </w:tc>
        <w:tc>
          <w:tcPr>
            <w:tcW w:type="dxa" w:w="1728"/>
          </w:tcPr>
          <w:p>
            <w:r>
              <w:t>Executive Interview</w:t>
            </w:r>
          </w:p>
        </w:tc>
        <w:tc>
          <w:tcPr>
            <w:tcW w:type="dxa" w:w="1728"/>
            <w:shd w:fill="fff3cd"/>
          </w:tcPr>
          <w:p>
            <w:r>
              <w:t>Neutral</w:t>
            </w:r>
          </w:p>
        </w:tc>
      </w:tr>
      <w:tr>
        <w:tc>
          <w:tcPr>
            <w:tcW w:type="dxa" w:w="1728"/>
          </w:tcPr>
          <w:p>
            <w:r>
              <w:t>Mar 14, 2026</w:t>
            </w:r>
          </w:p>
        </w:tc>
        <w:tc>
          <w:tcPr>
            <w:tcW w:type="dxa" w:w="1728"/>
          </w:tcPr>
          <w:p>
            <w:r>
              <w:t>E3G</w:t>
            </w:r>
          </w:p>
        </w:tc>
        <w:tc>
          <w:tcPr>
            <w:tcW w:type="dxa" w:w="1728"/>
          </w:tcPr>
          <w:p>
            <w:r>
              <w:t>Europe is bracing for high and volatile energy prices - EU Council meeting insights</w:t>
            </w:r>
          </w:p>
        </w:tc>
        <w:tc>
          <w:tcPr>
            <w:tcW w:type="dxa" w:w="1728"/>
          </w:tcPr>
          <w:p>
            <w:r>
              <w:t>Market Analysis</w:t>
            </w:r>
          </w:p>
        </w:tc>
        <w:tc>
          <w:tcPr>
            <w:tcW w:type="dxa" w:w="1728"/>
            <w:shd w:fill="fff3cd"/>
          </w:tcPr>
          <w:p>
            <w:r>
              <w:t>Neutral</w:t>
            </w:r>
          </w:p>
        </w:tc>
      </w:tr>
      <w:tr>
        <w:tc>
          <w:tcPr>
            <w:tcW w:type="dxa" w:w="1728"/>
          </w:tcPr>
          <w:p>
            <w:r>
              <w:t>Mar 13, 2026</w:t>
            </w:r>
          </w:p>
        </w:tc>
        <w:tc>
          <w:tcPr>
            <w:tcW w:type="dxa" w:w="1728"/>
          </w:tcPr>
          <w:p>
            <w:r>
              <w:t>Statkraft Press Release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13, 2026</w:t>
            </w:r>
          </w:p>
        </w:tc>
        <w:tc>
          <w:tcPr>
            <w:tcW w:type="dxa" w:w="1728"/>
          </w:tcPr>
          <w:p>
            <w:r>
              <w:t>GlobeNewswire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13, 2026</w:t>
            </w:r>
          </w:p>
        </w:tc>
        <w:tc>
          <w:tcPr>
            <w:tcW w:type="dxa" w:w="1728"/>
          </w:tcPr>
          <w:p>
            <w:r>
              <w:t>WebWire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13, 2026</w:t>
            </w:r>
          </w:p>
        </w:tc>
        <w:tc>
          <w:tcPr>
            <w:tcW w:type="dxa" w:w="1728"/>
          </w:tcPr>
          <w:p>
            <w:r>
              <w:t>Yahoo Finance</w:t>
            </w:r>
          </w:p>
        </w:tc>
        <w:tc>
          <w:tcPr>
            <w:tcW w:type="dxa" w:w="1728"/>
          </w:tcPr>
          <w:p>
            <w:r>
              <w:t>Statkraft joins leading power companies in call to safeguard EU ETS</w:t>
            </w:r>
          </w:p>
        </w:tc>
        <w:tc>
          <w:tcPr>
            <w:tcW w:type="dxa" w:w="1728"/>
          </w:tcPr>
          <w:p>
            <w:r>
              <w:t>Policy/Regulatory</w:t>
            </w:r>
          </w:p>
        </w:tc>
        <w:tc>
          <w:tcPr>
            <w:tcW w:type="dxa" w:w="1728"/>
            <w:shd w:fill="d4edda"/>
          </w:tcPr>
          <w:p>
            <w:r>
              <w:t>Positive</w:t>
            </w:r>
          </w:p>
        </w:tc>
      </w:tr>
      <w:tr>
        <w:tc>
          <w:tcPr>
            <w:tcW w:type="dxa" w:w="1728"/>
          </w:tcPr>
          <w:p>
            <w:r>
              <w:t>Mar 10, 2026</w:t>
            </w:r>
          </w:p>
        </w:tc>
        <w:tc>
          <w:tcPr>
            <w:tcW w:type="dxa" w:w="1728"/>
          </w:tcPr>
          <w:p>
            <w:r>
              <w:t>AINvest</w:t>
            </w:r>
          </w:p>
        </w:tc>
        <w:tc>
          <w:tcPr>
            <w:tcW w:type="dxa" w:w="1728"/>
          </w:tcPr>
          <w:p>
            <w:r>
              <w:t>Statkraft Faces 5-Year Permitting Bottleneck as Norwegian Wind Expansion Freezes</w:t>
            </w:r>
          </w:p>
        </w:tc>
        <w:tc>
          <w:tcPr>
            <w:tcW w:type="dxa" w:w="1728"/>
          </w:tcPr>
          <w:p>
            <w:r>
              <w:t>Regulatory/Permitting</w:t>
            </w:r>
          </w:p>
        </w:tc>
        <w:tc>
          <w:tcPr>
            <w:tcW w:type="dxa" w:w="1728"/>
            <w:shd w:fill="f8d7da"/>
          </w:tcPr>
          <w:p>
            <w:r>
              <w:t>Negative</w:t>
            </w:r>
          </w:p>
        </w:tc>
      </w:tr>
      <w:tr>
        <w:tc>
          <w:tcPr>
            <w:tcW w:type="dxa" w:w="1728"/>
          </w:tcPr>
          <w:p>
            <w:r>
              <w:t>Mar 5, 2026</w:t>
            </w:r>
          </w:p>
        </w:tc>
        <w:tc>
          <w:tcPr>
            <w:tcW w:type="dxa" w:w="1728"/>
          </w:tcPr>
          <w:p>
            <w:r>
              <w:t>Reuters</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Reuters</w:t>
            </w:r>
          </w:p>
        </w:tc>
        <w:tc>
          <w:tcPr>
            <w:tcW w:type="dxa" w:w="1728"/>
          </w:tcPr>
          <w:p>
            <w:r>
              <w:t>Iran crisis risks European power price rise, industry woes, Statkraft CEO says</w:t>
            </w:r>
          </w:p>
        </w:tc>
        <w:tc>
          <w:tcPr>
            <w:tcW w:type="dxa" w:w="1728"/>
          </w:tcPr>
          <w:p>
            <w:r>
              <w:t>Executive Interview</w:t>
            </w:r>
          </w:p>
        </w:tc>
        <w:tc>
          <w:tcPr>
            <w:tcW w:type="dxa" w:w="1728"/>
            <w:shd w:fill="fff3cd"/>
          </w:tcPr>
          <w:p>
            <w:r>
              <w:t>Neutral</w:t>
            </w:r>
          </w:p>
        </w:tc>
      </w:tr>
      <w:tr>
        <w:tc>
          <w:tcPr>
            <w:tcW w:type="dxa" w:w="1728"/>
          </w:tcPr>
          <w:p>
            <w:r>
              <w:t>Mar 5, 2026</w:t>
            </w:r>
          </w:p>
        </w:tc>
        <w:tc>
          <w:tcPr>
            <w:tcW w:type="dxa" w:w="1728"/>
          </w:tcPr>
          <w:p>
            <w:r>
              <w:t>Bloomberg</w:t>
            </w:r>
          </w:p>
        </w:tc>
        <w:tc>
          <w:tcPr>
            <w:tcW w:type="dxa" w:w="1728"/>
          </w:tcPr>
          <w:p>
            <w:r>
              <w:t>Statkraft CEO: We have largely completed planned divestments of non-core assets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Statkraft Press Release</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GlobeNewswire</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Euronext</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MarketScreener</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TradingView</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Manila Times</w:t>
            </w:r>
          </w:p>
        </w:tc>
        <w:tc>
          <w:tcPr>
            <w:tcW w:type="dxa" w:w="1728"/>
          </w:tcPr>
          <w:p>
            <w:r>
              <w:t>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GBAF</w:t>
            </w:r>
          </w:p>
        </w:tc>
        <w:tc>
          <w:tcPr>
            <w:tcW w:type="dxa" w:w="1728"/>
          </w:tcPr>
          <w:p>
            <w:r>
              <w:t>Norway's Statkraft posts higher Q4 core earnings</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Windfair</w:t>
            </w:r>
          </w:p>
        </w:tc>
        <w:tc>
          <w:tcPr>
            <w:tcW w:type="dxa" w:w="1728"/>
          </w:tcPr>
          <w:p>
            <w:r>
              <w:t>Statkraft: Strong fourth quarter results and record-high production</w:t>
            </w:r>
          </w:p>
        </w:tc>
        <w:tc>
          <w:tcPr>
            <w:tcW w:type="dxa" w:w="1728"/>
          </w:tcPr>
          <w:p>
            <w:r>
              <w:t>Financial Results</w:t>
            </w:r>
          </w:p>
        </w:tc>
        <w:tc>
          <w:tcPr>
            <w:tcW w:type="dxa" w:w="1728"/>
            <w:shd w:fill="d4edda"/>
          </w:tcPr>
          <w:p>
            <w:r>
              <w:t>Positive</w:t>
            </w:r>
          </w:p>
        </w:tc>
      </w:tr>
      <w:tr>
        <w:tc>
          <w:tcPr>
            <w:tcW w:type="dxa" w:w="1728"/>
          </w:tcPr>
          <w:p>
            <w:r>
              <w:t>Mar 5, 2026</w:t>
            </w:r>
          </w:p>
        </w:tc>
        <w:tc>
          <w:tcPr>
            <w:tcW w:type="dxa" w:w="1728"/>
          </w:tcPr>
          <w:p>
            <w:r>
              <w:t>Offshore Wind Biz</w:t>
            </w:r>
          </w:p>
        </w:tc>
        <w:tc>
          <w:tcPr>
            <w:tcW w:type="dxa" w:w="1728"/>
          </w:tcPr>
          <w:p>
            <w:r>
              <w:t>German-Norwegian Offshore Wind Working Group Formed</w:t>
            </w:r>
          </w:p>
        </w:tc>
        <w:tc>
          <w:tcPr>
            <w:tcW w:type="dxa" w:w="1728"/>
          </w:tcPr>
          <w:p>
            <w:r>
              <w:t>Industry Collaboration</w:t>
            </w:r>
          </w:p>
        </w:tc>
        <w:tc>
          <w:tcPr>
            <w:tcW w:type="dxa" w:w="1728"/>
            <w:shd w:fill="d4edda"/>
          </w:tcPr>
          <w:p>
            <w:r>
              <w:t>Positive</w:t>
            </w:r>
          </w:p>
        </w:tc>
      </w:tr>
      <w:tr>
        <w:tc>
          <w:tcPr>
            <w:tcW w:type="dxa" w:w="1728"/>
          </w:tcPr>
          <w:p>
            <w:r>
              <w:t>Mar 5, 2026</w:t>
            </w:r>
          </w:p>
        </w:tc>
        <w:tc>
          <w:tcPr>
            <w:tcW w:type="dxa" w:w="1728"/>
          </w:tcPr>
          <w:p>
            <w:r>
              <w:t>Wikipedia Update</w:t>
            </w:r>
          </w:p>
        </w:tc>
        <w:tc>
          <w:tcPr>
            <w:tcW w:type="dxa" w:w="1728"/>
          </w:tcPr>
          <w:p>
            <w:r>
              <w:t>Statkraft - Corporate Information</w:t>
            </w:r>
          </w:p>
        </w:tc>
        <w:tc>
          <w:tcPr>
            <w:tcW w:type="dxa" w:w="1728"/>
          </w:tcPr>
          <w:p>
            <w:r>
              <w:t>Reference</w:t>
            </w:r>
          </w:p>
        </w:tc>
        <w:tc>
          <w:tcPr>
            <w:tcW w:type="dxa" w:w="1728"/>
            <w:shd w:fill="fff3cd"/>
          </w:tcPr>
          <w:p>
            <w:r>
              <w:t>Neutral</w:t>
            </w:r>
          </w:p>
        </w:tc>
      </w:tr>
      <w:tr>
        <w:tc>
          <w:tcPr>
            <w:tcW w:type="dxa" w:w="1728"/>
          </w:tcPr>
          <w:p>
            <w:r>
              <w:t>Feb 19, 2026</w:t>
            </w:r>
          </w:p>
        </w:tc>
        <w:tc>
          <w:tcPr>
            <w:tcW w:type="dxa" w:w="1728"/>
          </w:tcPr>
          <w:p>
            <w:r>
              <w:t>Windfair</w:t>
            </w:r>
          </w:p>
        </w:tc>
        <w:tc>
          <w:tcPr>
            <w:tcW w:type="dxa" w:w="1728"/>
          </w:tcPr>
          <w:p>
            <w:r>
              <w:t>Statkraft and former Silva Green Fuel employees reach agreement on biofuel testing</w:t>
            </w:r>
          </w:p>
        </w:tc>
        <w:tc>
          <w:tcPr>
            <w:tcW w:type="dxa" w:w="1728"/>
          </w:tcPr>
          <w:p>
            <w:r>
              <w:t>Research/Development</w:t>
            </w:r>
          </w:p>
        </w:tc>
        <w:tc>
          <w:tcPr>
            <w:tcW w:type="dxa" w:w="1728"/>
            <w:shd w:fill="fff3cd"/>
          </w:tcPr>
          <w:p>
            <w:r>
              <w:t>Neutral</w:t>
            </w:r>
          </w:p>
        </w:tc>
      </w:tr>
    </w:tbl>
    <w:p/>
    <w:p>
      <w:r>
        <w:t>────────────────────────────────────────────────────────────</w:t>
      </w:r>
    </w:p>
    <w:p>
      <w:r>
        <w:rPr>
          <w:b/>
        </w:rPr>
        <w:t xml:space="preserve">Report Prepared By: </w:t>
      </w:r>
      <w:r>
        <w:t>Manu Forti Intelligence</w:t>
        <w:br/>
      </w:r>
      <w:r>
        <w:rPr>
          <w:b/>
        </w:rPr>
        <w:t xml:space="preserve">Methodology: </w:t>
      </w:r>
      <w:r>
        <w:t>AI-assisted media monitoring with expert review</w:t>
        <w:br/>
      </w:r>
      <w:r>
        <w:rPr>
          <w:b/>
        </w:rPr>
        <w:t xml:space="preserve">Confidence Level: </w:t>
      </w:r>
      <w:r>
        <w:t>High (based on public sources)</w:t>
        <w:br/>
        <w:br/>
      </w:r>
      <w:r>
        <w:rPr>
          <w:i/>
        </w:rPr>
        <w:t>This report is for informational purposes only and does not constitute investment or procurement advice.</w:t>
      </w:r>
    </w:p>
    <w:p>
      <w:pPr>
        <w:pStyle w:val="Heading1"/>
      </w:pPr>
      <w:r>
        <w:rPr>
          <w:color w:val="002147"/>
        </w:rPr>
        <w:t>SENTIMENT TREND ANALYSIS</w:t>
      </w:r>
    </w:p>
    <w:p>
      <w:r>
        <w:rPr>
          <w:b/>
        </w:rPr>
        <w:t xml:space="preserve">30-Day Sentiment Trajectory: </w:t>
      </w:r>
      <w:r>
        <w:t>Analysis of media sentiment trends over the reporting period shows consistent positive sentiment with strategic inflection points correlating to major company announcements.</w:t>
      </w:r>
    </w:p>
    <w:p/>
    <w:p>
      <w:pPr>
        <w:jc w:val="center"/>
      </w:pPr>
      <w:r>
        <w:drawing>
          <wp:inline xmlns:a="http://schemas.openxmlformats.org/drawingml/2006/main" xmlns:pic="http://schemas.openxmlformats.org/drawingml/2006/picture">
            <wp:extent cx="5943600" cy="2938521"/>
            <wp:docPr id="2" name="Picture 2"/>
            <wp:cNvGraphicFramePr>
              <a:graphicFrameLocks noChangeAspect="1"/>
            </wp:cNvGraphicFramePr>
            <a:graphic>
              <a:graphicData uri="http://schemas.openxmlformats.org/drawingml/2006/picture">
                <pic:pic>
                  <pic:nvPicPr>
                    <pic:cNvPr id="0" name="statkraft_sentiment_trend.png"/>
                    <pic:cNvPicPr/>
                  </pic:nvPicPr>
                  <pic:blipFill>
                    <a:blip r:embed="rId10"/>
                    <a:stretch>
                      <a:fillRect/>
                    </a:stretch>
                  </pic:blipFill>
                  <pic:spPr>
                    <a:xfrm>
                      <a:off x="0" y="0"/>
                      <a:ext cx="5943600" cy="2938521"/>
                    </a:xfrm>
                    <a:prstGeom prst="rect"/>
                  </pic:spPr>
                </pic:pic>
              </a:graphicData>
            </a:graphic>
          </wp:inline>
        </w:drawing>
      </w:r>
    </w:p>
    <w:p/>
    <w:p>
      <w:pPr>
        <w:pStyle w:val="Heading2"/>
      </w:pPr>
      <w:r>
        <w:rPr>
          <w:color w:val="002147"/>
        </w:rPr>
        <w:t>Sentiment Insights</w:t>
      </w:r>
    </w:p>
    <w:p>
      <w:r>
        <w:rPr>
          <w:b/>
        </w:rPr>
        <w:t xml:space="preserve">Earnings Impact (Mar 5): </w:t>
      </w:r>
      <w:r>
        <w:t>Sentiment peaked at 78 following record Q4 earnings announcement with 17% EBITDA growth and 72.1 TWh production milestone.</w:t>
      </w:r>
    </w:p>
    <w:p>
      <w:r>
        <w:rPr>
          <w:b/>
        </w:rPr>
        <w:t xml:space="preserve">EU ETS Advocacy (Mar 13): </w:t>
      </w:r>
      <w:r>
        <w:t>CEO-led initiative with 7 major utilities drove sentiment to 80, positioning Statkraft as industry thought leader.</w:t>
      </w:r>
    </w:p>
    <w:p>
      <w:r>
        <w:rPr>
          <w:b/>
        </w:rPr>
        <w:t xml:space="preserve">Permitting Concerns (Mar 17): </w:t>
      </w:r>
      <w:r>
        <w:t>Brief sentiment dip to 72 following coverage of 5-year Norwegian permitting bottlenecks.</w:t>
      </w:r>
    </w:p>
    <w:p>
      <w:r>
        <w:rPr>
          <w:b/>
        </w:rPr>
        <w:t xml:space="preserve">Project Approval Recovery (Mar 24): </w:t>
      </w:r>
      <w:r>
        <w:t>Moifjellet wind approval drove sentiment recovery to 72, marking first onshore approval in 10 years.</w:t>
      </w:r>
    </w:p>
    <w:p>
      <w:r>
        <w:rPr>
          <w:b/>
        </w:rPr>
        <w:t xml:space="preserve">Strong Finish (Mar 30): </w:t>
      </w:r>
      <w:r>
        <w:t>EU ETS follow-up coverage and Italy BESS approvals pushed sentiment to 88, highest in reporting period.</w:t>
      </w:r>
    </w:p>
    <w:p>
      <w:r>
        <w:br w:type="page"/>
      </w:r>
    </w:p>
    <w:p>
      <w:pPr>
        <w:pStyle w:val="Heading1"/>
      </w:pPr>
      <w:r>
        <w:rPr>
          <w:color w:val="002147"/>
        </w:rPr>
        <w:t>SOCIAL MEDIA MONITORING</w:t>
      </w:r>
    </w:p>
    <w:p>
      <w:r>
        <w:t xml:space="preserve">Comprehensive social media monitoring across X (Twitter), LinkedIn, Facebook, and YouTube reveals strong engagement around Statkraft's strategic positioning and financial performance. </w:t>
      </w:r>
      <w:r>
        <w:rPr>
          <w:b/>
        </w:rPr>
        <w:t>Total tracked mentions: 93 across all platforms.</w:t>
      </w:r>
    </w:p>
    <w:p/>
    <w:p>
      <w:pPr>
        <w:jc w:val="center"/>
      </w:pPr>
      <w:r>
        <w:drawing>
          <wp:inline xmlns:a="http://schemas.openxmlformats.org/drawingml/2006/main" xmlns:pic="http://schemas.openxmlformats.org/drawingml/2006/picture">
            <wp:extent cx="5943600" cy="2437375"/>
            <wp:docPr id="3" name="Picture 3"/>
            <wp:cNvGraphicFramePr>
              <a:graphicFrameLocks noChangeAspect="1"/>
            </wp:cNvGraphicFramePr>
            <a:graphic>
              <a:graphicData uri="http://schemas.openxmlformats.org/drawingml/2006/picture">
                <pic:pic>
                  <pic:nvPicPr>
                    <pic:cNvPr id="0" name="statkraft_social_breakdown.png"/>
                    <pic:cNvPicPr/>
                  </pic:nvPicPr>
                  <pic:blipFill>
                    <a:blip r:embed="rId11"/>
                    <a:stretch>
                      <a:fillRect/>
                    </a:stretch>
                  </pic:blipFill>
                  <pic:spPr>
                    <a:xfrm>
                      <a:off x="0" y="0"/>
                      <a:ext cx="5943600" cy="2437375"/>
                    </a:xfrm>
                    <a:prstGeom prst="rect"/>
                  </pic:spPr>
                </pic:pic>
              </a:graphicData>
            </a:graphic>
          </wp:inline>
        </w:drawing>
      </w:r>
    </w:p>
    <w:p/>
    <w:p>
      <w:pPr>
        <w:pStyle w:val="Heading2"/>
      </w:pPr>
      <w:r>
        <w:rPr>
          <w:color w:val="002147"/>
        </w:rPr>
        <w:t>Platform Performance</w:t>
      </w:r>
    </w:p>
    <w:p>
      <w:r>
        <w:rPr>
          <w:b/>
        </w:rPr>
        <w:t xml:space="preserve">X (Twitter): </w:t>
      </w:r>
      <w:r>
        <w:rPr>
          <w:i/>
        </w:rPr>
        <w:t>45 mentions | Sentiment: 72 sentiment</w:t>
        <w:br/>
      </w:r>
      <w:r>
        <w:t>Primary channel for real-time news sharing, earnings discussion, and EU policy commentary. Peak engagement on March 5 (earnings) and March 13 (EU ETS letter).</w:t>
      </w:r>
    </w:p>
    <w:p>
      <w:r>
        <w:rPr>
          <w:b/>
        </w:rPr>
        <w:t xml:space="preserve">LinkedIn: </w:t>
      </w:r>
      <w:r>
        <w:rPr>
          <w:i/>
        </w:rPr>
        <w:t>28 mentions | Sentiment: 78 sentiment</w:t>
        <w:br/>
      </w:r>
      <w:r>
        <w:t>B2B-focused engagement with highest sentiment score. Strong performance among energy professionals and policy circles. CEO posts on EU ETS generated significant professional discussion.</w:t>
      </w:r>
    </w:p>
    <w:p>
      <w:r>
        <w:rPr>
          <w:b/>
        </w:rPr>
        <w:t xml:space="preserve">Facebook: </w:t>
      </w:r>
      <w:r>
        <w:rPr>
          <w:i/>
        </w:rPr>
        <w:t>12 mentions | Sentiment: 65 sentiment</w:t>
        <w:br/>
      </w:r>
      <w:r>
        <w:t>Community-level discussions primarily in Norwegian local groups regarding onshore wind projects. Lower overall engagement but important for local stakeholder sentiment.</w:t>
      </w:r>
    </w:p>
    <w:p>
      <w:r>
        <w:rPr>
          <w:b/>
        </w:rPr>
        <w:t xml:space="preserve">YouTube: </w:t>
      </w:r>
      <w:r>
        <w:rPr>
          <w:i/>
        </w:rPr>
        <w:t>8 mentions | Sentiment: 70 sentiment</w:t>
        <w:br/>
      </w:r>
      <w:r>
        <w:t>Earnings call recordings and CEO interview clips. Limited organic mentions but high view duration on official content.</w:t>
      </w:r>
    </w:p>
    <w:p/>
    <w:p>
      <w:pPr>
        <w:pStyle w:val="Heading2"/>
      </w:pPr>
      <w:r>
        <w:rPr>
          <w:color w:val="002147"/>
        </w:rPr>
        <w:t>Top Performing Social Content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Date</w:t>
            </w:r>
          </w:p>
        </w:tc>
        <w:tc>
          <w:tcPr>
            <w:tcW w:type="dxa" w:w="1440"/>
          </w:tcPr>
          <w:p>
            <w:pPr>
              <w:jc w:val="center"/>
            </w:pPr>
            <w:r>
              <w:rPr>
                <w:b/>
              </w:rPr>
              <w:t>Platform</w:t>
            </w:r>
          </w:p>
        </w:tc>
        <w:tc>
          <w:tcPr>
            <w:tcW w:type="dxa" w:w="1440"/>
          </w:tcPr>
          <w:p>
            <w:pPr>
              <w:jc w:val="center"/>
            </w:pPr>
            <w:r>
              <w:rPr>
                <w:b/>
              </w:rPr>
              <w:t>Author</w:t>
            </w:r>
          </w:p>
        </w:tc>
        <w:tc>
          <w:tcPr>
            <w:tcW w:type="dxa" w:w="1440"/>
          </w:tcPr>
          <w:p>
            <w:pPr>
              <w:jc w:val="center"/>
            </w:pPr>
            <w:r>
              <w:rPr>
                <w:b/>
              </w:rPr>
              <w:t>Content</w:t>
            </w:r>
          </w:p>
        </w:tc>
        <w:tc>
          <w:tcPr>
            <w:tcW w:type="dxa" w:w="1440"/>
          </w:tcPr>
          <w:p>
            <w:pPr>
              <w:jc w:val="center"/>
            </w:pPr>
            <w:r>
              <w:rPr>
                <w:b/>
              </w:rPr>
              <w:t>Engagement</w:t>
            </w:r>
          </w:p>
        </w:tc>
        <w:tc>
          <w:tcPr>
            <w:tcW w:type="dxa" w:w="1440"/>
          </w:tcPr>
          <w:p>
            <w:pPr>
              <w:jc w:val="center"/>
            </w:pPr>
            <w:r>
              <w:rPr>
                <w:b/>
              </w:rPr>
              <w:t>Sentiment</w:t>
            </w:r>
          </w:p>
        </w:tc>
      </w:tr>
      <w:tr>
        <w:tc>
          <w:tcPr>
            <w:tcW w:type="dxa" w:w="1440"/>
          </w:tcPr>
          <w:p>
            <w:r>
              <w:t>Mar 13</w:t>
            </w:r>
          </w:p>
        </w:tc>
        <w:tc>
          <w:tcPr>
            <w:tcW w:type="dxa" w:w="1440"/>
          </w:tcPr>
          <w:p>
            <w:r>
              <w:t>LinkedIn</w:t>
            </w:r>
          </w:p>
        </w:tc>
        <w:tc>
          <w:tcPr>
            <w:tcW w:type="dxa" w:w="1440"/>
          </w:tcPr>
          <w:p>
            <w:r>
              <w:t>Statkraft CEO Birgitte Ringstad Vartdal</w:t>
            </w:r>
          </w:p>
        </w:tc>
        <w:tc>
          <w:tcPr>
            <w:tcW w:type="dxa" w:w="1440"/>
          </w:tcPr>
          <w:p>
            <w:r>
              <w:t>EU ETS letter announcement</w:t>
            </w:r>
          </w:p>
        </w:tc>
        <w:tc>
          <w:tcPr>
            <w:tcW w:type="dxa" w:w="1440"/>
          </w:tcPr>
          <w:p>
            <w:r>
              <w:t>2.4K reactions, 156 comments</w:t>
            </w:r>
          </w:p>
        </w:tc>
        <w:tc>
          <w:tcPr>
            <w:tcW w:type="dxa" w:w="1440"/>
            <w:shd w:fill="d4edda"/>
          </w:tcPr>
          <w:p>
            <w:r>
              <w:t>Positive</w:t>
            </w:r>
          </w:p>
        </w:tc>
      </w:tr>
      <w:tr>
        <w:tc>
          <w:tcPr>
            <w:tcW w:type="dxa" w:w="1440"/>
          </w:tcPr>
          <w:p>
            <w:r>
              <w:t>Mar 5</w:t>
            </w:r>
          </w:p>
        </w:tc>
        <w:tc>
          <w:tcPr>
            <w:tcW w:type="dxa" w:w="1440"/>
          </w:tcPr>
          <w:p>
            <w:r>
              <w:t>X (Twitter)</w:t>
            </w:r>
          </w:p>
        </w:tc>
        <w:tc>
          <w:tcPr>
            <w:tcW w:type="dxa" w:w="1440"/>
          </w:tcPr>
          <w:p>
            <w:r>
              <w:t>@Statkraft</w:t>
            </w:r>
          </w:p>
        </w:tc>
        <w:tc>
          <w:tcPr>
            <w:tcW w:type="dxa" w:w="1440"/>
          </w:tcPr>
          <w:p>
            <w:r>
              <w:t>Q4 earnings infographic</w:t>
            </w:r>
          </w:p>
        </w:tc>
        <w:tc>
          <w:tcPr>
            <w:tcW w:type="dxa" w:w="1440"/>
          </w:tcPr>
          <w:p>
            <w:r>
              <w:t>892 retweets, 1.2K likes</w:t>
            </w:r>
          </w:p>
        </w:tc>
        <w:tc>
          <w:tcPr>
            <w:tcW w:type="dxa" w:w="1440"/>
            <w:shd w:fill="d4edda"/>
          </w:tcPr>
          <w:p>
            <w:r>
              <w:t>Positive</w:t>
            </w:r>
          </w:p>
        </w:tc>
      </w:tr>
      <w:tr>
        <w:tc>
          <w:tcPr>
            <w:tcW w:type="dxa" w:w="1440"/>
          </w:tcPr>
          <w:p>
            <w:r>
              <w:t>Mar 24</w:t>
            </w:r>
          </w:p>
        </w:tc>
        <w:tc>
          <w:tcPr>
            <w:tcW w:type="dxa" w:w="1440"/>
          </w:tcPr>
          <w:p>
            <w:r>
              <w:t>LinkedIn</w:t>
            </w:r>
          </w:p>
        </w:tc>
        <w:tc>
          <w:tcPr>
            <w:tcW w:type="dxa" w:w="1440"/>
          </w:tcPr>
          <w:p>
            <w:r>
              <w:t>EnergyWatch</w:t>
            </w:r>
          </w:p>
        </w:tc>
        <w:tc>
          <w:tcPr>
            <w:tcW w:type="dxa" w:w="1440"/>
          </w:tcPr>
          <w:p>
            <w:r>
              <w:t>Moifjellet wind approval news</w:t>
            </w:r>
          </w:p>
        </w:tc>
        <w:tc>
          <w:tcPr>
            <w:tcW w:type="dxa" w:w="1440"/>
          </w:tcPr>
          <w:p>
            <w:r>
              <w:t>456 reactions, 78 comments</w:t>
            </w:r>
          </w:p>
        </w:tc>
        <w:tc>
          <w:tcPr>
            <w:tcW w:type="dxa" w:w="1440"/>
            <w:shd w:fill="d4edda"/>
          </w:tcPr>
          <w:p>
            <w:r>
              <w:t>Positive</w:t>
            </w:r>
          </w:p>
        </w:tc>
      </w:tr>
      <w:tr>
        <w:tc>
          <w:tcPr>
            <w:tcW w:type="dxa" w:w="1440"/>
          </w:tcPr>
          <w:p>
            <w:r>
              <w:t>Mar 30</w:t>
            </w:r>
          </w:p>
        </w:tc>
        <w:tc>
          <w:tcPr>
            <w:tcW w:type="dxa" w:w="1440"/>
          </w:tcPr>
          <w:p>
            <w:r>
              <w:t>X (Twitter)</w:t>
            </w:r>
          </w:p>
        </w:tc>
        <w:tc>
          <w:tcPr>
            <w:tcW w:type="dxa" w:w="1440"/>
          </w:tcPr>
          <w:p>
            <w:r>
              <w:t>@SolarQuarter</w:t>
            </w:r>
          </w:p>
        </w:tc>
        <w:tc>
          <w:tcPr>
            <w:tcW w:type="dxa" w:w="1440"/>
          </w:tcPr>
          <w:p>
            <w:r>
              <w:t>EU ETS follow-up coverage</w:t>
            </w:r>
          </w:p>
        </w:tc>
        <w:tc>
          <w:tcPr>
            <w:tcW w:type="dxa" w:w="1440"/>
          </w:tcPr>
          <w:p>
            <w:r>
              <w:t>234 retweets, 567 likes</w:t>
            </w:r>
          </w:p>
        </w:tc>
        <w:tc>
          <w:tcPr>
            <w:tcW w:type="dxa" w:w="1440"/>
            <w:shd w:fill="d4edda"/>
          </w:tcPr>
          <w:p>
            <w:r>
              <w:t>Positive</w:t>
            </w:r>
          </w:p>
        </w:tc>
      </w:tr>
      <w:tr>
        <w:tc>
          <w:tcPr>
            <w:tcW w:type="dxa" w:w="1440"/>
          </w:tcPr>
          <w:p>
            <w:r>
              <w:t>Mar 16</w:t>
            </w:r>
          </w:p>
        </w:tc>
        <w:tc>
          <w:tcPr>
            <w:tcW w:type="dxa" w:w="1440"/>
          </w:tcPr>
          <w:p>
            <w:r>
              <w:t>LinkedIn</w:t>
            </w:r>
          </w:p>
        </w:tc>
        <w:tc>
          <w:tcPr>
            <w:tcW w:type="dxa" w:w="1440"/>
          </w:tcPr>
          <w:p>
            <w:r>
              <w:t>Bloomberg Energy</w:t>
            </w:r>
          </w:p>
        </w:tc>
        <w:tc>
          <w:tcPr>
            <w:tcW w:type="dxa" w:w="1440"/>
          </w:tcPr>
          <w:p>
            <w:r>
              <w:t>CEO interview on power markets</w:t>
            </w:r>
          </w:p>
        </w:tc>
        <w:tc>
          <w:tcPr>
            <w:tcW w:type="dxa" w:w="1440"/>
          </w:tcPr>
          <w:p>
            <w:r>
              <w:t>1.1K reactions, 89 comments</w:t>
            </w:r>
          </w:p>
        </w:tc>
        <w:tc>
          <w:tcPr>
            <w:tcW w:type="dxa" w:w="1440"/>
            <w:shd w:fill="fff3cd"/>
          </w:tcPr>
          <w:p>
            <w:r>
              <w:t>Neutral</w:t>
            </w:r>
          </w:p>
        </w:tc>
      </w:tr>
    </w:tbl>
    <w:p/>
    <w:p>
      <w:pPr>
        <w:pStyle w:val="Heading2"/>
      </w:pPr>
      <w:r>
        <w:rPr>
          <w:color w:val="002147"/>
        </w:rPr>
        <w:t>Key Influencer Mentions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Account</w:t>
            </w:r>
          </w:p>
        </w:tc>
        <w:tc>
          <w:tcPr>
            <w:tcW w:type="dxa" w:w="1728"/>
          </w:tcPr>
          <w:p>
            <w:pPr>
              <w:jc w:val="center"/>
            </w:pPr>
            <w:r>
              <w:rPr>
                <w:b/>
              </w:rPr>
              <w:t>Platform</w:t>
            </w:r>
          </w:p>
        </w:tc>
        <w:tc>
          <w:tcPr>
            <w:tcW w:type="dxa" w:w="1728"/>
          </w:tcPr>
          <w:p>
            <w:pPr>
              <w:jc w:val="center"/>
            </w:pPr>
            <w:r>
              <w:rPr>
                <w:b/>
              </w:rPr>
              <w:t>Followers</w:t>
            </w:r>
          </w:p>
        </w:tc>
        <w:tc>
          <w:tcPr>
            <w:tcW w:type="dxa" w:w="1728"/>
          </w:tcPr>
          <w:p>
            <w:pPr>
              <w:jc w:val="center"/>
            </w:pPr>
            <w:r>
              <w:rPr>
                <w:b/>
              </w:rPr>
              <w:t>Mention Context</w:t>
            </w:r>
          </w:p>
        </w:tc>
        <w:tc>
          <w:tcPr>
            <w:tcW w:type="dxa" w:w="1728"/>
          </w:tcPr>
          <w:p>
            <w:pPr>
              <w:jc w:val="center"/>
            </w:pPr>
            <w:r>
              <w:rPr>
                <w:b/>
              </w:rPr>
              <w:t>Category</w:t>
            </w:r>
          </w:p>
        </w:tc>
      </w:tr>
      <w:tr>
        <w:tc>
          <w:tcPr>
            <w:tcW w:type="dxa" w:w="1728"/>
          </w:tcPr>
          <w:p>
            <w:r>
              <w:t>@BloombergEnergy</w:t>
            </w:r>
          </w:p>
        </w:tc>
        <w:tc>
          <w:tcPr>
            <w:tcW w:type="dxa" w:w="1728"/>
          </w:tcPr>
          <w:p>
            <w:r>
              <w:t>X/Twitter</w:t>
            </w:r>
          </w:p>
        </w:tc>
        <w:tc>
          <w:tcPr>
            <w:tcW w:type="dxa" w:w="1728"/>
          </w:tcPr>
          <w:p>
            <w:r>
              <w:t>289K followers</w:t>
            </w:r>
          </w:p>
        </w:tc>
        <w:tc>
          <w:tcPr>
            <w:tcW w:type="dxa" w:w="1728"/>
          </w:tcPr>
          <w:p>
            <w:r>
              <w:t>Quoted CEO on EU power market risks</w:t>
            </w:r>
          </w:p>
        </w:tc>
        <w:tc>
          <w:tcPr>
            <w:tcW w:type="dxa" w:w="1728"/>
          </w:tcPr>
          <w:p>
            <w:r>
              <w:t>Industry Analyst</w:t>
            </w:r>
          </w:p>
        </w:tc>
      </w:tr>
      <w:tr>
        <w:tc>
          <w:tcPr>
            <w:tcW w:type="dxa" w:w="1728"/>
          </w:tcPr>
          <w:p>
            <w:r>
              <w:t>@ReutersSustainable</w:t>
            </w:r>
          </w:p>
        </w:tc>
        <w:tc>
          <w:tcPr>
            <w:tcW w:type="dxa" w:w="1728"/>
          </w:tcPr>
          <w:p>
            <w:r>
              <w:t>X/Twitter</w:t>
            </w:r>
          </w:p>
        </w:tc>
        <w:tc>
          <w:tcPr>
            <w:tcW w:type="dxa" w:w="1728"/>
          </w:tcPr>
          <w:p>
            <w:r>
              <w:t>156K followers</w:t>
            </w:r>
          </w:p>
        </w:tc>
        <w:tc>
          <w:tcPr>
            <w:tcW w:type="dxa" w:w="1728"/>
          </w:tcPr>
          <w:p>
            <w:r>
              <w:t>Covered Q4 earnings and EU ETS letter</w:t>
            </w:r>
          </w:p>
        </w:tc>
        <w:tc>
          <w:tcPr>
            <w:tcW w:type="dxa" w:w="1728"/>
          </w:tcPr>
          <w:p>
            <w:r>
              <w:t>Journalist</w:t>
            </w:r>
          </w:p>
        </w:tc>
      </w:tr>
      <w:tr>
        <w:tc>
          <w:tcPr>
            <w:tcW w:type="dxa" w:w="1728"/>
          </w:tcPr>
          <w:p>
            <w:r>
              <w:t>Birgitte Ringstad Vartdal</w:t>
            </w:r>
          </w:p>
        </w:tc>
        <w:tc>
          <w:tcPr>
            <w:tcW w:type="dxa" w:w="1728"/>
          </w:tcPr>
          <w:p>
            <w:r>
              <w:t>LinkedIn</w:t>
            </w:r>
          </w:p>
        </w:tc>
        <w:tc>
          <w:tcPr>
            <w:tcW w:type="dxa" w:w="1728"/>
          </w:tcPr>
          <w:p>
            <w:r>
              <w:t>12K followers</w:t>
            </w:r>
          </w:p>
        </w:tc>
        <w:tc>
          <w:tcPr>
            <w:tcW w:type="dxa" w:w="1728"/>
          </w:tcPr>
          <w:p>
            <w:r>
              <w:t>Posted EU ETS letter, high engagement</w:t>
            </w:r>
          </w:p>
        </w:tc>
        <w:tc>
          <w:tcPr>
            <w:tcW w:type="dxa" w:w="1728"/>
          </w:tcPr>
          <w:p>
            <w:r>
              <w:t>Executive</w:t>
            </w:r>
          </w:p>
        </w:tc>
      </w:tr>
      <w:tr>
        <w:tc>
          <w:tcPr>
            <w:tcW w:type="dxa" w:w="1728"/>
          </w:tcPr>
          <w:p>
            <w:r>
              <w:t>EnergyWatch Norway</w:t>
            </w:r>
          </w:p>
        </w:tc>
        <w:tc>
          <w:tcPr>
            <w:tcW w:type="dxa" w:w="1728"/>
          </w:tcPr>
          <w:p>
            <w:r>
              <w:t>LinkedIn</w:t>
            </w:r>
          </w:p>
        </w:tc>
        <w:tc>
          <w:tcPr>
            <w:tcW w:type="dxa" w:w="1728"/>
          </w:tcPr>
          <w:p>
            <w:r>
              <w:t>8.5K followers</w:t>
            </w:r>
          </w:p>
        </w:tc>
        <w:tc>
          <w:tcPr>
            <w:tcW w:type="dxa" w:w="1728"/>
          </w:tcPr>
          <w:p>
            <w:r>
              <w:t>Broke Moifjellet wind approval story</w:t>
            </w:r>
          </w:p>
        </w:tc>
        <w:tc>
          <w:tcPr>
            <w:tcW w:type="dxa" w:w="1728"/>
          </w:tcPr>
          <w:p>
            <w:r>
              <w:t>Industry Publication</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