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56"/>
        </w:rPr>
        <w:t>DIN PERSONLIGE HELSESJEF</w:t>
      </w:r>
    </w:p>
    <w:p/>
    <w:p>
      <w:pPr>
        <w:jc w:val="center"/>
      </w:pPr>
      <w:r>
        <w:rPr>
          <w:color w:val="444444"/>
          <w:sz w:val="32"/>
        </w:rPr>
        <w:t>Oslo Concierge GP</w:t>
      </w:r>
    </w:p>
    <w:p/>
    <w:p>
      <w:pPr>
        <w:jc w:val="center"/>
      </w:pPr>
      <w:r>
        <w:rPr>
          <w:i/>
          <w:color w:val="666666"/>
          <w:sz w:val="24"/>
        </w:rPr>
        <w:t>AI-Powered Personalised Private Medical Practice</w:t>
      </w:r>
    </w:p>
    <w:p/>
    <w:p/>
    <w:p>
      <w:pPr>
        <w:jc w:val="center"/>
      </w:pPr>
      <w:r>
        <w:rPr>
          <w:color w:val="888888"/>
          <w:sz w:val="18"/>
        </w:rPr>
        <w:t>CONFIDENTIAL | Oslo, Norway | March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The Opportunity: </w:t>
      </w:r>
      <w:r>
        <w:t>Norway's first AI-native concierge GP practice, targeting Oslo's 15,000–25,000 executive market. The Norwegian fastlege system cannot deliver what this demographic demands: proactive, personalised, continuous healthcare.</w:t>
      </w:r>
    </w:p>
    <w:p>
      <w:r>
        <w:rPr>
          <w:b/>
        </w:rPr>
        <w:t xml:space="preserve">The Model: </w:t>
      </w:r>
      <w:r>
        <w:t>Monthly membership retainers (NOK 2,500–10,000/month) serving 50–100 members. At full capacity: NOK 6M annual recurring revenue with 70–80% net margins.</w:t>
      </w:r>
    </w:p>
    <w:p>
      <w:r>
        <w:rPr>
          <w:b/>
        </w:rPr>
        <w:t xml:space="preserve">The Advantage: </w:t>
      </w:r>
      <w:r>
        <w:t>Local AI infrastructure enables a solo physician to deliver multi-doctor practice quality. Data never leaves Norway—GDPR-compliant and a premium market differentiator.</w:t>
      </w:r>
    </w:p>
    <w:p>
      <w:pPr>
        <w:pStyle w:val="Heading2"/>
      </w:pPr>
      <w:r>
        <w:t>Key Metrics at Full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Annual Recurring Revenue</w:t>
            </w:r>
          </w:p>
        </w:tc>
        <w:tc>
          <w:tcPr>
            <w:tcW w:type="dxa" w:w="4824"/>
          </w:tcPr>
          <w:p>
            <w:r>
              <w:t>NOK 6,000,000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Net Margin</w:t>
            </w:r>
          </w:p>
        </w:tc>
        <w:tc>
          <w:tcPr>
            <w:tcW w:type="dxa" w:w="4824"/>
          </w:tcPr>
          <w:p>
            <w:r>
              <w:t>70–80%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Panel Size</w:t>
            </w:r>
          </w:p>
        </w:tc>
        <w:tc>
          <w:tcPr>
            <w:tcW w:type="dxa" w:w="4824"/>
          </w:tcPr>
          <w:p>
            <w:r>
              <w:t>50–100 members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Time Commitment</w:t>
            </w:r>
          </w:p>
        </w:tc>
        <w:tc>
          <w:tcPr>
            <w:tcW w:type="dxa" w:w="4824"/>
          </w:tcPr>
          <w:p>
            <w:r>
              <w:t>3–4 clinical days/week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Break-even</w:t>
            </w:r>
          </w:p>
        </w:tc>
        <w:tc>
          <w:tcPr>
            <w:tcW w:type="dxa" w:w="4824"/>
          </w:tcPr>
          <w:p>
            <w:r>
              <w:t>15–18 members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Launch to First Member</w:t>
            </w:r>
          </w:p>
        </w:tc>
        <w:tc>
          <w:tcPr>
            <w:tcW w:type="dxa" w:w="4824"/>
          </w:tcPr>
          <w:p>
            <w:r>
              <w:t>60–90 days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Setup Investment</w:t>
            </w:r>
          </w:p>
        </w:tc>
        <w:tc>
          <w:tcPr>
            <w:tcW w:type="dxa" w:w="4824"/>
          </w:tcPr>
          <w:p>
            <w:r>
              <w:t>NOK 150,000–300,000</w:t>
            </w:r>
          </w:p>
        </w:tc>
      </w:tr>
    </w:tbl>
    <w:p>
      <w:pPr>
        <w:pStyle w:val="Heading1"/>
      </w:pPr>
      <w:r>
        <w:t>THE MARKET GAP</w:t>
      </w:r>
    </w:p>
    <w:p>
      <w:r>
        <w:rPr>
          <w:b/>
        </w:rPr>
        <w:t xml:space="preserve">The Problem: </w:t>
      </w:r>
      <w:r>
        <w:t>Average Norwegian fastlege manages 1,100+ patients with 10-minute consultations. Oslo executives invest in trainers, advisors, coaches—but have no health equivalent.</w:t>
      </w:r>
    </w:p>
    <w:p>
      <w:r>
        <w:rPr>
          <w:b/>
        </w:rPr>
        <w:t xml:space="preserve">The Positioning: </w:t>
      </w:r>
      <w:r>
        <w:t>"Din personlige helsesjef — legen som faktisk kjenner deg." The doctor who knows your history, monitors your data, and treats your health as an ongoing project.</w:t>
      </w:r>
    </w:p>
    <w:p>
      <w:r>
        <w:rPr>
          <w:b/>
        </w:rPr>
        <w:t xml:space="preserve">Market Size: </w:t>
      </w:r>
      <w:r>
        <w:t>100 members = &lt;0.7% of Oslo's executive population. Highly achievable through network outreach.</w:t>
      </w:r>
    </w:p>
    <w:p>
      <w:pPr>
        <w:pStyle w:val="Heading1"/>
      </w:pPr>
      <w:r>
        <w:t>SERVICE MODEL</w:t>
      </w:r>
    </w:p>
    <w:p>
      <w:pPr>
        <w:pStyle w:val="Heading2"/>
      </w:pPr>
      <w:r>
        <w:t>Membership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Klienten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Partneren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Partneren Pro</w:t>
            </w:r>
          </w:p>
        </w:tc>
      </w:tr>
      <w:tr>
        <w:tc>
          <w:tcPr>
            <w:tcW w:type="dxa" w:w="2412"/>
          </w:tcPr>
          <w:p>
            <w:r>
              <w:t>Monthly Fee</w:t>
            </w:r>
          </w:p>
        </w:tc>
        <w:tc>
          <w:tcPr>
            <w:tcW w:type="dxa" w:w="2412"/>
          </w:tcPr>
          <w:p>
            <w:r>
              <w:t>NOK 2,500</w:t>
            </w:r>
          </w:p>
        </w:tc>
        <w:tc>
          <w:tcPr>
            <w:tcW w:type="dxa" w:w="2412"/>
          </w:tcPr>
          <w:p>
            <w:r>
              <w:t>NOK 5,000</w:t>
            </w:r>
          </w:p>
        </w:tc>
        <w:tc>
          <w:tcPr>
            <w:tcW w:type="dxa" w:w="2412"/>
          </w:tcPr>
          <w:p>
            <w:r>
              <w:t>NOK 10,000</w:t>
            </w:r>
          </w:p>
        </w:tc>
      </w:tr>
      <w:tr>
        <w:tc>
          <w:tcPr>
            <w:tcW w:type="dxa" w:w="2412"/>
          </w:tcPr>
          <w:p>
            <w:r>
              <w:t>Annual Assessment</w:t>
            </w:r>
          </w:p>
        </w:tc>
        <w:tc>
          <w:tcPr>
            <w:tcW w:type="dxa" w:w="2412"/>
          </w:tcPr>
          <w:p>
            <w:r>
              <w:t>2 hours</w:t>
            </w:r>
          </w:p>
        </w:tc>
        <w:tc>
          <w:tcPr>
            <w:tcW w:type="dxa" w:w="2412"/>
          </w:tcPr>
          <w:p>
            <w:r>
              <w:t>2 hrs + labs</w:t>
            </w:r>
          </w:p>
        </w:tc>
        <w:tc>
          <w:tcPr>
            <w:tcW w:type="dxa" w:w="2412"/>
          </w:tcPr>
          <w:p>
            <w:r>
              <w:t>3 hrs + longevity</w:t>
            </w:r>
          </w:p>
        </w:tc>
      </w:tr>
      <w:tr>
        <w:tc>
          <w:tcPr>
            <w:tcW w:type="dxa" w:w="2412"/>
          </w:tcPr>
          <w:p>
            <w:r>
              <w:t>Follow-ups</w:t>
            </w:r>
          </w:p>
        </w:tc>
        <w:tc>
          <w:tcPr>
            <w:tcW w:type="dxa" w:w="2412"/>
          </w:tcPr>
          <w:p>
            <w:r>
              <w:t>Quarterly</w:t>
            </w:r>
          </w:p>
        </w:tc>
        <w:tc>
          <w:tcPr>
            <w:tcW w:type="dxa" w:w="2412"/>
          </w:tcPr>
          <w:p>
            <w:r>
              <w:t>Every 2 months</w:t>
            </w:r>
          </w:p>
        </w:tc>
        <w:tc>
          <w:tcPr>
            <w:tcW w:type="dxa" w:w="2412"/>
          </w:tcPr>
          <w:p>
            <w:r>
              <w:t>Monthly</w:t>
            </w:r>
          </w:p>
        </w:tc>
      </w:tr>
      <w:tr>
        <w:tc>
          <w:tcPr>
            <w:tcW w:type="dxa" w:w="2412"/>
          </w:tcPr>
          <w:p>
            <w:r>
              <w:t>Messaging</w:t>
            </w:r>
          </w:p>
        </w:tc>
        <w:tc>
          <w:tcPr>
            <w:tcW w:type="dxa" w:w="2412"/>
          </w:tcPr>
          <w:p>
            <w:r>
              <w:t>WhatsApp</w:t>
            </w:r>
          </w:p>
        </w:tc>
        <w:tc>
          <w:tcPr>
            <w:tcW w:type="dxa" w:w="2412"/>
          </w:tcPr>
          <w:p>
            <w:r>
              <w:t>WhatsApp + mobile</w:t>
            </w:r>
          </w:p>
        </w:tc>
        <w:tc>
          <w:tcPr>
            <w:tcW w:type="dxa" w:w="2412"/>
          </w:tcPr>
          <w:p>
            <w:r>
              <w:t>Unlimited</w:t>
            </w:r>
          </w:p>
        </w:tc>
      </w:tr>
      <w:tr>
        <w:tc>
          <w:tcPr>
            <w:tcW w:type="dxa" w:w="2412"/>
          </w:tcPr>
          <w:p>
            <w:r>
              <w:t>Appointment</w:t>
            </w:r>
          </w:p>
        </w:tc>
        <w:tc>
          <w:tcPr>
            <w:tcW w:type="dxa" w:w="2412"/>
          </w:tcPr>
          <w:p>
            <w:r>
              <w:t>Same week</w:t>
            </w:r>
          </w:p>
        </w:tc>
        <w:tc>
          <w:tcPr>
            <w:tcW w:type="dxa" w:w="2412"/>
          </w:tcPr>
          <w:p>
            <w:r>
              <w:t>Same day (urgent)</w:t>
            </w:r>
          </w:p>
        </w:tc>
        <w:tc>
          <w:tcPr>
            <w:tcW w:type="dxa" w:w="2412"/>
          </w:tcPr>
          <w:p>
            <w:r>
              <w:t>Same day always</w:t>
            </w:r>
          </w:p>
        </w:tc>
      </w:tr>
    </w:tbl>
    <w:p>
      <w:r>
        <w:rPr>
          <w:b/>
        </w:rPr>
        <w:t xml:space="preserve">Annual Prepay Discount: </w:t>
      </w:r>
      <w:r>
        <w:t>10% discount for annual payment. Improves cash flow and retention.</w:t>
      </w:r>
    </w:p>
    <w:p>
      <w:pPr>
        <w:pStyle w:val="Heading1"/>
      </w:pPr>
      <w:r>
        <w:t>FINANCIAL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</w:p>
        </w:tc>
        <w:tc>
          <w:tcPr>
            <w:tcW w:type="dxa" w:w="193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193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1930"/>
          </w:tcPr>
          <w:p>
            <w:r>
              <w:rPr>
                <w:b/>
              </w:rPr>
              <w:t>Year 3</w:t>
            </w:r>
          </w:p>
        </w:tc>
        <w:tc>
          <w:tcPr>
            <w:tcW w:type="dxa" w:w="1930"/>
          </w:tcPr>
          <w:p>
            <w:r>
              <w:rPr>
                <w:b/>
              </w:rPr>
              <w:t>Full Capacity</w:t>
            </w:r>
          </w:p>
        </w:tc>
      </w:tr>
      <w:tr>
        <w:tc>
          <w:tcPr>
            <w:tcW w:type="dxa" w:w="1930"/>
          </w:tcPr>
          <w:p>
            <w:r>
              <w:rPr>
                <w:b/>
              </w:rPr>
              <w:t>Members</w:t>
            </w:r>
          </w:p>
        </w:tc>
        <w:tc>
          <w:tcPr>
            <w:tcW w:type="dxa" w:w="1930"/>
          </w:tcPr>
          <w:p>
            <w:r>
              <w:t>35–50</w:t>
            </w:r>
          </w:p>
        </w:tc>
        <w:tc>
          <w:tcPr>
            <w:tcW w:type="dxa" w:w="1930"/>
          </w:tcPr>
          <w:p>
            <w:r>
              <w:t>60–75</w:t>
            </w:r>
          </w:p>
        </w:tc>
        <w:tc>
          <w:tcPr>
            <w:tcW w:type="dxa" w:w="1930"/>
          </w:tcPr>
          <w:p>
            <w:r>
              <w:t>80–100</w:t>
            </w:r>
          </w:p>
        </w:tc>
        <w:tc>
          <w:tcPr>
            <w:tcW w:type="dxa" w:w="1930"/>
          </w:tcPr>
          <w:p>
            <w:r>
              <w:t>100</w:t>
            </w:r>
          </w:p>
        </w:tc>
      </w:tr>
      <w:tr>
        <w:tc>
          <w:tcPr>
            <w:tcW w:type="dxa" w:w="193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1930"/>
          </w:tcPr>
          <w:p>
            <w:r>
              <w:t>NOK 2.4–3.6M</w:t>
            </w:r>
          </w:p>
        </w:tc>
        <w:tc>
          <w:tcPr>
            <w:tcW w:type="dxa" w:w="1930"/>
          </w:tcPr>
          <w:p>
            <w:r>
              <w:t>NOK 4.2–5.4M</w:t>
            </w:r>
          </w:p>
        </w:tc>
        <w:tc>
          <w:tcPr>
            <w:tcW w:type="dxa" w:w="1930"/>
          </w:tcPr>
          <w:p>
            <w:r>
              <w:t>NOK 5.4–6M</w:t>
            </w:r>
          </w:p>
        </w:tc>
        <w:tc>
          <w:tcPr>
            <w:tcW w:type="dxa" w:w="1930"/>
          </w:tcPr>
          <w:p>
            <w:r>
              <w:t>NOK 6M</w:t>
            </w:r>
          </w:p>
        </w:tc>
      </w:tr>
      <w:tr>
        <w:tc>
          <w:tcPr>
            <w:tcW w:type="dxa" w:w="1930"/>
          </w:tcPr>
          <w:p>
            <w:r>
              <w:rPr>
                <w:b/>
              </w:rPr>
              <w:t>Net (70–80%)</w:t>
            </w:r>
          </w:p>
        </w:tc>
        <w:tc>
          <w:tcPr>
            <w:tcW w:type="dxa" w:w="1930"/>
          </w:tcPr>
          <w:p>
            <w:r>
              <w:t>NOK 1.7–2.9M</w:t>
            </w:r>
          </w:p>
        </w:tc>
        <w:tc>
          <w:tcPr>
            <w:tcW w:type="dxa" w:w="1930"/>
          </w:tcPr>
          <w:p>
            <w:r>
              <w:t>NOK 2.9–4.3M</w:t>
            </w:r>
          </w:p>
        </w:tc>
        <w:tc>
          <w:tcPr>
            <w:tcW w:type="dxa" w:w="1930"/>
          </w:tcPr>
          <w:p>
            <w:r>
              <w:t>NOK 3.8–4.8M</w:t>
            </w:r>
          </w:p>
        </w:tc>
        <w:tc>
          <w:tcPr>
            <w:tcW w:type="dxa" w:w="1930"/>
          </w:tcPr>
          <w:p>
            <w:r>
              <w:t>NOK 4.2–4.8M</w:t>
            </w:r>
          </w:p>
        </w:tc>
      </w:tr>
    </w:tbl>
    <w:p>
      <w:r>
        <w:rPr>
          <w:b/>
        </w:rPr>
        <w:t xml:space="preserve">Break-even: </w:t>
      </w:r>
      <w:r>
        <w:t>15–18 members (NOK 75K–90K/month revenue vs. NOK 40K–60K/month costs). Achievable within 60–90 days.</w:t>
      </w:r>
    </w:p>
    <w:p>
      <w:pPr>
        <w:pStyle w:val="Heading1"/>
      </w:pPr>
      <w:r>
        <w:t>IMPLEMENTATION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Key Deliverable</w:t>
            </w:r>
          </w:p>
        </w:tc>
      </w:tr>
      <w:tr>
        <w:tc>
          <w:tcPr>
            <w:tcW w:type="dxa" w:w="3216"/>
          </w:tcPr>
          <w:p>
            <w:r>
              <w:t>Foundation</w:t>
            </w:r>
          </w:p>
        </w:tc>
        <w:tc>
          <w:tcPr>
            <w:tcW w:type="dxa" w:w="3216"/>
          </w:tcPr>
          <w:p>
            <w:r>
              <w:t>Weeks 1–4</w:t>
            </w:r>
          </w:p>
        </w:tc>
        <w:tc>
          <w:tcPr>
            <w:tcW w:type="dxa" w:w="3216"/>
          </w:tcPr>
          <w:p>
            <w:r>
              <w:t>Business registered, EPJ live, space secured</w:t>
            </w:r>
          </w:p>
        </w:tc>
      </w:tr>
      <w:tr>
        <w:tc>
          <w:tcPr>
            <w:tcW w:type="dxa" w:w="3216"/>
          </w:tcPr>
          <w:p>
            <w:r>
              <w:t>Founder Launch</w:t>
            </w:r>
          </w:p>
        </w:tc>
        <w:tc>
          <w:tcPr>
            <w:tcW w:type="dxa" w:w="3216"/>
          </w:tcPr>
          <w:p>
            <w:r>
              <w:t>Weeks 5–12</w:t>
            </w:r>
          </w:p>
        </w:tc>
        <w:tc>
          <w:tcPr>
            <w:tcW w:type="dxa" w:w="3216"/>
          </w:tcPr>
          <w:p>
            <w:r>
              <w:t>10–15 founding members onboarded</w:t>
            </w:r>
          </w:p>
        </w:tc>
      </w:tr>
      <w:tr>
        <w:tc>
          <w:tcPr>
            <w:tcW w:type="dxa" w:w="3216"/>
          </w:tcPr>
          <w:p>
            <w:r>
              <w:t>Growth</w:t>
            </w:r>
          </w:p>
        </w:tc>
        <w:tc>
          <w:tcPr>
            <w:tcW w:type="dxa" w:w="3216"/>
          </w:tcPr>
          <w:p>
            <w:r>
              <w:t>Months 4–12</w:t>
            </w:r>
          </w:p>
        </w:tc>
        <w:tc>
          <w:tcPr>
            <w:tcW w:type="dxa" w:w="3216"/>
          </w:tcPr>
          <w:p>
            <w:r>
              <w:t>40–50 members, corporate outreach</w:t>
            </w:r>
          </w:p>
        </w:tc>
      </w:tr>
      <w:tr>
        <w:tc>
          <w:tcPr>
            <w:tcW w:type="dxa" w:w="3216"/>
          </w:tcPr>
          <w:p>
            <w:r>
              <w:t>Scale</w:t>
            </w:r>
          </w:p>
        </w:tc>
        <w:tc>
          <w:tcPr>
            <w:tcW w:type="dxa" w:w="3216"/>
          </w:tcPr>
          <w:p>
            <w:r>
              <w:t>Year 2</w:t>
            </w:r>
          </w:p>
        </w:tc>
        <w:tc>
          <w:tcPr>
            <w:tcW w:type="dxa" w:w="3216"/>
          </w:tcPr>
          <w:p>
            <w:r>
              <w:t>75–100 members, add nurse practitioner</w:t>
            </w:r>
          </w:p>
        </w:tc>
      </w:tr>
    </w:tbl>
    <w:p>
      <w:pPr>
        <w:pStyle w:val="Heading1"/>
      </w:pPr>
      <w:r>
        <w:t>RISK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824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824"/>
          </w:tcPr>
          <w:p>
            <w:r>
              <w:t>Physician unavailability</w:t>
            </w:r>
          </w:p>
        </w:tc>
        <w:tc>
          <w:tcPr>
            <w:tcW w:type="dxa" w:w="4824"/>
          </w:tcPr>
          <w:p>
            <w:r>
              <w:t>Locum relationships, coverage dossiers, force majeure clause</w:t>
            </w:r>
          </w:p>
        </w:tc>
      </w:tr>
      <w:tr>
        <w:tc>
          <w:tcPr>
            <w:tcW w:type="dxa" w:w="4824"/>
          </w:tcPr>
          <w:p>
            <w:r>
              <w:t>Competitive copying</w:t>
            </w:r>
          </w:p>
        </w:tc>
        <w:tc>
          <w:tcPr>
            <w:tcW w:type="dxa" w:w="4824"/>
          </w:tcPr>
          <w:p>
            <w:r>
              <w:t>Exclusive partnerships, proprietary AI workflows, data moat</w:t>
            </w:r>
          </w:p>
        </w:tc>
      </w:tr>
      <w:tr>
        <w:tc>
          <w:tcPr>
            <w:tcW w:type="dxa" w:w="4824"/>
          </w:tcPr>
          <w:p>
            <w:r>
              <w:t>Member churn</w:t>
            </w:r>
          </w:p>
        </w:tc>
        <w:tc>
          <w:tcPr>
            <w:tcW w:type="dxa" w:w="4824"/>
          </w:tcPr>
          <w:p>
            <w:r>
              <w:t>Annual Health Roadmap, prepay discounts, engagement scoring</w:t>
            </w:r>
          </w:p>
        </w:tc>
      </w:tr>
      <w:tr>
        <w:tc>
          <w:tcPr>
            <w:tcW w:type="dxa" w:w="4824"/>
          </w:tcPr>
          <w:p>
            <w:r>
              <w:t>Fastlege conflict</w:t>
            </w:r>
          </w:p>
        </w:tc>
        <w:tc>
          <w:tcPr>
            <w:tcW w:type="dxa" w:w="4824"/>
          </w:tcPr>
          <w:p>
            <w:r>
              <w:t>Review contract, notify municipality, maintain separation</w:t>
            </w:r>
          </w:p>
        </w:tc>
      </w:tr>
    </w:tbl>
    <w:p>
      <w:pPr>
        <w:pStyle w:val="Heading1"/>
      </w:pPr>
      <w:r>
        <w:t>REGULATORY ESSENTIALS</w:t>
      </w:r>
    </w:p>
    <w:p>
      <w:r>
        <w:rPr>
          <w:b/>
        </w:rPr>
        <w:t xml:space="preserve">Structure: </w:t>
      </w:r>
      <w:r>
        <w:t>Helfrivat (fully private)—no Helfo registration. Patients pay 100% out-of-pocket.</w:t>
      </w:r>
    </w:p>
    <w:p>
      <w:r>
        <w:rPr>
          <w:b/>
        </w:rPr>
        <w:t xml:space="preserve">Requirements: </w:t>
      </w:r>
      <w:r>
        <w:t>AS/ENK registration, municipality notification, NPE registration, compliant EPJ.</w:t>
      </w:r>
    </w:p>
    <w:p>
      <w:r>
        <w:rPr>
          <w:b/>
        </w:rPr>
        <w:t xml:space="preserve">Critical: </w:t>
      </w:r>
      <w:r>
        <w:t>Review fastlegeavtale for competing activity clauses before launch.</w:t>
      </w:r>
    </w:p>
    <w:p>
      <w:pPr>
        <w:pStyle w:val="Heading1"/>
      </w:pPr>
      <w:r>
        <w:t>INVESTMENT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824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824"/>
          </w:tcPr>
          <w:p>
            <w:r>
              <w:t>Setup Costs (one-time)</w:t>
            </w:r>
          </w:p>
        </w:tc>
        <w:tc>
          <w:tcPr>
            <w:tcW w:type="dxa" w:w="4824"/>
          </w:tcPr>
          <w:p>
            <w:r>
              <w:t>NOK 150,000–300,000</w:t>
            </w:r>
          </w:p>
        </w:tc>
      </w:tr>
      <w:tr>
        <w:tc>
          <w:tcPr>
            <w:tcW w:type="dxa" w:w="4824"/>
          </w:tcPr>
          <w:p>
            <w:r>
              <w:t>Annual Operating Costs</w:t>
            </w:r>
          </w:p>
        </w:tc>
        <w:tc>
          <w:tcPr>
            <w:tcW w:type="dxa" w:w="4824"/>
          </w:tcPr>
          <w:p>
            <w:r>
              <w:t>NOK 150,000–300,000</w:t>
            </w:r>
          </w:p>
        </w:tc>
      </w:tr>
      <w:tr>
        <w:tc>
          <w:tcPr>
            <w:tcW w:type="dxa" w:w="4824"/>
          </w:tcPr>
          <w:p>
            <w:r>
              <w:t>Break-even Timeline</w:t>
            </w:r>
          </w:p>
        </w:tc>
        <w:tc>
          <w:tcPr>
            <w:tcW w:type="dxa" w:w="4824"/>
          </w:tcPr>
          <w:p>
            <w:r>
              <w:t>60–90 days</w:t>
            </w:r>
          </w:p>
        </w:tc>
      </w:tr>
      <w:tr>
        <w:tc>
          <w:tcPr>
            <w:tcW w:type="dxa" w:w="4824"/>
          </w:tcPr>
          <w:p>
            <w:r>
              <w:t>Full Capacity Revenue</w:t>
            </w:r>
          </w:p>
        </w:tc>
        <w:tc>
          <w:tcPr>
            <w:tcW w:type="dxa" w:w="4824"/>
          </w:tcPr>
          <w:p>
            <w:r>
              <w:t>NOK 6M/year</w:t>
            </w:r>
          </w:p>
        </w:tc>
      </w:tr>
    </w:tbl>
    <w:p/>
    <w:p>
      <w:pPr>
        <w:jc w:val="center"/>
      </w:pPr>
      <w:r>
        <w:rPr>
          <w:i/>
          <w:color w:val="444444"/>
          <w:sz w:val="22"/>
        </w:rPr>
        <w:t>The product does not exist in Norway. You are not competing—you are creating a category.</w:t>
      </w:r>
    </w:p>
    <w:p/>
    <w:p>
      <w:pPr>
        <w:jc w:val="center"/>
      </w:pPr>
      <w:r>
        <w:rPr>
          <w:color w:val="888888"/>
          <w:sz w:val="16"/>
        </w:rPr>
        <w:t>Din Personlige Helsesjef | Oslo Concierge GP | CONFIDENTIAL 2026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