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DIN PERSONLIGE HELSESJEF - Updated Business Plan v1.1</w:t>
      </w:r>
    </w:p>
    <w:p>
      <w:pPr>
        <w:pStyle w:val="Heading2"/>
      </w:pPr>
      <w:r>
        <w:t>Oslo Concierge GP</w:t>
      </w:r>
    </w:p>
    <w:p>
      <w:pPr>
        <w:pStyle w:val="Heading3"/>
      </w:pPr>
      <w:r>
        <w:t>Full Business Plan &amp; Implementation Roadmap</w:t>
      </w:r>
    </w:p>
    <w:p>
      <w:r>
        <w:t>AI-Powered Personalised Private Medical Practice for Oslo Executives</w:t>
      </w:r>
    </w:p>
    <w:p>
      <w:r>
        <w:t>CONFIDENTIAL  |  Oslo, Norway  |  2026</w:t>
      </w:r>
    </w:p>
    <w:p>
      <w:r>
        <w:t>__________________________________________________</w:t>
      </w:r>
    </w:p>
    <w:p>
      <w:pPr>
        <w:pStyle w:val="Heading2"/>
      </w:pPr>
      <w:r>
        <w:t>Document Version</w:t>
      </w:r>
    </w:p>
    <w:p>
      <w:r>
        <w:t>Version 1.2 — Updated with HELFO registration requirements and AI documentation tool analysis (March 23, 2026)</w:t>
      </w:r>
    </w:p>
    <w:p>
      <w:r>
        <w:t>__________________________________________________</w:t>
      </w:r>
    </w:p>
    <w:p>
      <w:pPr>
        <w:pStyle w:val="Heading2"/>
      </w:pPr>
      <w:r>
        <w:t>Summary of Updates</w:t>
      </w:r>
    </w:p>
    <w:p>
      <w:r>
        <w:t>This updated version incorporates strategic improvements including:</w:t>
      </w:r>
    </w:p>
    <w:p>
      <w:pPr>
        <w:pStyle w:val="ListBullet"/>
      </w:pPr>
      <w:r>
        <w:t>**Retention Strategy:** Annual Health Roadmap ritual (Section 3.3)</w:t>
      </w:r>
    </w:p>
    <w:p>
      <w:pPr>
        <w:pStyle w:val="ListBullet"/>
      </w:pPr>
      <w:r>
        <w:t>**Pricing:** 10% annual prepay discount across all tiers</w:t>
      </w:r>
    </w:p>
    <w:p>
      <w:pPr>
        <w:pStyle w:val="ListBullet"/>
      </w:pPr>
      <w:r>
        <w:t>**Corporate Channel:** Executive Health Audit entry point (NOK 15,000)</w:t>
      </w:r>
    </w:p>
    <w:p>
      <w:pPr>
        <w:pStyle w:val="ListBullet"/>
      </w:pPr>
      <w:r>
        <w:t>**Staffing Plan:** Nurse practitioner/physician associate at 60 members</w:t>
      </w:r>
    </w:p>
    <w:p>
      <w:pPr>
        <w:pStyle w:val="ListBullet"/>
      </w:pPr>
      <w:r>
        <w:t>**Risk Management:** New Section 10 covering business continuity, competitive moat, and churn mitigation</w:t>
      </w:r>
    </w:p>
    <w:p>
      <w:pPr>
        <w:pStyle w:val="ListBullet"/>
      </w:pPr>
      <w:r>
        <w:t>**Exclusive Partnerships:** 2-year exclusivity agreements with clinic and gym partners</w:t>
      </w:r>
    </w:p>
    <w:p>
      <w:pPr>
        <w:pStyle w:val="ListBullet"/>
      </w:pPr>
      <w:r>
        <w:t>**Legal &amp; Regulatory:** Detailed HELFO registration requirements and AI documentation tool analysis (Section 14)</w:t>
      </w:r>
    </w:p>
    <w:p>
      <w:r>
        <w:t>__________________________________________________</w:t>
      </w:r>
    </w:p>
    <w:p>
      <w:pPr>
        <w:pStyle w:val="Heading2"/>
      </w:pPr>
      <w:r>
        <w:t>1. Executive Summary</w:t>
      </w:r>
    </w:p>
    <w:p>
      <w:r>
        <w:t>Din Personlige Helsesjef is Norway's first AI-native concierge GP practice, targeting Oslo's executive and high-performer market. The practice delivers what the Norwegian public healthcare system structurally cannot: a long-term, proactive, deeply personalised relationship with a physician who knows you as an individual — your biomarkers over time, your lifestyle, your goals, your risks.</w:t>
      </w:r>
    </w:p>
    <w:p>
      <w:r>
        <w:t>The business model is a monthly membership retainer at three tiers (NOK 2,500 / 5,000 / 10,000 per month), serving a panel of 50–100 members. At full capacity, the practice generates NOK 3–6 million in annual recurring revenue with margins of 70–80%.</w:t>
      </w:r>
    </w:p>
    <w:p>
      <w:r>
        <w:t>The AI layer — built on OpenClaw running locally on a Mac Mini M4 (data-sovereign, GDPR-compliant) — is the operational engine that makes this viable as a solo physician. It handles between-visit monitoring, pre-consultation briefings, lab result interpretation, supplement protocol drafting, and proactive health nudges. The member experiences a doctor who never forgets anything and is always one step ahead.</w:t>
      </w:r>
    </w:p>
    <w:p>
      <w:pPr>
        <w:pStyle w:val="Heading3"/>
      </w:pPr>
      <w:r>
        <w:t>Key Metrics at Full Operation (100 Members)</w:t>
      </w:r>
    </w:p>
    <w:tbl>
      <w:tblPr>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Annual Recurring Revenue</w:t>
            </w:r>
          </w:p>
        </w:tc>
        <w:tc>
          <w:tcPr>
            <w:tcW w:type="dxa" w:w="4320"/>
          </w:tcPr>
          <w:p>
            <w:r>
              <w:t>NOK 6,000,000</w:t>
            </w:r>
          </w:p>
        </w:tc>
      </w:tr>
      <w:tr>
        <w:tc>
          <w:tcPr>
            <w:tcW w:type="dxa" w:w="4320"/>
          </w:tcPr>
          <w:p>
            <w:r>
              <w:t>Estimated Net Margin</w:t>
            </w:r>
          </w:p>
        </w:tc>
        <w:tc>
          <w:tcPr>
            <w:tcW w:type="dxa" w:w="4320"/>
          </w:tcPr>
          <w:p>
            <w:r>
              <w:t>70-80%</w:t>
            </w:r>
          </w:p>
        </w:tc>
      </w:tr>
      <w:tr>
        <w:tc>
          <w:tcPr>
            <w:tcW w:type="dxa" w:w="4320"/>
          </w:tcPr>
          <w:p>
            <w:r>
              <w:t>Panel Size</w:t>
            </w:r>
          </w:p>
        </w:tc>
        <w:tc>
          <w:tcPr>
            <w:tcW w:type="dxa" w:w="4320"/>
          </w:tcPr>
          <w:p>
            <w:r>
              <w:t>50-100 members (vs 1,100+ on a standard fastlege list)</w:t>
            </w:r>
          </w:p>
        </w:tc>
      </w:tr>
      <w:tr>
        <w:tc>
          <w:tcPr>
            <w:tcW w:type="dxa" w:w="4320"/>
          </w:tcPr>
          <w:p>
            <w:r>
              <w:t>Time Commitment</w:t>
            </w:r>
          </w:p>
        </w:tc>
        <w:tc>
          <w:tcPr>
            <w:tcW w:type="dxa" w:w="4320"/>
          </w:tcPr>
          <w:p>
            <w:r>
              <w:t>3-4 clinical days/week</w:t>
            </w:r>
          </w:p>
        </w:tc>
      </w:tr>
      <w:tr>
        <w:tc>
          <w:tcPr>
            <w:tcW w:type="dxa" w:w="4320"/>
          </w:tcPr>
          <w:p>
            <w:r>
              <w:t>Break-even</w:t>
            </w:r>
          </w:p>
        </w:tc>
        <w:tc>
          <w:tcPr>
            <w:tcW w:type="dxa" w:w="4320"/>
          </w:tcPr>
          <w:p>
            <w:r>
              <w:t>~15 members (NOK 900,000–1,125,000/year)</w:t>
            </w:r>
          </w:p>
        </w:tc>
      </w:tr>
      <w:tr>
        <w:tc>
          <w:tcPr>
            <w:tcW w:type="dxa" w:w="4320"/>
          </w:tcPr>
          <w:p>
            <w:r>
              <w:t>Launch Timeline</w:t>
            </w:r>
          </w:p>
        </w:tc>
        <w:tc>
          <w:tcPr>
            <w:tcW w:type="dxa" w:w="4320"/>
          </w:tcPr>
          <w:p>
            <w:r>
              <w:t>First paying members within 60-90 days of decision</w:t>
            </w:r>
          </w:p>
        </w:tc>
      </w:tr>
    </w:tbl>
    <w:p>
      <w:r>
        <w:t>__________________________________________________</w:t>
      </w:r>
    </w:p>
    <w:p>
      <w:pPr>
        <w:pStyle w:val="Heading2"/>
      </w:pPr>
      <w:r>
        <w:t>2. Market Opportunity</w:t>
      </w:r>
    </w:p>
    <w:p>
      <w:pPr>
        <w:pStyle w:val="Heading3"/>
      </w:pPr>
      <w:r>
        <w:t>2.1 The Problem in Norwegian Healthcare</w:t>
      </w:r>
    </w:p>
    <w:p>
      <w:r>
        <w:t>The Norwegian fastlege system is structurally broken for the executive market. The average fastlege manages 1,100+ patients, delivers 10-minute consultations, has no between-visit touchpoints, and operates reactively — treating illness rather than optimising health.</w:t>
      </w:r>
    </w:p>
    <w:p>
      <w:r>
        <w:t>Oslo's executive class experiences this as a jarring contrast to every other premium service in their life. These individuals already invest in personal trainers, nutritionists, financial advisors, lawyers on retainer, and executive coaches. They apply systematic, data-driven thinking to business but have no equivalent for their health.</w:t>
      </w:r>
    </w:p>
    <w:p>
      <w:r>
        <w:t>The product does not exist in Norway. You are not competing — you are creating a category.</w:t>
      </w:r>
    </w:p>
    <w:p>
      <w:pPr>
        <w:pStyle w:val="Heading3"/>
      </w:pPr>
      <w:r>
        <w:t>2.2 Target Market Profile</w:t>
      </w:r>
    </w:p>
    <w:p>
      <w:pPr>
        <w:pStyle w:val="ListBullet"/>
      </w:pPr>
      <w:r>
        <w:t>Partners and senior associates at Oslo law, finance, and consulting firms</w:t>
      </w:r>
    </w:p>
    <w:p>
      <w:pPr>
        <w:pStyle w:val="ListBullet"/>
      </w:pPr>
      <w:r>
        <w:t>C-suite executives at Norwegian energy, tech, shipping, and industrial companies (Equinor, DNB, Statkraft, Kongsberg, Aker)</w:t>
      </w:r>
    </w:p>
    <w:p>
      <w:pPr>
        <w:pStyle w:val="ListBullet"/>
      </w:pPr>
      <w:r>
        <w:t>Senior management at PE/VC funds and family offices</w:t>
      </w:r>
    </w:p>
    <w:p>
      <w:pPr>
        <w:pStyle w:val="ListBullet"/>
      </w:pPr>
      <w:r>
        <w:t>Successful startup founders and tech entrepreneurs</w:t>
      </w:r>
    </w:p>
    <w:p>
      <w:pPr>
        <w:pStyle w:val="ListBullet"/>
      </w:pPr>
      <w:r>
        <w:t>Expats in senior Oslo roles (multinational companies, international organisations)</w:t>
      </w:r>
    </w:p>
    <w:p>
      <w:pPr>
        <w:pStyle w:val="ListBullet"/>
      </w:pPr>
      <w:r>
        <w:t>High-earning professionals with household income NOK 2M+ who already spend on premium health and wellness</w:t>
      </w:r>
    </w:p>
    <w:p>
      <w:pPr>
        <w:pStyle w:val="Heading3"/>
      </w:pPr>
      <w:r>
        <w:t>2.3 Market Size</w:t>
      </w:r>
    </w:p>
    <w:p>
      <w:r>
        <w:t>Oslo has approximately 700,000 inhabitants. Roughly 15,000–25,000 individuals in the city fit the executive/high-earner profile described above. Capturing 100 members represents less than 0.7% of this population. The target is highly achievable through network-based outreach alone.</w:t>
      </w:r>
    </w:p>
    <w:p>
      <w:pPr>
        <w:pStyle w:val="Heading3"/>
      </w:pPr>
      <w:r>
        <w:t>2.4 Global Validation</w:t>
      </w:r>
    </w:p>
    <w:p>
      <w:r>
        <w:t>Concierge medicine is a proven, rapidly growing global category. The industry is expected to grow from USD 20.5 billion in 2025 to USD 44.3 billion by 2034. In the US, standard concierge practices charge USD 2,000–10,000 per year. Premium practices charge USD 10,000–100,000. Oslo's executive market has comparable purchasing power and even less competition.</w:t>
      </w:r>
    </w:p>
    <w:p>
      <w:r>
        <w:t>__________________________________________________</w:t>
      </w:r>
    </w:p>
    <w:p>
      <w:pPr>
        <w:pStyle w:val="Heading2"/>
      </w:pPr>
      <w:r>
        <w:t>3. The Service Model</w:t>
      </w:r>
    </w:p>
    <w:p>
      <w:pPr>
        <w:pStyle w:val="Heading3"/>
      </w:pPr>
      <w:r>
        <w:t>3.1 Membership Tiers</w:t>
      </w:r>
    </w:p>
    <w:tbl>
      <w:tblPr>
        <w:tblW w:type="auto" w:w="0"/>
        <w:tblLook w:firstColumn="1" w:firstRow="1" w:lastColumn="0" w:lastRow="0" w:noHBand="0" w:noVBand="1" w:val="04A0"/>
      </w:tblPr>
      <w:tblGrid>
        <w:gridCol w:w="2160"/>
        <w:gridCol w:w="2160"/>
        <w:gridCol w:w="2160"/>
        <w:gridCol w:w="2160"/>
      </w:tblGrid>
      <w:tr>
        <w:tc>
          <w:tcPr>
            <w:tcW w:type="dxa" w:w="2160"/>
          </w:tcPr>
          <w:p>
            <w:r>
              <w:t>Feature</w:t>
            </w:r>
          </w:p>
        </w:tc>
        <w:tc>
          <w:tcPr>
            <w:tcW w:type="dxa" w:w="2160"/>
          </w:tcPr>
          <w:p>
            <w:r>
              <w:t>Klienten — NOK 2,500/mo</w:t>
            </w:r>
          </w:p>
        </w:tc>
        <w:tc>
          <w:tcPr>
            <w:tcW w:type="dxa" w:w="2160"/>
          </w:tcPr>
          <w:p>
            <w:r>
              <w:t>Partneren — NOK 5,000/mo</w:t>
            </w:r>
          </w:p>
        </w:tc>
        <w:tc>
          <w:tcPr>
            <w:tcW w:type="dxa" w:w="2160"/>
          </w:tcPr>
          <w:p>
            <w:r>
              <w:t>Partneren Pro — NOK 10,000/mo</w:t>
            </w:r>
          </w:p>
        </w:tc>
      </w:tr>
      <w:tr>
        <w:tc>
          <w:tcPr>
            <w:tcW w:type="dxa" w:w="2160"/>
          </w:tcPr>
          <w:p>
            <w:r>
              <w:t>Annual health assessment</w:t>
            </w:r>
          </w:p>
        </w:tc>
        <w:tc>
          <w:tcPr>
            <w:tcW w:type="dxa" w:w="2160"/>
          </w:tcPr>
          <w:p>
            <w:r>
              <w:t>2 hours</w:t>
            </w:r>
          </w:p>
        </w:tc>
        <w:tc>
          <w:tcPr>
            <w:tcW w:type="dxa" w:w="2160"/>
          </w:tcPr>
          <w:p>
            <w:r>
              <w:t>2 hours + advanced labs</w:t>
            </w:r>
          </w:p>
        </w:tc>
        <w:tc>
          <w:tcPr>
            <w:tcW w:type="dxa" w:w="2160"/>
          </w:tcPr>
          <w:p>
            <w:r>
              <w:t>3 hours + full longevity panel</w:t>
            </w:r>
          </w:p>
        </w:tc>
      </w:tr>
      <w:tr>
        <w:tc>
          <w:tcPr>
            <w:tcW w:type="dxa" w:w="2160"/>
          </w:tcPr>
          <w:p>
            <w:r>
              <w:t>Follow-up consultations</w:t>
            </w:r>
          </w:p>
        </w:tc>
        <w:tc>
          <w:tcPr>
            <w:tcW w:type="dxa" w:w="2160"/>
          </w:tcPr>
          <w:p>
            <w:r>
              <w:t>Quarterly (4/year)</w:t>
            </w:r>
          </w:p>
        </w:tc>
        <w:tc>
          <w:tcPr>
            <w:tcW w:type="dxa" w:w="2160"/>
          </w:tcPr>
          <w:p>
            <w:r>
              <w:t>Every 2 months (6/year)</w:t>
            </w:r>
          </w:p>
        </w:tc>
        <w:tc>
          <w:tcPr>
            <w:tcW w:type="dxa" w:w="2160"/>
          </w:tcPr>
          <w:p>
            <w:r>
              <w:t>Monthly (12/year)</w:t>
            </w:r>
          </w:p>
        </w:tc>
      </w:tr>
      <w:tr>
        <w:tc>
          <w:tcPr>
            <w:tcW w:type="dxa" w:w="2160"/>
          </w:tcPr>
          <w:p>
            <w:r>
              <w:t>Messaging access</w:t>
            </w:r>
          </w:p>
        </w:tc>
        <w:tc>
          <w:tcPr>
            <w:tcW w:type="dxa" w:w="2160"/>
          </w:tcPr>
          <w:p>
            <w:r>
              <w:t>WhatsApp, same-day reply</w:t>
            </w:r>
          </w:p>
        </w:tc>
        <w:tc>
          <w:tcPr>
            <w:tcW w:type="dxa" w:w="2160"/>
          </w:tcPr>
          <w:p>
            <w:r>
              <w:t>WhatsApp + direct mobile</w:t>
            </w:r>
          </w:p>
        </w:tc>
        <w:tc>
          <w:tcPr>
            <w:tcW w:type="dxa" w:w="2160"/>
          </w:tcPr>
          <w:p>
            <w:r>
              <w:t>Unlimited calls + messages</w:t>
            </w:r>
          </w:p>
        </w:tc>
      </w:tr>
      <w:tr>
        <w:tc>
          <w:tcPr>
            <w:tcW w:type="dxa" w:w="2160"/>
          </w:tcPr>
          <w:p>
            <w:r>
              <w:t>Appointment guarantee</w:t>
            </w:r>
          </w:p>
        </w:tc>
        <w:tc>
          <w:tcPr>
            <w:tcW w:type="dxa" w:w="2160"/>
          </w:tcPr>
          <w:p>
            <w:r>
              <w:t>Same week</w:t>
            </w:r>
          </w:p>
        </w:tc>
        <w:tc>
          <w:tcPr>
            <w:tcW w:type="dxa" w:w="2160"/>
          </w:tcPr>
          <w:p>
            <w:r>
              <w:t>Same day (urgent)</w:t>
            </w:r>
          </w:p>
        </w:tc>
        <w:tc>
          <w:tcPr>
            <w:tcW w:type="dxa" w:w="2160"/>
          </w:tcPr>
          <w:p>
            <w:r>
              <w:t>Same day always</w:t>
            </w:r>
          </w:p>
        </w:tc>
      </w:tr>
      <w:tr>
        <w:tc>
          <w:tcPr>
            <w:tcW w:type="dxa" w:w="2160"/>
          </w:tcPr>
          <w:p>
            <w:r>
              <w:t>Lab panel</w:t>
            </w:r>
          </w:p>
        </w:tc>
        <w:tc>
          <w:tcPr>
            <w:tcW w:type="dxa" w:w="2160"/>
          </w:tcPr>
          <w:p>
            <w:r>
              <w:t>Standard annual</w:t>
            </w:r>
          </w:p>
        </w:tc>
        <w:tc>
          <w:tcPr>
            <w:tcW w:type="dxa" w:w="2160"/>
          </w:tcPr>
          <w:p>
            <w:r>
              <w:t>Advanced metabolic, hormonal, cardiovascular, inflammatory</w:t>
            </w:r>
          </w:p>
        </w:tc>
        <w:tc>
          <w:tcPr>
            <w:tcW w:type="dxa" w:w="2160"/>
          </w:tcPr>
          <w:p>
            <w:r>
              <w:t>Full longevity panel incl. ApoB, homocysteine, GlycanAge</w:t>
            </w:r>
          </w:p>
        </w:tc>
      </w:tr>
      <w:tr>
        <w:tc>
          <w:tcPr>
            <w:tcW w:type="dxa" w:w="2160"/>
          </w:tcPr>
          <w:p>
            <w:r>
              <w:t>Wearable integration</w:t>
            </w:r>
          </w:p>
        </w:tc>
        <w:tc>
          <w:tcPr>
            <w:tcW w:type="dxa" w:w="2160"/>
          </w:tcPr>
          <w:p>
            <w:r>
              <w:t>Optional</w:t>
            </w:r>
          </w:p>
        </w:tc>
        <w:tc>
          <w:tcPr>
            <w:tcW w:type="dxa" w:w="2160"/>
          </w:tcPr>
          <w:p>
            <w:r>
              <w:t>Included (Oura/Garmin/Apple)</w:t>
            </w:r>
          </w:p>
        </w:tc>
        <w:tc>
          <w:tcPr>
            <w:tcW w:type="dxa" w:w="2160"/>
          </w:tcPr>
          <w:p>
            <w:r>
              <w:t>Included + monthly analysis</w:t>
            </w:r>
          </w:p>
        </w:tc>
      </w:tr>
      <w:tr>
        <w:tc>
          <w:tcPr>
            <w:tcW w:type="dxa" w:w="2160"/>
          </w:tcPr>
          <w:p>
            <w:r>
              <w:t>AI health brief</w:t>
            </w:r>
          </w:p>
        </w:tc>
        <w:tc>
          <w:tcPr>
            <w:tcW w:type="dxa" w:w="2160"/>
          </w:tcPr>
          <w:p>
            <w:r>
              <w:t>Quarterly summary</w:t>
            </w:r>
          </w:p>
        </w:tc>
        <w:tc>
          <w:tcPr>
            <w:tcW w:type="dxa" w:w="2160"/>
          </w:tcPr>
          <w:p>
            <w:r>
              <w:t>Monthly personalised report</w:t>
            </w:r>
          </w:p>
        </w:tc>
        <w:tc>
          <w:tcPr>
            <w:tcW w:type="dxa" w:w="2160"/>
          </w:tcPr>
          <w:p>
            <w:r>
              <w:t>Monthly report + annual roadmap</w:t>
            </w:r>
          </w:p>
        </w:tc>
      </w:tr>
      <w:tr>
        <w:tc>
          <w:tcPr>
            <w:tcW w:type="dxa" w:w="2160"/>
          </w:tcPr>
          <w:p>
            <w:r>
              <w:t>Supplement protocol</w:t>
            </w:r>
          </w:p>
        </w:tc>
        <w:tc>
          <w:tcPr>
            <w:tcW w:type="dxa" w:w="2160"/>
          </w:tcPr>
          <w:p>
            <w:r>
              <w:t>On request</w:t>
            </w:r>
          </w:p>
        </w:tc>
        <w:tc>
          <w:tcPr>
            <w:tcW w:type="dxa" w:w="2160"/>
          </w:tcPr>
          <w:p>
            <w:r>
              <w:t>Included, reviewed 2x/year</w:t>
            </w:r>
          </w:p>
        </w:tc>
        <w:tc>
          <w:tcPr>
            <w:tcW w:type="dxa" w:w="2160"/>
          </w:tcPr>
          <w:p>
            <w:r>
              <w:t>Full protocol, quarterly review</w:t>
            </w:r>
          </w:p>
        </w:tc>
      </w:tr>
      <w:tr>
        <w:tc>
          <w:tcPr>
            <w:tcW w:type="dxa" w:w="2160"/>
          </w:tcPr>
          <w:p>
            <w:r>
              <w:t>Home/office visit</w:t>
            </w:r>
          </w:p>
        </w:tc>
        <w:tc>
          <w:tcPr>
            <w:tcW w:type="dxa" w:w="2160"/>
          </w:tcPr>
          <w:p>
            <w:r>
              <w:t>Not included</w:t>
            </w:r>
          </w:p>
        </w:tc>
        <w:tc>
          <w:tcPr>
            <w:tcW w:type="dxa" w:w="2160"/>
          </w:tcPr>
          <w:p>
            <w:r>
              <w:t>1 per year</w:t>
            </w:r>
          </w:p>
        </w:tc>
        <w:tc>
          <w:tcPr>
            <w:tcW w:type="dxa" w:w="2160"/>
          </w:tcPr>
          <w:p>
            <w:r>
              <w:t>Unlimited</w:t>
            </w:r>
          </w:p>
        </w:tc>
      </w:tr>
      <w:tr>
        <w:tc>
          <w:tcPr>
            <w:tcW w:type="dxa" w:w="2160"/>
          </w:tcPr>
          <w:p>
            <w:r>
              <w:t>Travel medicine</w:t>
            </w:r>
          </w:p>
        </w:tc>
        <w:tc>
          <w:tcPr>
            <w:tcW w:type="dxa" w:w="2160"/>
          </w:tcPr>
          <w:p>
            <w:r>
              <w:t>Standard advice</w:t>
            </w:r>
          </w:p>
        </w:tc>
        <w:tc>
          <w:tcPr>
            <w:tcW w:type="dxa" w:w="2160"/>
          </w:tcPr>
          <w:p>
            <w:r>
              <w:t>Included</w:t>
            </w:r>
          </w:p>
        </w:tc>
        <w:tc>
          <w:tcPr>
            <w:tcW w:type="dxa" w:w="2160"/>
          </w:tcPr>
          <w:p>
            <w:r>
              <w:t>Full remote support abroad</w:t>
            </w:r>
          </w:p>
        </w:tc>
      </w:tr>
      <w:tr>
        <w:tc>
          <w:tcPr>
            <w:tcW w:type="dxa" w:w="2160"/>
          </w:tcPr>
          <w:p>
            <w:r>
              <w:t>**Annual prepay discount**</w:t>
            </w:r>
          </w:p>
        </w:tc>
        <w:tc>
          <w:tcPr>
            <w:tcW w:type="dxa" w:w="2160"/>
          </w:tcPr>
          <w:p>
            <w:r>
              <w:t>**10% off**</w:t>
            </w:r>
          </w:p>
        </w:tc>
        <w:tc>
          <w:tcPr>
            <w:tcW w:type="dxa" w:w="2160"/>
          </w:tcPr>
          <w:p>
            <w:r>
              <w:t>**10% off**</w:t>
            </w:r>
          </w:p>
        </w:tc>
        <w:tc>
          <w:tcPr>
            <w:tcW w:type="dxa" w:w="2160"/>
          </w:tcPr>
          <w:p>
            <w:r>
              <w:t>**10% off**</w:t>
            </w:r>
          </w:p>
        </w:tc>
      </w:tr>
      <w:tr>
        <w:tc>
          <w:tcPr>
            <w:tcW w:type="dxa" w:w="2160"/>
          </w:tcPr>
          <w:p>
            <w:r>
              <w:t>Max panel members</w:t>
            </w:r>
          </w:p>
        </w:tc>
        <w:tc>
          <w:tcPr>
            <w:tcW w:type="dxa" w:w="2160"/>
          </w:tcPr>
          <w:p>
            <w:r>
              <w:t>40</w:t>
            </w:r>
          </w:p>
        </w:tc>
        <w:tc>
          <w:tcPr>
            <w:tcW w:type="dxa" w:w="2160"/>
          </w:tcPr>
          <w:p>
            <w:r>
              <w:t>40</w:t>
            </w:r>
          </w:p>
        </w:tc>
        <w:tc>
          <w:tcPr>
            <w:tcW w:type="dxa" w:w="2160"/>
          </w:tcPr>
          <w:p>
            <w:r>
              <w:t>20</w:t>
            </w:r>
          </w:p>
        </w:tc>
      </w:tr>
    </w:tbl>
    <w:p>
      <w:r>
        <w:t>Pricing Note: Annual prepayment offers 10% discount (NOK 27,000/54,000/108,000 vs monthly). This improves cash flow and retention.</w:t>
      </w:r>
    </w:p>
    <w:p>
      <w:pPr>
        <w:pStyle w:val="Heading3"/>
      </w:pPr>
      <w:r>
        <w:t>3.2 What Makes This Different</w:t>
      </w:r>
    </w:p>
    <w:p>
      <w:r>
        <w:t>The core differentiator is not access — it is the depth and continuity of the relationship. Every member has a living health dossier that accumulates data over months and years. Every consultation builds on the last. The AI infrastructure means you arrive at every appointment already knowing what has changed, what trends need attention, and what questions matter.</w:t>
      </w:r>
    </w:p>
    <w:p>
      <w:r>
        <w:t>Members don't feel like patients — they feel like they have a personal health director.</w:t>
      </w:r>
    </w:p>
    <w:p>
      <w:pPr>
        <w:pStyle w:val="Heading3"/>
      </w:pPr>
      <w:r>
        <w:t>3.3 Retention Strategy: The Annual Health Roadmap</w:t>
      </w:r>
    </w:p>
    <w:p>
      <w:r>
        <w:t>To minimise churn and deepen engagement, every Tier 2 and Tier 3 member receives an Annual Health Roadmap Review each membership anniversary. This 90-minute session:</w:t>
      </w:r>
    </w:p>
    <w:p>
      <w:pPr>
        <w:pStyle w:val="ListBullet"/>
      </w:pPr>
      <w:r>
        <w:t>Reviews progress against the previous year's health goals</w:t>
      </w:r>
    </w:p>
    <w:p>
      <w:pPr>
        <w:pStyle w:val="ListBullet"/>
      </w:pPr>
      <w:r>
        <w:t>Updates the 1-3-10 year health vision</w:t>
      </w:r>
    </w:p>
    <w:p>
      <w:pPr>
        <w:pStyle w:val="ListBullet"/>
      </w:pPr>
      <w:r>
        <w:t>Revises risk stratification based on accumulated data</w:t>
      </w:r>
    </w:p>
    <w:p>
      <w:pPr>
        <w:pStyle w:val="ListBullet"/>
      </w:pPr>
      <w:r>
        <w:t>Sets specific, measurable objectives for the coming year</w:t>
      </w:r>
    </w:p>
    <w:p>
      <w:pPr>
        <w:pStyle w:val="ListBullet"/>
      </w:pPr>
      <w:r>
        <w:t>Documents the roadmap in a shareable format</w:t>
      </w:r>
    </w:p>
    <w:p>
      <w:r>
        <w:t>This ritual creates a natural retention anchor and reinforces the value of continuity. Members who complete annual roadmaps show 40% lower churn rates in comparable concierge practices.</w:t>
      </w:r>
    </w:p>
    <w:p>
      <w:r>
        <w:t>__________________________________________________</w:t>
      </w:r>
    </w:p>
    <w:p>
      <w:pPr>
        <w:pStyle w:val="Heading2"/>
      </w:pPr>
      <w:r>
        <w:t>4. The Personalised Member Profile System</w:t>
      </w:r>
    </w:p>
    <w:p>
      <w:pPr>
        <w:pStyle w:val="Heading3"/>
      </w:pPr>
      <w:r>
        <w:t>4.1 Onboarding: Building the Foundation Profile</w:t>
      </w:r>
    </w:p>
    <w:p>
      <w:r>
        <w:t>Every new member completes a comprehensive onboarding process in the first 2-3 weeks. This is the single most important investment in the relationship — it creates the foundation that all future AI analysis is built on.</w:t>
      </w:r>
    </w:p>
    <w:p>
      <w:pPr>
        <w:pStyle w:val="Heading4"/>
      </w:pPr>
      <w:r>
        <w:t>Step 1: Intake Questionnaire (completed digitally before first appointment)</w:t>
      </w:r>
    </w:p>
    <w:p>
      <w:pPr>
        <w:pStyle w:val="ListBullet"/>
      </w:pPr>
      <w:r>
        <w:t>Full medical history including childhood illnesses, surgeries, hospitalisations</w:t>
      </w:r>
    </w:p>
    <w:p>
      <w:pPr>
        <w:pStyle w:val="ListBullet"/>
      </w:pPr>
      <w:r>
        <w:t>Current medications and supplements (brand, dose, timing)</w:t>
      </w:r>
    </w:p>
    <w:p>
      <w:pPr>
        <w:pStyle w:val="ListBullet"/>
      </w:pPr>
      <w:r>
        <w:t>Family history: cardiovascular disease, cancer, diabetes, dementia, autoimmune conditions</w:t>
      </w:r>
    </w:p>
    <w:p>
      <w:pPr>
        <w:pStyle w:val="ListBullet"/>
      </w:pPr>
      <w:r>
        <w:t>Lifestyle: sleep patterns, alcohol, tobacco, recreational drugs, exercise type and frequency</w:t>
      </w:r>
    </w:p>
    <w:p>
      <w:pPr>
        <w:pStyle w:val="ListBullet"/>
      </w:pPr>
      <w:r>
        <w:t>Diet: primary patterns, exclusions, food intolerances, eating habits</w:t>
      </w:r>
    </w:p>
    <w:p>
      <w:pPr>
        <w:pStyle w:val="ListBullet"/>
      </w:pPr>
      <w:r>
        <w:t>Stress and mental health: current stressors, mood, anxiety, burnout indicators</w:t>
      </w:r>
    </w:p>
    <w:p>
      <w:pPr>
        <w:pStyle w:val="ListBullet"/>
      </w:pPr>
      <w:r>
        <w:t>Professional context: work demands, travel frequency, time zones</w:t>
      </w:r>
    </w:p>
    <w:p>
      <w:pPr>
        <w:pStyle w:val="ListBullet"/>
      </w:pPr>
      <w:r>
        <w:t>Personal health goals: what do they want from this relationship?</w:t>
      </w:r>
    </w:p>
    <w:p>
      <w:pPr>
        <w:pStyle w:val="ListBullet"/>
      </w:pPr>
      <w:r>
        <w:t>Previous GP/specialist relationships and any ongoing investigations</w:t>
      </w:r>
    </w:p>
    <w:p>
      <w:pPr>
        <w:pStyle w:val="Heading4"/>
      </w:pPr>
      <w:r>
        <w:t>Step 2: The Foundation Consultation (2-3 hours)</w:t>
      </w:r>
    </w:p>
    <w:p>
      <w:r>
        <w:t>The first consultation is unlike any standard medical appointment. It is a structured dialogue — part medical interview, part health strategy session.</w:t>
      </w:r>
    </w:p>
    <w:p>
      <w:r>
        <w:t>Key areas:</w:t>
      </w:r>
    </w:p>
    <w:p>
      <w:pPr>
        <w:pStyle w:val="ListBullet"/>
      </w:pPr>
      <w:r>
        <w:t>Detailed clinical examination: cardiovascular, respiratory, abdominal, musculoskeletal, neurological</w:t>
      </w:r>
    </w:p>
    <w:p>
      <w:pPr>
        <w:pStyle w:val="ListBullet"/>
      </w:pPr>
      <w:r>
        <w:t>Biometric baseline: weight, BMI, body composition (if scales available), blood pressure (both arms, seated and standing), resting heart rate, HRV if wearable present</w:t>
      </w:r>
    </w:p>
    <w:p>
      <w:pPr>
        <w:pStyle w:val="ListBullet"/>
      </w:pPr>
      <w:r>
        <w:t>Risk stratification: SCORE2 cardiovascular risk, FRAX fracture risk if relevant, diabetes risk</w:t>
      </w:r>
    </w:p>
    <w:p>
      <w:pPr>
        <w:pStyle w:val="ListBullet"/>
      </w:pPr>
      <w:r>
        <w:t>Discussion of personal health goals and what success looks like in 1, 3, and 10 years</w:t>
      </w:r>
    </w:p>
    <w:p>
      <w:pPr>
        <w:pStyle w:val="ListBullet"/>
      </w:pPr>
      <w:r>
        <w:t>Review and explanation of planned lab panel</w:t>
      </w:r>
    </w:p>
    <w:p>
      <w:pPr>
        <w:pStyle w:val="Heading4"/>
      </w:pPr>
      <w:r>
        <w:t>Step 3: Foundation Lab Panel</w:t>
      </w:r>
    </w:p>
    <w:p>
      <w:r>
        <w:t>All members receive a comprehensive baseline blood panel. Tier 3 members receive the full longevity extension.</w:t>
      </w:r>
    </w:p>
    <w:tbl>
      <w:tblPr>
        <w:tblW w:type="auto" w:w="0"/>
        <w:tblLook w:firstColumn="1" w:firstRow="1" w:lastColumn="0" w:lastRow="0" w:noHBand="0" w:noVBand="1" w:val="04A0"/>
      </w:tblPr>
      <w:tblGrid>
        <w:gridCol w:w="2880"/>
        <w:gridCol w:w="2880"/>
        <w:gridCol w:w="2880"/>
      </w:tblGrid>
      <w:tr>
        <w:tc>
          <w:tcPr>
            <w:tcW w:type="dxa" w:w="2880"/>
          </w:tcPr>
          <w:p>
            <w:r>
              <w:t>Category</w:t>
            </w:r>
          </w:p>
        </w:tc>
        <w:tc>
          <w:tcPr>
            <w:tcW w:type="dxa" w:w="2880"/>
          </w:tcPr>
          <w:p>
            <w:r>
              <w:t>Standard Panel (All Tiers)</w:t>
            </w:r>
          </w:p>
        </w:tc>
        <w:tc>
          <w:tcPr>
            <w:tcW w:type="dxa" w:w="2880"/>
          </w:tcPr>
          <w:p>
            <w:r>
              <w:t>Extended Longevity Panel (Tier 3)</w:t>
            </w:r>
          </w:p>
        </w:tc>
      </w:tr>
      <w:tr>
        <w:tc>
          <w:tcPr>
            <w:tcW w:type="dxa" w:w="2880"/>
          </w:tcPr>
          <w:p>
            <w:r>
              <w:t>**Metabolic**</w:t>
            </w:r>
          </w:p>
        </w:tc>
        <w:tc>
          <w:tcPr>
            <w:tcW w:type="dxa" w:w="2880"/>
          </w:tcPr>
          <w:p>
            <w:r>
              <w:t>Fasting glucose, HbA1c, full lipid panel (LDL, HDL, TG, TC), liver enzymes (ALT, AST, GGT), kidney function (creatinine, eGFR, urea)</w:t>
            </w:r>
          </w:p>
        </w:tc>
        <w:tc>
          <w:tcPr>
            <w:tcW w:type="dxa" w:w="2880"/>
          </w:tcPr>
          <w:p>
            <w:r>
              <w:t>+ ApoB, ApoA1, Lp(a), fasting insulin, HOMA-IR, advanced lipid particle sizing</w:t>
            </w:r>
          </w:p>
        </w:tc>
      </w:tr>
      <w:tr>
        <w:tc>
          <w:tcPr>
            <w:tcW w:type="dxa" w:w="2880"/>
          </w:tcPr>
          <w:p>
            <w:r>
              <w:t>**Haematology**</w:t>
            </w:r>
          </w:p>
        </w:tc>
        <w:tc>
          <w:tcPr>
            <w:tcW w:type="dxa" w:w="2880"/>
          </w:tcPr>
          <w:p>
            <w:r>
              <w:t>Full blood count, ferritin, transferrin saturation, B12, folate, vitamin D (25-OH)</w:t>
            </w:r>
          </w:p>
        </w:tc>
        <w:tc>
          <w:tcPr>
            <w:tcW w:type="dxa" w:w="2880"/>
          </w:tcPr>
          <w:p>
            <w:r>
              <w:t>+ Methylmalonic acid, homocysteine, magnesium (RBC), zinc, omega-3 index</w:t>
            </w:r>
          </w:p>
        </w:tc>
      </w:tr>
      <w:tr>
        <w:tc>
          <w:tcPr>
            <w:tcW w:type="dxa" w:w="2880"/>
          </w:tcPr>
          <w:p>
            <w:r>
              <w:t>**Thyroid**</w:t>
            </w:r>
          </w:p>
        </w:tc>
        <w:tc>
          <w:tcPr>
            <w:tcW w:type="dxa" w:w="2880"/>
          </w:tcPr>
          <w:p>
            <w:r>
              <w:t>TSH, free T4</w:t>
            </w:r>
          </w:p>
        </w:tc>
        <w:tc>
          <w:tcPr>
            <w:tcW w:type="dxa" w:w="2880"/>
          </w:tcPr>
          <w:p>
            <w:r>
              <w:t>+ Free T3, reverse T3, thyroid antibodies (TPO, TgAb)</w:t>
            </w:r>
          </w:p>
        </w:tc>
      </w:tr>
      <w:tr>
        <w:tc>
          <w:tcPr>
            <w:tcW w:type="dxa" w:w="2880"/>
          </w:tcPr>
          <w:p>
            <w:r>
              <w:t>**Inflammation**</w:t>
            </w:r>
          </w:p>
        </w:tc>
        <w:tc>
          <w:tcPr>
            <w:tcW w:type="dxa" w:w="2880"/>
          </w:tcPr>
          <w:p>
            <w:r>
              <w:t>CRP (high sensitivity), ESR</w:t>
            </w:r>
          </w:p>
        </w:tc>
        <w:tc>
          <w:tcPr>
            <w:tcW w:type="dxa" w:w="2880"/>
          </w:tcPr>
          <w:p>
            <w:r>
              <w:t>+ IL-6, TNF-alpha, GlycanAge (biological ageing marker)</w:t>
            </w:r>
          </w:p>
        </w:tc>
      </w:tr>
      <w:tr>
        <w:tc>
          <w:tcPr>
            <w:tcW w:type="dxa" w:w="2880"/>
          </w:tcPr>
          <w:p>
            <w:r>
              <w:t>**Hormones**</w:t>
            </w:r>
          </w:p>
        </w:tc>
        <w:tc>
          <w:tcPr>
            <w:tcW w:type="dxa" w:w="2880"/>
          </w:tcPr>
          <w:p>
            <w:r>
              <w:t>Testosterone (total), SHBG, LH, FSH (age-appropriate)</w:t>
            </w:r>
          </w:p>
        </w:tc>
        <w:tc>
          <w:tcPr>
            <w:tcW w:type="dxa" w:w="2880"/>
          </w:tcPr>
          <w:p>
            <w:r>
              <w:t>+ Free testosterone, DHEA-S, IGF-1, cortisol (AM), oestradiol (females)</w:t>
            </w:r>
          </w:p>
        </w:tc>
      </w:tr>
      <w:tr>
        <w:tc>
          <w:tcPr>
            <w:tcW w:type="dxa" w:w="2880"/>
          </w:tcPr>
          <w:p>
            <w:r>
              <w:t>**Cancer screening**</w:t>
            </w:r>
          </w:p>
        </w:tc>
        <w:tc>
          <w:tcPr>
            <w:tcW w:type="dxa" w:w="2880"/>
          </w:tcPr>
          <w:p>
            <w:r>
              <w:t>PSA (males 45+), age-appropriate referral coordination</w:t>
            </w:r>
          </w:p>
        </w:tc>
        <w:tc>
          <w:tcPr>
            <w:tcW w:type="dxa" w:w="2880"/>
          </w:tcPr>
          <w:p>
            <w:r>
              <w:t>+ Galleri multi-cancer early detection test (if available)</w:t>
            </w:r>
          </w:p>
        </w:tc>
      </w:tr>
      <w:tr>
        <w:tc>
          <w:tcPr>
            <w:tcW w:type="dxa" w:w="2880"/>
          </w:tcPr>
          <w:p>
            <w:r>
              <w:t>**Cardiovascular**</w:t>
            </w:r>
          </w:p>
        </w:tc>
        <w:tc>
          <w:tcPr>
            <w:tcW w:type="dxa" w:w="2880"/>
          </w:tcPr>
          <w:p>
            <w:r>
              <w:t>12-lead ECG at baseline</w:t>
            </w:r>
          </w:p>
        </w:tc>
        <w:tc>
          <w:tcPr>
            <w:tcW w:type="dxa" w:w="2880"/>
          </w:tcPr>
          <w:p>
            <w:r>
              <w:t>+ NT-proBNP, troponin I (high sensitivity), CIMT (carotid ultrasound referral)</w:t>
            </w:r>
          </w:p>
        </w:tc>
      </w:tr>
    </w:tbl>
    <w:p>
      <w:pPr>
        <w:pStyle w:val="Heading4"/>
      </w:pPr>
      <w:r>
        <w:t>Step 4: Wearable Integration Setup (Tier 2+)</w:t>
      </w:r>
    </w:p>
    <w:p>
      <w:pPr>
        <w:pStyle w:val="ListBullet"/>
      </w:pPr>
      <w:r>
        <w:t>Connect Oura Ring, Garmin, Apple Watch, or Whoop to member's data profile</w:t>
      </w:r>
    </w:p>
    <w:p>
      <w:pPr>
        <w:pStyle w:val="ListBullet"/>
      </w:pPr>
      <w:r>
        <w:t>Configure data export pipeline into member's OpenClaw dossier</w:t>
      </w:r>
    </w:p>
    <w:p>
      <w:pPr>
        <w:pStyle w:val="ListBullet"/>
      </w:pPr>
      <w:r>
        <w:t>Establish baseline for HRV, resting heart rate, sleep stages, respiratory rate, activity</w:t>
      </w:r>
    </w:p>
    <w:p>
      <w:pPr>
        <w:pStyle w:val="ListBullet"/>
      </w:pPr>
      <w:r>
        <w:t>Set personalised alert thresholds (e.g., HR &gt;X for 7 days triggers check-in)</w:t>
      </w:r>
    </w:p>
    <w:p>
      <w:pPr>
        <w:pStyle w:val="Heading3"/>
      </w:pPr>
      <w:r>
        <w:t>4.2 The Living Health Dossier (OpenClaw Architecture)</w:t>
      </w:r>
    </w:p>
    <w:p>
      <w:r>
        <w:t>Each member has a structured folder in the local OpenClaw knowledge base. This is a living document — updated after every consultation, every lab result, every message thread, and every wearable data sync. The dossier is the foundation of all AI-generated outputs.</w:t>
      </w:r>
    </w:p>
    <w:p>
      <w:r>
        <w:t>Member Dossier Structure:</w:t>
      </w:r>
    </w:p>
    <w:p>
      <w:pPr>
        <w:pStyle w:val="ListBullet"/>
      </w:pPr>
      <w:r>
        <w:t>`PROFILE.md` — demographics, goals, risk factors, key relationships, personal notes</w:t>
      </w:r>
    </w:p>
    <w:p>
      <w:pPr>
        <w:pStyle w:val="ListBullet"/>
      </w:pPr>
      <w:r>
        <w:t>`HISTORY.md` — chronological medical history, diagnoses, procedures</w:t>
      </w:r>
    </w:p>
    <w:p>
      <w:pPr>
        <w:pStyle w:val="ListBullet"/>
      </w:pPr>
      <w:r>
        <w:t>`MEDICATIONS.md` — current medications and supplements with doses and timing</w:t>
      </w:r>
    </w:p>
    <w:p>
      <w:pPr>
        <w:pStyle w:val="ListBullet"/>
      </w:pPr>
      <w:r>
        <w:t>`LABS/` — folder of dated lab result files, parsed and structured for trend analysis</w:t>
      </w:r>
    </w:p>
    <w:p>
      <w:pPr>
        <w:pStyle w:val="ListBullet"/>
      </w:pPr>
      <w:r>
        <w:t>`WEARABLES/` — weekly summaries of HRV, sleep, activity, respiratory rate</w:t>
      </w:r>
    </w:p>
    <w:p>
      <w:pPr>
        <w:pStyle w:val="ListBullet"/>
      </w:pPr>
      <w:r>
        <w:t>`CONSULTS/` — dated consultation notes with SOAP structure</w:t>
      </w:r>
    </w:p>
    <w:p>
      <w:pPr>
        <w:pStyle w:val="ListBullet"/>
      </w:pPr>
      <w:r>
        <w:t>`MESSAGES/` — key message threads flagged as clinically relevant</w:t>
      </w:r>
    </w:p>
    <w:p>
      <w:pPr>
        <w:pStyle w:val="ListBullet"/>
      </w:pPr>
      <w:r>
        <w:t>`PROTOCOLS/` — current supplement, diet, and exercise protocols</w:t>
      </w:r>
    </w:p>
    <w:p>
      <w:pPr>
        <w:pStyle w:val="ListBullet"/>
      </w:pPr>
      <w:r>
        <w:t>`ROADMAP.md` — the member's personal health roadmap (annual document)</w:t>
      </w:r>
    </w:p>
    <w:p>
      <w:r>
        <w:t>A nightly OpenClaw cron agent reads each member's dossier, checks for anomalies or trends, and generates a flagging report. Any flag that meets threshold criteria sends you a morning notification. You review, decide on action, and the agent drafts the message. The member receives a proactive check-in from their doctor — who they believe has just been thinking about them. They're right, in the most meaningful sense.</w:t>
      </w:r>
    </w:p>
    <w:p>
      <w:r>
        <w:t>__________________________________________________</w:t>
      </w:r>
    </w:p>
    <w:p>
      <w:pPr>
        <w:pStyle w:val="Heading2"/>
      </w:pPr>
      <w:r>
        <w:t>5. Personalised Health Protocols</w:t>
      </w:r>
    </w:p>
    <w:p>
      <w:pPr>
        <w:pStyle w:val="Heading3"/>
      </w:pPr>
      <w:r>
        <w:t>5.1 How Protocols Are Built</w:t>
      </w:r>
    </w:p>
    <w:p>
      <w:r>
        <w:t>Every member receives a personalised health protocol built from the intersection of three inputs: their biomarker data, their wearable data, and their reported lifestyle and goals. The AI assists with drafting; you review and sign off. Protocols are living documents — reviewed at every consultation and updated as data changes.</w:t>
      </w:r>
    </w:p>
    <w:p>
      <w:pPr>
        <w:pStyle w:val="Heading3"/>
      </w:pPr>
      <w:r>
        <w:t>5.2 Supplement Protocols — Evidence-Based Framework</w:t>
      </w:r>
    </w:p>
    <w:p>
      <w:r>
        <w:t>Supplement recommendations are grounded in clinical evidence and lab results. You do not recommend supplements speculatively — every recommendation is tied to a biomarker, a known risk factor, or a well-evidenced benefit for the member's specific profile.</w:t>
      </w:r>
    </w:p>
    <w:p>
      <w:pPr>
        <w:pStyle w:val="Heading4"/>
      </w:pPr>
      <w:r>
        <w:t>Foundation Supplements (Considered for Most Members)</w:t>
      </w:r>
    </w:p>
    <w:tbl>
      <w:tblPr>
        <w:tblW w:type="auto" w:w="0"/>
        <w:tblLook w:firstColumn="1" w:firstRow="1" w:lastColumn="0" w:lastRow="0" w:noHBand="0" w:noVBand="1" w:val="04A0"/>
      </w:tblPr>
      <w:tblGrid>
        <w:gridCol w:w="2160"/>
        <w:gridCol w:w="2160"/>
        <w:gridCol w:w="2160"/>
        <w:gridCol w:w="2160"/>
      </w:tblGrid>
      <w:tr>
        <w:tc>
          <w:tcPr>
            <w:tcW w:type="dxa" w:w="2160"/>
          </w:tcPr>
          <w:p>
            <w:r>
              <w:t>Supplement</w:t>
            </w:r>
          </w:p>
        </w:tc>
        <w:tc>
          <w:tcPr>
            <w:tcW w:type="dxa" w:w="2160"/>
          </w:tcPr>
          <w:p>
            <w:r>
              <w:t>Indication / Trigger</w:t>
            </w:r>
          </w:p>
        </w:tc>
        <w:tc>
          <w:tcPr>
            <w:tcW w:type="dxa" w:w="2160"/>
          </w:tcPr>
          <w:p>
            <w:r>
              <w:t>Typical Protocol</w:t>
            </w:r>
          </w:p>
        </w:tc>
        <w:tc>
          <w:tcPr>
            <w:tcW w:type="dxa" w:w="2160"/>
          </w:tcPr>
          <w:p>
            <w:r>
              <w:t>Evidence Level</w:t>
            </w:r>
          </w:p>
        </w:tc>
      </w:tr>
      <w:tr>
        <w:tc>
          <w:tcPr>
            <w:tcW w:type="dxa" w:w="2160"/>
          </w:tcPr>
          <w:p>
            <w:r>
              <w:t>Vitamin D3 + K2</w:t>
            </w:r>
          </w:p>
        </w:tc>
        <w:tc>
          <w:tcPr>
            <w:tcW w:type="dxa" w:w="2160"/>
          </w:tcPr>
          <w:p>
            <w:r>
              <w:t>25-OH-D3 &lt;75 nmol/L (very common in Oslo)</w:t>
            </w:r>
          </w:p>
        </w:tc>
        <w:tc>
          <w:tcPr>
            <w:tcW w:type="dxa" w:w="2160"/>
          </w:tcPr>
          <w:p>
            <w:r>
              <w:t>2,000–5,000 IU D3 + 100–200 mcg MK-7 daily</w:t>
            </w:r>
          </w:p>
        </w:tc>
        <w:tc>
          <w:tcPr>
            <w:tcW w:type="dxa" w:w="2160"/>
          </w:tcPr>
          <w:p>
            <w:r>
              <w:t>Strong — deficiency prevalent, supplementation effective</w:t>
            </w:r>
          </w:p>
        </w:tc>
      </w:tr>
      <w:tr>
        <w:tc>
          <w:tcPr>
            <w:tcW w:type="dxa" w:w="2160"/>
          </w:tcPr>
          <w:p>
            <w:r>
              <w:t>Magnesium glycinate</w:t>
            </w:r>
          </w:p>
        </w:tc>
        <w:tc>
          <w:tcPr>
            <w:tcW w:type="dxa" w:w="2160"/>
          </w:tcPr>
          <w:p>
            <w:r>
              <w:t>RBC Mg &lt;0.85 mmol/L, poor sleep, muscle cramps, high stress</w:t>
            </w:r>
          </w:p>
        </w:tc>
        <w:tc>
          <w:tcPr>
            <w:tcW w:type="dxa" w:w="2160"/>
          </w:tcPr>
          <w:p>
            <w:r>
              <w:t>300–400 mg elemental magnesium, evening</w:t>
            </w:r>
          </w:p>
        </w:tc>
        <w:tc>
          <w:tcPr>
            <w:tcW w:type="dxa" w:w="2160"/>
          </w:tcPr>
          <w:p>
            <w:r>
              <w:t>Strong for sleep, moderate for stress/BP</w:t>
            </w:r>
          </w:p>
        </w:tc>
      </w:tr>
      <w:tr>
        <w:tc>
          <w:tcPr>
            <w:tcW w:type="dxa" w:w="2160"/>
          </w:tcPr>
          <w:p>
            <w:r>
              <w:t>Omega-3 (EPA/DHA)</w:t>
            </w:r>
          </w:p>
        </w:tc>
        <w:tc>
          <w:tcPr>
            <w:tcW w:type="dxa" w:w="2160"/>
          </w:tcPr>
          <w:p>
            <w:r>
              <w:t>Omega-3 index &lt;8%, elevated TG, cardiovascular risk</w:t>
            </w:r>
          </w:p>
        </w:tc>
        <w:tc>
          <w:tcPr>
            <w:tcW w:type="dxa" w:w="2160"/>
          </w:tcPr>
          <w:p>
            <w:r>
              <w:t>2–4 g EPA+DHA daily from high-quality fish oil</w:t>
            </w:r>
          </w:p>
        </w:tc>
        <w:tc>
          <w:tcPr>
            <w:tcW w:type="dxa" w:w="2160"/>
          </w:tcPr>
          <w:p>
            <w:r>
              <w:t>Strong — cardiovascular, anti-inflammatory</w:t>
            </w:r>
          </w:p>
        </w:tc>
      </w:tr>
      <w:tr>
        <w:tc>
          <w:tcPr>
            <w:tcW w:type="dxa" w:w="2160"/>
          </w:tcPr>
          <w:p>
            <w:r>
              <w:t>B12 (methylcobalamin)</w:t>
            </w:r>
          </w:p>
        </w:tc>
        <w:tc>
          <w:tcPr>
            <w:tcW w:type="dxa" w:w="2160"/>
          </w:tcPr>
          <w:p>
            <w:r>
              <w:t>B12 &lt;300 pmol/L, especially vegans, &gt;60 years, metformin users</w:t>
            </w:r>
          </w:p>
        </w:tc>
        <w:tc>
          <w:tcPr>
            <w:tcW w:type="dxa" w:w="2160"/>
          </w:tcPr>
          <w:p>
            <w:r>
              <w:t>1,000 mcg sublingual or IM injection if severe deficiency</w:t>
            </w:r>
          </w:p>
        </w:tc>
        <w:tc>
          <w:tcPr>
            <w:tcW w:type="dxa" w:w="2160"/>
          </w:tcPr>
          <w:p>
            <w:r>
              <w:t>Strong for deficiency states</w:t>
            </w:r>
          </w:p>
        </w:tc>
      </w:tr>
      <w:tr>
        <w:tc>
          <w:tcPr>
            <w:tcW w:type="dxa" w:w="2160"/>
          </w:tcPr>
          <w:p>
            <w:r>
              <w:t>Zinc bisglycinate</w:t>
            </w:r>
          </w:p>
        </w:tc>
        <w:tc>
          <w:tcPr>
            <w:tcW w:type="dxa" w:w="2160"/>
          </w:tcPr>
          <w:p>
            <w:r>
              <w:t>Serum Zn &lt;11 µmol/L, frequent illness, poor wound healing, low testosterone</w:t>
            </w:r>
          </w:p>
        </w:tc>
        <w:tc>
          <w:tcPr>
            <w:tcW w:type="dxa" w:w="2160"/>
          </w:tcPr>
          <w:p>
            <w:r>
              <w:t>15–25 mg elemental zinc daily, with food</w:t>
            </w:r>
          </w:p>
        </w:tc>
        <w:tc>
          <w:tcPr>
            <w:tcW w:type="dxa" w:w="2160"/>
          </w:tcPr>
          <w:p>
            <w:r>
              <w:t>Moderate — well-tolerated, immune support</w:t>
            </w:r>
          </w:p>
        </w:tc>
      </w:tr>
      <w:tr>
        <w:tc>
          <w:tcPr>
            <w:tcW w:type="dxa" w:w="2160"/>
          </w:tcPr>
          <w:p>
            <w:r>
              <w:t>Creatine monohydrate</w:t>
            </w:r>
          </w:p>
        </w:tc>
        <w:tc>
          <w:tcPr>
            <w:tcW w:type="dxa" w:w="2160"/>
          </w:tcPr>
          <w:p>
            <w:r>
              <w:t>Cognitive performance goals, strength training, age &gt;45</w:t>
            </w:r>
          </w:p>
        </w:tc>
        <w:tc>
          <w:tcPr>
            <w:tcW w:type="dxa" w:w="2160"/>
          </w:tcPr>
          <w:p>
            <w:r>
              <w:t>3–5 g daily, any time</w:t>
            </w:r>
          </w:p>
        </w:tc>
        <w:tc>
          <w:tcPr>
            <w:tcW w:type="dxa" w:w="2160"/>
          </w:tcPr>
          <w:p>
            <w:r>
              <w:t>Strong — cognitive and physical performance</w:t>
            </w:r>
          </w:p>
        </w:tc>
      </w:tr>
      <w:tr>
        <w:tc>
          <w:tcPr>
            <w:tcW w:type="dxa" w:w="2160"/>
          </w:tcPr>
          <w:p>
            <w:r>
              <w:t>Collagen peptides</w:t>
            </w:r>
          </w:p>
        </w:tc>
        <w:tc>
          <w:tcPr>
            <w:tcW w:type="dxa" w:w="2160"/>
          </w:tcPr>
          <w:p>
            <w:r>
              <w:t>Joint health, skin ageing goals, connective tissue issues</w:t>
            </w:r>
          </w:p>
        </w:tc>
        <w:tc>
          <w:tcPr>
            <w:tcW w:type="dxa" w:w="2160"/>
          </w:tcPr>
          <w:p>
            <w:r>
              <w:t>10–15 g hydrolysed collagen + 50 mg vitamin C, morning</w:t>
            </w:r>
          </w:p>
        </w:tc>
        <w:tc>
          <w:tcPr>
            <w:tcW w:type="dxa" w:w="2160"/>
          </w:tcPr>
          <w:p>
            <w:r>
              <w:t>Moderate — emerging evidence</w:t>
            </w:r>
          </w:p>
        </w:tc>
      </w:tr>
    </w:tbl>
    <w:p>
      <w:pPr>
        <w:pStyle w:val="Heading4"/>
      </w:pPr>
      <w:r>
        <w:t>Condition-Specific Supplements</w:t>
      </w:r>
    </w:p>
    <w:tbl>
      <w:tblPr>
        <w:tblW w:type="auto" w:w="0"/>
        <w:tblLook w:firstColumn="1" w:firstRow="1" w:lastColumn="0" w:lastRow="0" w:noHBand="0" w:noVBand="1" w:val="04A0"/>
      </w:tblPr>
      <w:tblGrid>
        <w:gridCol w:w="2160"/>
        <w:gridCol w:w="2160"/>
        <w:gridCol w:w="2160"/>
        <w:gridCol w:w="2160"/>
      </w:tblGrid>
      <w:tr>
        <w:tc>
          <w:tcPr>
            <w:tcW w:type="dxa" w:w="2160"/>
          </w:tcPr>
          <w:p>
            <w:r>
              <w:t>Condition / Goal</w:t>
            </w:r>
          </w:p>
        </w:tc>
        <w:tc>
          <w:tcPr>
            <w:tcW w:type="dxa" w:w="2160"/>
          </w:tcPr>
          <w:p>
            <w:r>
              <w:t>Supplement</w:t>
            </w:r>
          </w:p>
        </w:tc>
        <w:tc>
          <w:tcPr>
            <w:tcW w:type="dxa" w:w="2160"/>
          </w:tcPr>
          <w:p>
            <w:r>
              <w:t>Protocol</w:t>
            </w:r>
          </w:p>
        </w:tc>
        <w:tc>
          <w:tcPr>
            <w:tcW w:type="dxa" w:w="2160"/>
          </w:tcPr>
          <w:p>
            <w:r>
              <w:t>Notes</w:t>
            </w:r>
          </w:p>
        </w:tc>
      </w:tr>
      <w:tr>
        <w:tc>
          <w:tcPr>
            <w:tcW w:type="dxa" w:w="2160"/>
          </w:tcPr>
          <w:p>
            <w:r>
              <w:t>Elevated hsCRP / inflammation</w:t>
            </w:r>
          </w:p>
        </w:tc>
        <w:tc>
          <w:tcPr>
            <w:tcW w:type="dxa" w:w="2160"/>
          </w:tcPr>
          <w:p>
            <w:r>
              <w:t>Curcumin + piperine, Omega-3 increase</w:t>
            </w:r>
          </w:p>
        </w:tc>
        <w:tc>
          <w:tcPr>
            <w:tcW w:type="dxa" w:w="2160"/>
          </w:tcPr>
          <w:p>
            <w:r>
              <w:t>500mg curcumin 2x/day + 5mg piperine</w:t>
            </w:r>
          </w:p>
        </w:tc>
        <w:tc>
          <w:tcPr>
            <w:tcW w:type="dxa" w:w="2160"/>
          </w:tcPr>
          <w:p>
            <w:r>
              <w:t>Recheck hsCRP after 12 weeks</w:t>
            </w:r>
          </w:p>
        </w:tc>
      </w:tr>
      <w:tr>
        <w:tc>
          <w:tcPr>
            <w:tcW w:type="dxa" w:w="2160"/>
          </w:tcPr>
          <w:p>
            <w:r>
              <w:t>Sleep dysfunction</w:t>
            </w:r>
          </w:p>
        </w:tc>
        <w:tc>
          <w:tcPr>
            <w:tcW w:type="dxa" w:w="2160"/>
          </w:tcPr>
          <w:p>
            <w:r>
              <w:t>Magnesium glycinate, low-dose melatonin, ashwagandha</w:t>
            </w:r>
          </w:p>
        </w:tc>
        <w:tc>
          <w:tcPr>
            <w:tcW w:type="dxa" w:w="2160"/>
          </w:tcPr>
          <w:p>
            <w:r>
              <w:t>Mg 400mg + 0.5–1mg melatonin 30 min before bed</w:t>
            </w:r>
          </w:p>
        </w:tc>
        <w:tc>
          <w:tcPr>
            <w:tcW w:type="dxa" w:w="2160"/>
          </w:tcPr>
          <w:p>
            <w:r>
              <w:t>Melatonin: lowest effective dose, short-term</w:t>
            </w:r>
          </w:p>
        </w:tc>
      </w:tr>
      <w:tr>
        <w:tc>
          <w:tcPr>
            <w:tcW w:type="dxa" w:w="2160"/>
          </w:tcPr>
          <w:p>
            <w:r>
              <w:t>Low testosterone (subclinical)</w:t>
            </w:r>
          </w:p>
        </w:tc>
        <w:tc>
          <w:tcPr>
            <w:tcW w:type="dxa" w:w="2160"/>
          </w:tcPr>
          <w:p>
            <w:r>
              <w:t>Zinc, vitamin D, ashwagandha, DHEA (if DHEA-S low)</w:t>
            </w:r>
          </w:p>
        </w:tc>
        <w:tc>
          <w:tcPr>
            <w:tcW w:type="dxa" w:w="2160"/>
          </w:tcPr>
          <w:p>
            <w:r>
              <w:t>Zinc 25mg + D3 4000IU + ashwagandha 600mg</w:t>
            </w:r>
          </w:p>
        </w:tc>
        <w:tc>
          <w:tcPr>
            <w:tcW w:type="dxa" w:w="2160"/>
          </w:tcPr>
          <w:p>
            <w:r>
              <w:t>Recheck T + SHBG after 3 months. Consider TRT referral if inadequate</w:t>
            </w:r>
          </w:p>
        </w:tc>
      </w:tr>
      <w:tr>
        <w:tc>
          <w:tcPr>
            <w:tcW w:type="dxa" w:w="2160"/>
          </w:tcPr>
          <w:p>
            <w:r>
              <w:t>Cognitive performance/stress</w:t>
            </w:r>
          </w:p>
        </w:tc>
        <w:tc>
          <w:tcPr>
            <w:tcW w:type="dxa" w:w="2160"/>
          </w:tcPr>
          <w:p>
            <w:r>
              <w:t>Lion's Mane, Rhodiola rosea, L-theanine + caffeine</w:t>
            </w:r>
          </w:p>
        </w:tc>
        <w:tc>
          <w:tcPr>
            <w:tcW w:type="dxa" w:w="2160"/>
          </w:tcPr>
          <w:p>
            <w:r>
              <w:t>500–1000mg Lion's Mane AM, Rhodiola 200mg AM</w:t>
            </w:r>
          </w:p>
        </w:tc>
        <w:tc>
          <w:tcPr>
            <w:tcW w:type="dxa" w:w="2160"/>
          </w:tcPr>
          <w:p>
            <w:r>
              <w:t>Stack L-theanine 200mg with morning coffee</w:t>
            </w:r>
          </w:p>
        </w:tc>
      </w:tr>
      <w:tr>
        <w:tc>
          <w:tcPr>
            <w:tcW w:type="dxa" w:w="2160"/>
          </w:tcPr>
          <w:p>
            <w:r>
              <w:t>Elevated Lp(a) / cardiovascular risk</w:t>
            </w:r>
          </w:p>
        </w:tc>
        <w:tc>
          <w:tcPr>
            <w:tcW w:type="dxa" w:w="2160"/>
          </w:tcPr>
          <w:p>
            <w:r>
              <w:t>High-dose niacin (if tolerated), Omega-3</w:t>
            </w:r>
          </w:p>
        </w:tc>
        <w:tc>
          <w:tcPr>
            <w:tcW w:type="dxa" w:w="2160"/>
          </w:tcPr>
          <w:p>
            <w:r>
              <w:t>Niacin titrated to 1–2g/day; specialist consult likely needed</w:t>
            </w:r>
          </w:p>
        </w:tc>
        <w:tc>
          <w:tcPr>
            <w:tcW w:type="dxa" w:w="2160"/>
          </w:tcPr>
          <w:p>
            <w:r>
              <w:t>Lp(a) largely genetic; lifestyle + medication planning</w:t>
            </w:r>
          </w:p>
        </w:tc>
      </w:tr>
      <w:tr>
        <w:tc>
          <w:tcPr>
            <w:tcW w:type="dxa" w:w="2160"/>
          </w:tcPr>
          <w:p>
            <w:r>
              <w:t>Insulin resistance / elevated fasting insulin</w:t>
            </w:r>
          </w:p>
        </w:tc>
        <w:tc>
          <w:tcPr>
            <w:tcW w:type="dxa" w:w="2160"/>
          </w:tcPr>
          <w:p>
            <w:r>
              <w:t>Berberine, chromium, inositol, Omega-3</w:t>
            </w:r>
          </w:p>
        </w:tc>
        <w:tc>
          <w:tcPr>
            <w:tcW w:type="dxa" w:w="2160"/>
          </w:tcPr>
          <w:p>
            <w:r>
              <w:t>Berberine 500mg 2–3x/day with meals</w:t>
            </w:r>
          </w:p>
        </w:tc>
        <w:tc>
          <w:tcPr>
            <w:tcW w:type="dxa" w:w="2160"/>
          </w:tcPr>
          <w:p>
            <w:r>
              <w:t>Comparable to metformin in some studies. Monitor LFTs</w:t>
            </w:r>
          </w:p>
        </w:tc>
      </w:tr>
      <w:tr>
        <w:tc>
          <w:tcPr>
            <w:tcW w:type="dxa" w:w="2160"/>
          </w:tcPr>
          <w:p>
            <w:r>
              <w:t>Iron deficiency (non-anaemic)</w:t>
            </w:r>
          </w:p>
        </w:tc>
        <w:tc>
          <w:tcPr>
            <w:tcW w:type="dxa" w:w="2160"/>
          </w:tcPr>
          <w:p>
            <w:r>
              <w:t>Ferrous bisglycinate + vitamin C</w:t>
            </w:r>
          </w:p>
        </w:tc>
        <w:tc>
          <w:tcPr>
            <w:tcW w:type="dxa" w:w="2160"/>
          </w:tcPr>
          <w:p>
            <w:r>
              <w:t>25–50mg elemental iron every other day + 100mg vitamin C</w:t>
            </w:r>
          </w:p>
        </w:tc>
        <w:tc>
          <w:tcPr>
            <w:tcW w:type="dxa" w:w="2160"/>
          </w:tcPr>
          <w:p>
            <w:r>
              <w:t>Every-other-day dosing improves absorption. Recheck ferritin at 8 weeks</w:t>
            </w:r>
          </w:p>
        </w:tc>
      </w:tr>
    </w:tbl>
    <w:p>
      <w:pPr>
        <w:pStyle w:val="Heading3"/>
      </w:pPr>
      <w:r>
        <w:t>5.3 Dietary Protocols</w:t>
      </w:r>
    </w:p>
    <w:p>
      <w:r>
        <w:t>Diet recommendations are individualised based on lab results, body composition goals, metabolic markers, and personal preferences. You do not prescribe a single diet — you use a framework that adapts to the member's biology and life.</w:t>
      </w:r>
    </w:p>
    <w:p>
      <w:pPr>
        <w:pStyle w:val="Heading4"/>
      </w:pPr>
      <w:r>
        <w:t>The Diagnostic-Led Diet Framework</w:t>
      </w:r>
    </w:p>
    <w:tbl>
      <w:tblPr>
        <w:tblW w:type="auto" w:w="0"/>
        <w:tblLook w:firstColumn="1" w:firstRow="1" w:lastColumn="0" w:lastRow="0" w:noHBand="0" w:noVBand="1" w:val="04A0"/>
      </w:tblPr>
      <w:tblGrid>
        <w:gridCol w:w="2880"/>
        <w:gridCol w:w="2880"/>
        <w:gridCol w:w="2880"/>
      </w:tblGrid>
      <w:tr>
        <w:tc>
          <w:tcPr>
            <w:tcW w:type="dxa" w:w="2880"/>
          </w:tcPr>
          <w:p>
            <w:r>
              <w:t>Biomarker Pattern</w:t>
            </w:r>
          </w:p>
        </w:tc>
        <w:tc>
          <w:tcPr>
            <w:tcW w:type="dxa" w:w="2880"/>
          </w:tcPr>
          <w:p>
            <w:r>
              <w:t>Recommended Dietary Direction</w:t>
            </w:r>
          </w:p>
        </w:tc>
        <w:tc>
          <w:tcPr>
            <w:tcW w:type="dxa" w:w="2880"/>
          </w:tcPr>
          <w:p>
            <w:r>
              <w:t>Key Practical Steps</w:t>
            </w:r>
          </w:p>
        </w:tc>
      </w:tr>
      <w:tr>
        <w:tc>
          <w:tcPr>
            <w:tcW w:type="dxa" w:w="2880"/>
          </w:tcPr>
          <w:p>
            <w:r>
              <w:t>Elevated fasting glucose + high HOMA-IR</w:t>
            </w:r>
          </w:p>
        </w:tc>
        <w:tc>
          <w:tcPr>
            <w:tcW w:type="dxa" w:w="2880"/>
          </w:tcPr>
          <w:p>
            <w:r>
              <w:t>Low-glycaemic, reduced refined carbohydrates, time-restricted eating (16:8)</w:t>
            </w:r>
          </w:p>
        </w:tc>
        <w:tc>
          <w:tcPr>
            <w:tcW w:type="dxa" w:w="2880"/>
          </w:tcPr>
          <w:p>
            <w:r>
              <w:t>Prioritise protein and fibre at each meal. Limit alcohol. Consider CGM trial for real-time feedback.</w:t>
            </w:r>
          </w:p>
        </w:tc>
      </w:tr>
      <w:tr>
        <w:tc>
          <w:tcPr>
            <w:tcW w:type="dxa" w:w="2880"/>
          </w:tcPr>
          <w:p>
            <w:r>
              <w:t>Elevated ApoB / LDL particle number</w:t>
            </w:r>
          </w:p>
        </w:tc>
        <w:tc>
          <w:tcPr>
            <w:tcW w:type="dxa" w:w="2880"/>
          </w:tcPr>
          <w:p>
            <w:r>
              <w:t>Mediterranean-style with saturated fat reduction, increased plant sterols and soluble fibre</w:t>
            </w:r>
          </w:p>
        </w:tc>
        <w:tc>
          <w:tcPr>
            <w:tcW w:type="dxa" w:w="2880"/>
          </w:tcPr>
          <w:p>
            <w:r>
              <w:t>Increase olive oil, nuts, legumes. Reduce processed meat, butter, coconut oil. Add psyllium husk.</w:t>
            </w:r>
          </w:p>
        </w:tc>
      </w:tr>
      <w:tr>
        <w:tc>
          <w:tcPr>
            <w:tcW w:type="dxa" w:w="2880"/>
          </w:tcPr>
          <w:p>
            <w:r>
              <w:t>Elevated hsCRP / inflammation markers</w:t>
            </w:r>
          </w:p>
        </w:tc>
        <w:tc>
          <w:tcPr>
            <w:tcW w:type="dxa" w:w="2880"/>
          </w:tcPr>
          <w:p>
            <w:r>
              <w:t>Anti-inflammatory diet: Mediterranean + reduced ultra-processed foods</w:t>
            </w:r>
          </w:p>
        </w:tc>
        <w:tc>
          <w:tcPr>
            <w:tcW w:type="dxa" w:w="2880"/>
          </w:tcPr>
          <w:p>
            <w:r>
              <w:t>Oily fish 3x/week, colourful vegetables 5+ portions/day. Eliminate seed oils and trans fats.</w:t>
            </w:r>
          </w:p>
        </w:tc>
      </w:tr>
      <w:tr>
        <w:tc>
          <w:tcPr>
            <w:tcW w:type="dxa" w:w="2880"/>
          </w:tcPr>
          <w:p>
            <w:r>
              <w:t>Low testosterone + high SHBG</w:t>
            </w:r>
          </w:p>
        </w:tc>
        <w:tc>
          <w:tcPr>
            <w:tcW w:type="dxa" w:w="2880"/>
          </w:tcPr>
          <w:p>
            <w:r>
              <w:t>Adequate healthy fats, zinc-rich foods, moderate protein, avoid very low-fat diets</w:t>
            </w:r>
          </w:p>
        </w:tc>
        <w:tc>
          <w:tcPr>
            <w:tcW w:type="dxa" w:w="2880"/>
          </w:tcPr>
          <w:p>
            <w:r>
              <w:t>Include eggs, beef, oysters, avocado, nuts. Avoid chronic caloric restriction.</w:t>
            </w:r>
          </w:p>
        </w:tc>
      </w:tr>
      <w:tr>
        <w:tc>
          <w:tcPr>
            <w:tcW w:type="dxa" w:w="2880"/>
          </w:tcPr>
          <w:p>
            <w:r>
              <w:t>Poor sleep / high evening cortisol</w:t>
            </w:r>
          </w:p>
        </w:tc>
        <w:tc>
          <w:tcPr>
            <w:tcW w:type="dxa" w:w="2880"/>
          </w:tcPr>
          <w:p>
            <w:r>
              <w:t>Reduce caffeine after noon, avoid large meals within 3 hours of bed, increase tryptophan-rich foods</w:t>
            </w:r>
          </w:p>
        </w:tc>
        <w:tc>
          <w:tcPr>
            <w:tcW w:type="dxa" w:w="2880"/>
          </w:tcPr>
          <w:p>
            <w:r>
              <w:t>Evening meal: turkey, eggs, dairy, bananas. Limit alcohol (disrupts sleep architecture).</w:t>
            </w:r>
          </w:p>
        </w:tc>
      </w:tr>
      <w:tr>
        <w:tc>
          <w:tcPr>
            <w:tcW w:type="dxa" w:w="2880"/>
          </w:tcPr>
          <w:p>
            <w:r>
              <w:t>High-performing athlete / VO2max optimisation</w:t>
            </w:r>
          </w:p>
        </w:tc>
        <w:tc>
          <w:tcPr>
            <w:tcW w:type="dxa" w:w="2880"/>
          </w:tcPr>
          <w:p>
            <w:r>
              <w:t>Periodised nutrition: high-carb training days, protein-focused rest days</w:t>
            </w:r>
          </w:p>
        </w:tc>
        <w:tc>
          <w:tcPr>
            <w:tcW w:type="dxa" w:w="2880"/>
          </w:tcPr>
          <w:p>
            <w:r>
              <w:t>1.8–2.2g protein/kg bodyweight. Strategic carbohydrate timing around training.</w:t>
            </w:r>
          </w:p>
        </w:tc>
      </w:tr>
    </w:tbl>
    <w:p>
      <w:pPr>
        <w:pStyle w:val="Heading3"/>
      </w:pPr>
      <w:r>
        <w:t>5.4 Exercise Protocols</w:t>
      </w:r>
    </w:p>
    <w:p>
      <w:r>
        <w:t>Exercise recommendations are based on wearable data, VO2max estimation, resting heart rate trends, and the member's stated goals. The evidence-based longevity framework is the foundation.</w:t>
      </w:r>
    </w:p>
    <w:p>
      <w:pPr>
        <w:pStyle w:val="ListBullet"/>
      </w:pPr>
      <w:r>
        <w:t>**Zone 2 cardio:** 150–200 minutes per week at conversational pace (key for mitochondrial health and longevity)</w:t>
      </w:r>
    </w:p>
    <w:p>
      <w:pPr>
        <w:pStyle w:val="ListBullet"/>
      </w:pPr>
      <w:r>
        <w:t>**VO2max intervals:** 1–2 sessions/week of high-intensity work (4x4 min at 90-95% max HR)</w:t>
      </w:r>
    </w:p>
    <w:p>
      <w:pPr>
        <w:pStyle w:val="ListBullet"/>
      </w:pPr>
      <w:r>
        <w:t>**Resistance training:** 2–3 sessions/week targeting major muscle groups (key for metabolic health and longevity)</w:t>
      </w:r>
    </w:p>
    <w:p>
      <w:pPr>
        <w:pStyle w:val="ListBullet"/>
      </w:pPr>
      <w:r>
        <w:t>**Protein intake sync:** ensure adequate protein (1.6–2.2g/kg) to support muscle protein synthesis</w:t>
      </w:r>
    </w:p>
    <w:p>
      <w:pPr>
        <w:pStyle w:val="ListBullet"/>
      </w:pPr>
      <w:r>
        <w:t>**Recovery tracking:** use HRV trend from wearable to guide training intensity day-to-day</w:t>
      </w:r>
    </w:p>
    <w:p>
      <w:pPr>
        <w:pStyle w:val="ListBullet"/>
      </w:pPr>
      <w:r>
        <w:t>**Sleep:** prioritise 7–9 hours as a non-negotiable performance variable</w:t>
      </w:r>
    </w:p>
    <w:p>
      <w:r>
        <w:t>__________________________________________________</w:t>
      </w:r>
    </w:p>
    <w:p>
      <w:pPr>
        <w:pStyle w:val="Heading2"/>
      </w:pPr>
      <w:r>
        <w:t>6. Technology &amp; IT Systems</w:t>
      </w:r>
    </w:p>
    <w:p>
      <w:pPr>
        <w:pStyle w:val="Heading3"/>
      </w:pPr>
      <w:r>
        <w:t>6.1 Architecture Overview</w:t>
      </w:r>
    </w:p>
    <w:p>
      <w:r>
        <w:t>The entire technology stack runs locally on your Mac Mini M4 hardware. No patient data ever leaves your premises. This is both a GDPR/Personopplysningsloven compliance requirement and a powerful marketing differentiator — 'your health data never goes to the cloud' is something Oslo executives genuinely care about.</w:t>
      </w:r>
    </w:p>
    <w:p>
      <w:r>
        <w:t>Technology Stack:</w:t>
      </w:r>
    </w:p>
    <w:tbl>
      <w:tblPr>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Specification</w:t>
            </w:r>
          </w:p>
        </w:tc>
      </w:tr>
      <w:tr>
        <w:tc>
          <w:tcPr>
            <w:tcW w:type="dxa" w:w="4320"/>
          </w:tcPr>
          <w:p>
            <w:r>
              <w:t>Hardware</w:t>
            </w:r>
          </w:p>
        </w:tc>
        <w:tc>
          <w:tcPr>
            <w:tcW w:type="dxa" w:w="4320"/>
          </w:tcPr>
          <w:p>
            <w:r>
              <w:t>Mac Mini M4 (current) → M5 Mac Studio Max 128GB (planned, 2026-2027)</w:t>
            </w:r>
          </w:p>
        </w:tc>
      </w:tr>
      <w:tr>
        <w:tc>
          <w:tcPr>
            <w:tcW w:type="dxa" w:w="4320"/>
          </w:tcPr>
          <w:p>
            <w:r>
              <w:t>Orchestration</w:t>
            </w:r>
          </w:p>
        </w:tc>
        <w:tc>
          <w:tcPr>
            <w:tcW w:type="dxa" w:w="4320"/>
          </w:tcPr>
          <w:p>
            <w:r>
              <w:t>OpenClaw 2026.x — local agent framework</w:t>
            </w:r>
          </w:p>
        </w:tc>
      </w:tr>
      <w:tr>
        <w:tc>
          <w:tcPr>
            <w:tcW w:type="dxa" w:w="4320"/>
          </w:tcPr>
          <w:p>
            <w:r>
              <w:t>LLM Models</w:t>
            </w:r>
          </w:p>
        </w:tc>
        <w:tc>
          <w:tcPr>
            <w:tcW w:type="dxa" w:w="4320"/>
          </w:tcPr>
          <w:p>
            <w:r>
              <w:t>Qwen 3.5 35B (local, Ollama) for analysis; Claude Sonnet API for drafting (non-PII only)</w:t>
            </w:r>
          </w:p>
        </w:tc>
      </w:tr>
      <w:tr>
        <w:tc>
          <w:tcPr>
            <w:tcW w:type="dxa" w:w="4320"/>
          </w:tcPr>
          <w:p>
            <w:r>
              <w:t>Knowledge Base</w:t>
            </w:r>
          </w:p>
        </w:tc>
        <w:tc>
          <w:tcPr>
            <w:tcW w:type="dxa" w:w="4320"/>
          </w:tcPr>
          <w:p>
            <w:r>
              <w:t>Per-member RAG folders in OpenClaw, markdown-structured</w:t>
            </w:r>
          </w:p>
        </w:tc>
      </w:tr>
      <w:tr>
        <w:tc>
          <w:tcPr>
            <w:tcW w:type="dxa" w:w="4320"/>
          </w:tcPr>
          <w:p>
            <w:r>
              <w:t>Secure Access</w:t>
            </w:r>
          </w:p>
        </w:tc>
        <w:tc>
          <w:tcPr>
            <w:tcW w:type="dxa" w:w="4320"/>
          </w:tcPr>
          <w:p>
            <w:r>
              <w:t>Cloudflare Tunnel for encrypted remote access</w:t>
            </w:r>
          </w:p>
        </w:tc>
      </w:tr>
      <w:tr>
        <w:tc>
          <w:tcPr>
            <w:tcW w:type="dxa" w:w="4320"/>
          </w:tcPr>
          <w:p>
            <w:r>
              <w:t>Communication</w:t>
            </w:r>
          </w:p>
        </w:tc>
        <w:tc>
          <w:tcPr>
            <w:tcW w:type="dxa" w:w="4320"/>
          </w:tcPr>
          <w:p>
            <w:r>
              <w:t>Signal/WhatsApp for member messaging (encrypted end-to-end)</w:t>
            </w:r>
          </w:p>
        </w:tc>
      </w:tr>
      <w:tr>
        <w:tc>
          <w:tcPr>
            <w:tcW w:type="dxa" w:w="4320"/>
          </w:tcPr>
          <w:p>
            <w:r>
              <w:t>Lab Integration</w:t>
            </w:r>
          </w:p>
        </w:tc>
        <w:tc>
          <w:tcPr>
            <w:tcW w:type="dxa" w:w="4320"/>
          </w:tcPr>
          <w:p>
            <w:r>
              <w:t>PDF ingestion pipeline → structured JSON per test → appended to member dossier</w:t>
            </w:r>
          </w:p>
        </w:tc>
      </w:tr>
      <w:tr>
        <w:tc>
          <w:tcPr>
            <w:tcW w:type="dxa" w:w="4320"/>
          </w:tcPr>
          <w:p>
            <w:r>
              <w:t>Wearable Pipeline</w:t>
            </w:r>
          </w:p>
        </w:tc>
        <w:tc>
          <w:tcPr>
            <w:tcW w:type="dxa" w:w="4320"/>
          </w:tcPr>
          <w:p>
            <w:r>
              <w:t>Garmin/Oura/Apple Health export → weekly structured summary → dossier update</w:t>
            </w:r>
          </w:p>
        </w:tc>
      </w:tr>
      <w:tr>
        <w:tc>
          <w:tcPr>
            <w:tcW w:type="dxa" w:w="4320"/>
          </w:tcPr>
          <w:p>
            <w:r>
              <w:t>Scheduling</w:t>
            </w:r>
          </w:p>
        </w:tc>
        <w:tc>
          <w:tcPr>
            <w:tcW w:type="dxa" w:w="4320"/>
          </w:tcPr>
          <w:p>
            <w:r>
              <w:t>Simple calendar tool (Calendly or equivalent) linked to your work calendar</w:t>
            </w:r>
          </w:p>
        </w:tc>
      </w:tr>
      <w:tr>
        <w:tc>
          <w:tcPr>
            <w:tcW w:type="dxa" w:w="4320"/>
          </w:tcPr>
          <w:p>
            <w:r>
              <w:t>Billing</w:t>
            </w:r>
          </w:p>
        </w:tc>
        <w:tc>
          <w:tcPr>
            <w:tcW w:type="dxa" w:w="4320"/>
          </w:tcPr>
          <w:p>
            <w:r>
              <w:t>Stripe or Vipps recurring payments for member subscriptions</w:t>
            </w:r>
          </w:p>
        </w:tc>
      </w:tr>
    </w:tbl>
    <w:p>
      <w:pPr>
        <w:pStyle w:val="Heading3"/>
      </w:pPr>
      <w:r>
        <w:t>6.2 GDPR &amp; Patient Data Compliance</w:t>
      </w:r>
    </w:p>
    <w:p>
      <w:r>
        <w:t>Operating as a private helsevirksomhet in Norway, you are subject to the Personopplysningsloven (Personal Data Act) and, by extension, GDPR. Health data is special category data under GDPR Article 9 — the highest protection tier.</w:t>
      </w:r>
    </w:p>
    <w:p>
      <w:r>
        <w:t>Key obligations:</w:t>
      </w:r>
    </w:p>
    <w:p>
      <w:pPr>
        <w:pStyle w:val="ListBullet"/>
      </w:pPr>
      <w:r>
        <w:t>**Data Processing Agreement:** Required if any third-party processor handles data (e.g., Calendly, Stripe). Ensure DPAs are in place.</w:t>
      </w:r>
    </w:p>
    <w:p>
      <w:pPr>
        <w:pStyle w:val="ListBullet"/>
      </w:pPr>
      <w:r>
        <w:t>**Privacy Notice:** Provide members with a clear, readable notice explaining what data you collect, why, how long you retain it, and their rights.</w:t>
      </w:r>
    </w:p>
    <w:p>
      <w:pPr>
        <w:pStyle w:val="ListBullet"/>
      </w:pPr>
      <w:r>
        <w:t>**Consent:** Collect explicit written consent for processing health data. Document this in each member's onboarding file.</w:t>
      </w:r>
    </w:p>
    <w:p>
      <w:pPr>
        <w:pStyle w:val="ListBullet"/>
      </w:pPr>
      <w:r>
        <w:t>**Data Minimisation:** Collect only what is clinically necessary. The dossier should contain relevant health data — not personal relationship gossip.</w:t>
      </w:r>
    </w:p>
    <w:p>
      <w:pPr>
        <w:pStyle w:val="ListBullet"/>
      </w:pPr>
      <w:r>
        <w:t>**Retention Policy:** Define how long you retain data after a membership ends (typically 10 years for medical records under Norwegian law).</w:t>
      </w:r>
    </w:p>
    <w:p>
      <w:pPr>
        <w:pStyle w:val="ListBullet"/>
      </w:pPr>
      <w:r>
        <w:t>**Security:** Local storage on encrypted drives. Cloudflare Tunnel with authentication for any remote access. No cloud LLM processing of PII.</w:t>
      </w:r>
    </w:p>
    <w:p>
      <w:pPr>
        <w:pStyle w:val="ListBullet"/>
      </w:pPr>
      <w:r>
        <w:t>**Breaches:** Know your obligation to notify Datatilsynet within 72 hours of a data breach.</w:t>
      </w:r>
    </w:p>
    <w:p>
      <w:pPr>
        <w:pStyle w:val="ListBullet"/>
      </w:pPr>
      <w:r>
        <w:t>**Right of Access:** Members can request their complete dossier at any time. Your markdown-structured system makes this easy to export.</w:t>
      </w:r>
    </w:p>
    <w:p>
      <w:r>
        <w:t>Critical rule for OpenClaw/AI usage: when using cloud-based LLM APIs (Claude Sonnet, etc.), never include patient names, ID numbers, or identifying information in the prompt. Use anonymised case descriptions: 'A 52-year-old male with elevated ApoB...' — not 'Jørgen Hansen's results show...' Your local Qwen model can process identifiable data; cloud APIs cannot.</w:t>
      </w:r>
    </w:p>
    <w:p>
      <w:pPr>
        <w:pStyle w:val="Heading3"/>
      </w:pPr>
      <w:r>
        <w:t>6.3 OpenClaw Agent Architecture for Member Management</w:t>
      </w:r>
    </w:p>
    <w:p>
      <w:pPr>
        <w:pStyle w:val="Heading4"/>
      </w:pPr>
      <w:r>
        <w:t>Agent 1: Nightly Member Monitor (Cron — runs 02:00 daily)</w:t>
      </w:r>
    </w:p>
    <w:p>
      <w:pPr>
        <w:pStyle w:val="ListBullet"/>
      </w:pPr>
      <w:r>
        <w:t>Reads all member dossiers</w:t>
      </w:r>
    </w:p>
    <w:p>
      <w:pPr>
        <w:pStyle w:val="ListBullet"/>
      </w:pPr>
      <w:r>
        <w:t>Checks wearable data for anomalies vs each member's personal baseline</w:t>
      </w:r>
    </w:p>
    <w:p>
      <w:pPr>
        <w:pStyle w:val="ListBullet"/>
      </w:pPr>
      <w:r>
        <w:t>Checks time since last consultation, lab review, or health brief</w:t>
      </w:r>
    </w:p>
    <w:p>
      <w:pPr>
        <w:pStyle w:val="ListBullet"/>
      </w:pPr>
      <w:r>
        <w:t>Flags any member needing proactive contact</w:t>
      </w:r>
    </w:p>
    <w:p>
      <w:pPr>
        <w:pStyle w:val="ListBullet"/>
      </w:pPr>
      <w:r>
        <w:t>Generates a morning briefing report for you to review over coffee</w:t>
      </w:r>
    </w:p>
    <w:p>
      <w:pPr>
        <w:pStyle w:val="Heading4"/>
      </w:pPr>
      <w:r>
        <w:t>Agent 2: Pre-Consultation Briefer (triggered 60 min before each appointment)</w:t>
      </w:r>
    </w:p>
    <w:p>
      <w:pPr>
        <w:pStyle w:val="ListBullet"/>
      </w:pPr>
      <w:r>
        <w:t>Reads the relevant member's full dossier</w:t>
      </w:r>
    </w:p>
    <w:p>
      <w:pPr>
        <w:pStyle w:val="ListBullet"/>
      </w:pPr>
      <w:r>
        <w:t>Summarises what has changed since last consultation</w:t>
      </w:r>
    </w:p>
    <w:p>
      <w:pPr>
        <w:pStyle w:val="ListBullet"/>
      </w:pPr>
      <w:r>
        <w:t>Highlights lab trends, wearable patterns, outstanding items</w:t>
      </w:r>
    </w:p>
    <w:p>
      <w:pPr>
        <w:pStyle w:val="ListBullet"/>
      </w:pPr>
      <w:r>
        <w:t>Suggests 3-5 questions to explore in today's consultation</w:t>
      </w:r>
    </w:p>
    <w:p>
      <w:pPr>
        <w:pStyle w:val="ListBullet"/>
      </w:pPr>
      <w:r>
        <w:t>Drafts a consultation structure</w:t>
      </w:r>
    </w:p>
    <w:p>
      <w:pPr>
        <w:pStyle w:val="Heading4"/>
      </w:pPr>
      <w:r>
        <w:t>Agent 3: Lab Result Processor (triggered on new PDF in lab results folder)</w:t>
      </w:r>
    </w:p>
    <w:p>
      <w:pPr>
        <w:pStyle w:val="ListBullet"/>
      </w:pPr>
      <w:r>
        <w:t>Parses lab PDF, extracts all values and units</w:t>
      </w:r>
    </w:p>
    <w:p>
      <w:pPr>
        <w:pStyle w:val="ListBullet"/>
      </w:pPr>
      <w:r>
        <w:t>Compares to member's previous results and reference ranges</w:t>
      </w:r>
    </w:p>
    <w:p>
      <w:pPr>
        <w:pStyle w:val="ListBullet"/>
      </w:pPr>
      <w:r>
        <w:t>Identifies values outside range or showing significant trends</w:t>
      </w:r>
    </w:p>
    <w:p>
      <w:pPr>
        <w:pStyle w:val="ListBullet"/>
      </w:pPr>
      <w:r>
        <w:t>Drafts a lay-language interpretation for member messaging</w:t>
      </w:r>
    </w:p>
    <w:p>
      <w:pPr>
        <w:pStyle w:val="ListBullet"/>
      </w:pPr>
      <w:r>
        <w:t>Updates the member's LABS/ dossier folder</w:t>
      </w:r>
    </w:p>
    <w:p>
      <w:pPr>
        <w:pStyle w:val="Heading4"/>
      </w:pPr>
      <w:r>
        <w:t>Agent 4: Monthly Health Brief Generator (Cron — runs 1st of each month)</w:t>
      </w:r>
    </w:p>
    <w:p>
      <w:pPr>
        <w:pStyle w:val="ListBullet"/>
      </w:pPr>
      <w:r>
        <w:t>Synthesises the past month of wearable data, consultations, and messages</w:t>
      </w:r>
    </w:p>
    <w:p>
      <w:pPr>
        <w:pStyle w:val="ListBullet"/>
      </w:pPr>
      <w:r>
        <w:t>Drafts a 3-4 page personalised health brief in Word/PDF format</w:t>
      </w:r>
    </w:p>
    <w:p>
      <w:pPr>
        <w:pStyle w:val="ListBullet"/>
      </w:pPr>
      <w:r>
        <w:t>Highlights progress toward health goals, trends to watch, recommended actions</w:t>
      </w:r>
    </w:p>
    <w:p>
      <w:pPr>
        <w:pStyle w:val="ListBullet"/>
      </w:pPr>
      <w:r>
        <w:t>You review, personalise, and send to the member</w:t>
      </w:r>
    </w:p>
    <w:p>
      <w:pPr>
        <w:pStyle w:val="Heading4"/>
      </w:pPr>
      <w:r>
        <w:t>Agent 5: Supplement Protocol Reviewer (Cron — quarterly)</w:t>
      </w:r>
    </w:p>
    <w:p>
      <w:pPr>
        <w:pStyle w:val="ListBullet"/>
      </w:pPr>
      <w:r>
        <w:t>Reviews current protocol against latest lab results</w:t>
      </w:r>
    </w:p>
    <w:p>
      <w:pPr>
        <w:pStyle w:val="ListBullet"/>
      </w:pPr>
      <w:r>
        <w:t>Cross-references with any new medications or conditions</w:t>
      </w:r>
    </w:p>
    <w:p>
      <w:pPr>
        <w:pStyle w:val="ListBullet"/>
      </w:pPr>
      <w:r>
        <w:t>Flags any protocol adjustments needed</w:t>
      </w:r>
    </w:p>
    <w:p>
      <w:pPr>
        <w:pStyle w:val="ListBullet"/>
      </w:pPr>
      <w:r>
        <w:t>Drafts an updated protocol for your review</w:t>
      </w:r>
    </w:p>
    <w:p>
      <w:r>
        <w:t>__________________________________________________</w:t>
      </w:r>
    </w:p>
    <w:p>
      <w:pPr>
        <w:pStyle w:val="Heading2"/>
      </w:pPr>
      <w:r>
        <w:t>7. Implementation Roadmap</w:t>
      </w:r>
    </w:p>
    <w:tbl>
      <w:tblPr>
        <w:tblW w:type="auto" w:w="0"/>
        <w:tblLook w:firstColumn="1" w:firstRow="1" w:lastColumn="0" w:lastRow="0" w:noHBand="0" w:noVBand="1" w:val="04A0"/>
      </w:tblPr>
      <w:tblGrid>
        <w:gridCol w:w="2880"/>
        <w:gridCol w:w="2880"/>
        <w:gridCol w:w="2880"/>
      </w:tblGrid>
      <w:tr>
        <w:tc>
          <w:tcPr>
            <w:tcW w:type="dxa" w:w="2880"/>
          </w:tcPr>
          <w:p>
            <w:r>
              <w:t>Phase</w:t>
            </w:r>
          </w:p>
        </w:tc>
        <w:tc>
          <w:tcPr>
            <w:tcW w:type="dxa" w:w="2880"/>
          </w:tcPr>
          <w:p>
            <w:r>
              <w:t>Timeline</w:t>
            </w:r>
          </w:p>
        </w:tc>
        <w:tc>
          <w:tcPr>
            <w:tcW w:type="dxa" w:w="2880"/>
          </w:tcPr>
          <w:p>
            <w:r>
              <w:t>Key Actions</w:t>
            </w:r>
          </w:p>
        </w:tc>
      </w:tr>
      <w:tr>
        <w:tc>
          <w:tcPr>
            <w:tcW w:type="dxa" w:w="2880"/>
          </w:tcPr>
          <w:p>
            <w:r>
              <w:t>**Phase 0: Foundation**</w:t>
            </w:r>
          </w:p>
        </w:tc>
        <w:tc>
          <w:tcPr>
            <w:tcW w:type="dxa" w:w="2880"/>
          </w:tcPr>
          <w:p>
            <w:r>
              <w:t>Weeks 1-4</w:t>
            </w:r>
          </w:p>
        </w:tc>
        <w:tc>
          <w:tcPr>
            <w:tcW w:type="dxa" w:w="2880"/>
          </w:tcPr>
          <w:p>
            <w:r>
              <w:t>Register AS company. Draft membership agreements with lawyer. Set up bank account and Vipps/Stripe subscription billing. Lease consultation room (or negotiate access to an existing privatklinikk space). Establish lab partnerships with Unilabs and Furst. Procure any clinical equipment (ECG machine, body composition scale). Set up OpenClaw dossier structure. Draft all member documents (intake form, privacy notice, consent form, member handbook).</w:t>
            </w:r>
          </w:p>
        </w:tc>
      </w:tr>
      <w:tr>
        <w:tc>
          <w:tcPr>
            <w:tcW w:type="dxa" w:w="2880"/>
          </w:tcPr>
          <w:p>
            <w:r>
              <w:t>**Phase 1: Founder Launch**</w:t>
            </w:r>
          </w:p>
        </w:tc>
        <w:tc>
          <w:tcPr>
            <w:tcW w:type="dxa" w:w="2880"/>
          </w:tcPr>
          <w:p>
            <w:r>
              <w:t>Weeks 5-12</w:t>
            </w:r>
          </w:p>
        </w:tc>
        <w:tc>
          <w:tcPr>
            <w:tcW w:type="dxa" w:w="2880"/>
          </w:tcPr>
          <w:p>
            <w:r>
              <w:t>Soft-launch to personal and professional network. Target 10-15 founding members. Offer founder pricing (NOK 1,500-2,500/month) in exchange for feedback and referrals. Complete onboarding for all founding members. Run all three tiers to test the model. Gather testimonials. Refine protocols and agent workflows based on real cases.</w:t>
            </w:r>
          </w:p>
        </w:tc>
      </w:tr>
      <w:tr>
        <w:tc>
          <w:tcPr>
            <w:tcW w:type="dxa" w:w="2880"/>
          </w:tcPr>
          <w:p>
            <w:r>
              <w:t>**Phase 2: Growth**</w:t>
            </w:r>
          </w:p>
        </w:tc>
        <w:tc>
          <w:tcPr>
            <w:tcW w:type="dxa" w:w="2880"/>
          </w:tcPr>
          <w:p>
            <w:r>
              <w:t>Months 4-12</w:t>
            </w:r>
          </w:p>
        </w:tc>
        <w:tc>
          <w:tcPr>
            <w:tcW w:type="dxa" w:w="2880"/>
          </w:tcPr>
          <w:p>
            <w:r>
              <w:t>Increase pricing to full rate for new members. Begin corporate outreach to 5-10 target Oslo companies for executive benefit packages. Publish first thought-leadership content (Finansavisen op-ed, LinkedIn). Establish referral programme for existing members. Begin reducing fastlege list. Target 40-50 total members by end of Year 1.</w:t>
            </w:r>
          </w:p>
        </w:tc>
      </w:tr>
      <w:tr>
        <w:tc>
          <w:tcPr>
            <w:tcW w:type="dxa" w:w="2880"/>
          </w:tcPr>
          <w:p>
            <w:r>
              <w:t>**Phase 3: Scale**</w:t>
            </w:r>
          </w:p>
        </w:tc>
        <w:tc>
          <w:tcPr>
            <w:tcW w:type="dxa" w:w="2880"/>
          </w:tcPr>
          <w:p>
            <w:r>
              <w:t>Year 2</w:t>
            </w:r>
          </w:p>
        </w:tc>
        <w:tc>
          <w:tcPr>
            <w:tcW w:type="dxa" w:w="2880"/>
          </w:tcPr>
          <w:p>
            <w:r>
              <w:t>Reduce fastlege list by 30-50%. Focus marketing on corporate channel and word-of-mouth. **Add nurse practitioner or physician associate at 60 members** to handle routine follow-ups and expand capacity. Upgrade to M5 Mac Studio for expanded local AI capability. Target 75-100 members. Potentially explore a premium wellness partnership (private gym, spa, nutrition clinic).</w:t>
            </w:r>
          </w:p>
        </w:tc>
      </w:tr>
      <w:tr>
        <w:tc>
          <w:tcPr>
            <w:tcW w:type="dxa" w:w="2880"/>
          </w:tcPr>
          <w:p>
            <w:r>
              <w:t>**Phase 4: Optimise**</w:t>
            </w:r>
          </w:p>
        </w:tc>
        <w:tc>
          <w:tcPr>
            <w:tcW w:type="dxa" w:w="2880"/>
          </w:tcPr>
          <w:p>
            <w:r>
              <w:t>Year 3+</w:t>
            </w:r>
          </w:p>
        </w:tc>
        <w:tc>
          <w:tcPr>
            <w:tcW w:type="dxa" w:w="2880"/>
          </w:tcPr>
          <w:p>
            <w:r>
              <w:t>Exit fastlege system entirely or maintain very small list. Full concierge operation at 80-100 members. Evaluate expansion options: second physician, Oslo West clinic space, corporate on-site partnerships, or digital health product spin-off.</w:t>
            </w:r>
          </w:p>
        </w:tc>
      </w:tr>
    </w:tbl>
    <w:p>
      <w:r>
        <w:t>__________________________________________________</w:t>
      </w:r>
    </w:p>
    <w:p>
      <w:pPr>
        <w:pStyle w:val="Heading2"/>
      </w:pPr>
      <w:r>
        <w:t>8. Marketing &amp; Customer Acquisition</w:t>
      </w:r>
    </w:p>
    <w:p>
      <w:pPr>
        <w:pStyle w:val="Heading3"/>
      </w:pPr>
      <w:r>
        <w:t>8.1 Core Positioning</w:t>
      </w:r>
    </w:p>
    <w:p>
      <w:r>
        <w:t>You are not marketing healthcare. You are marketing a relationship — the thing Oslo's most successful people are missing in their health life.</w:t>
      </w:r>
    </w:p>
    <w:p>
      <w:r>
        <w:t>The headline message:</w:t>
      </w:r>
    </w:p>
    <w:p>
      <w:r>
        <w:t>&gt; "Din personlige helsesjef — legen som faktisk kjenner deg."</w:t>
      </w:r>
    </w:p>
    <w:p>
      <w:pPr>
        <w:pStyle w:val="ListBullet"/>
      </w:pPr>
      <w:r>
        <w:t>The doctor who knows your labs from three years ago.</w:t>
      </w:r>
    </w:p>
    <w:p>
      <w:pPr>
        <w:pStyle w:val="ListBullet"/>
      </w:pPr>
      <w:r>
        <w:t>The doctor who messages you when your sleep data looks concerning.</w:t>
      </w:r>
    </w:p>
    <w:p>
      <w:pPr>
        <w:pStyle w:val="ListBullet"/>
      </w:pPr>
      <w:r>
        <w:t>The doctor who has read your whole history before you even sit down.</w:t>
      </w:r>
    </w:p>
    <w:p>
      <w:pPr>
        <w:pStyle w:val="ListBullet"/>
      </w:pPr>
      <w:r>
        <w:t>The doctor who treats your health like an ongoing project, not a series of 10-minute appointments.</w:t>
      </w:r>
    </w:p>
    <w:p>
      <w:pPr>
        <w:pStyle w:val="ListBullet"/>
      </w:pPr>
      <w:r>
        <w:t>The doctor who actually has time for you.</w:t>
      </w:r>
    </w:p>
    <w:p>
      <w:pPr>
        <w:pStyle w:val="Heading3"/>
      </w:pPr>
      <w:r>
        <w:t>8.2 Channel Strategy</w:t>
      </w:r>
    </w:p>
    <w:p>
      <w:pPr>
        <w:pStyle w:val="Heading4"/>
      </w:pPr>
      <w:r>
        <w:t>Channel 1: Personal Network (Months 1-3) — Highest ROI</w:t>
      </w:r>
    </w:p>
    <w:p>
      <w:r>
        <w:t>Your existing professional network is your fastest path to the first 15 members. You are likely already connected to hundreds of Oslo executives through Statkraft, professional associations, and personal relationships. A quiet, personal outreach — not a mass email — is most effective:</w:t>
      </w:r>
    </w:p>
    <w:p>
      <w:r>
        <w:t>Script: "Jeg starter en liten privat medisinsk praksis for noen få ledere i Oslo. Jeg tilbyr en helt annen type legeforhold — jeg har tid, jeg kjenner deg over tid, og jeg er tilgjengelig. Jeg tar bare 20 grunnleggermedlemmer. Vil du høre mer?"</w:t>
      </w:r>
    </w:p>
    <w:p>
      <w:pPr>
        <w:pStyle w:val="Heading4"/>
      </w:pPr>
      <w:r>
        <w:t>Channel 2: Corporate Executive Benefit Channel (Months 3-6)</w:t>
      </w:r>
    </w:p>
    <w:p>
      <w:r>
        <w:t>Target HR Directors and CEOs at 10-15 Oslo companies. Offer a corporate membership package where the company pays the membership as an executive benefit (skattemessig fradragsberettiget for selskapet).</w:t>
      </w:r>
    </w:p>
    <w:p>
      <w:r>
        <w:t>Benefits to sell:</w:t>
      </w:r>
    </w:p>
    <w:p>
      <w:pPr>
        <w:pStyle w:val="ListBullet"/>
      </w:pPr>
      <w:r>
        <w:t>Reduces executive sick leave and lost productivity</w:t>
      </w:r>
    </w:p>
    <w:p>
      <w:pPr>
        <w:pStyle w:val="ListBullet"/>
      </w:pPr>
      <w:r>
        <w:t>Attracts and retains senior talent (rare, premium benefit)</w:t>
      </w:r>
    </w:p>
    <w:p>
      <w:pPr>
        <w:pStyle w:val="ListBullet"/>
      </w:pPr>
      <w:r>
        <w:t>Positions the company as caring about leadership wellbeing</w:t>
      </w:r>
    </w:p>
    <w:p>
      <w:pPr>
        <w:pStyle w:val="ListBullet"/>
      </w:pPr>
      <w:r>
        <w:t>Annual cost per executive (NOK 30,000-120,000) is trivial vs executive replacement cost</w:t>
      </w:r>
    </w:p>
    <w:p>
      <w:r>
        <w:t>Target companies: medium-to-large Oslo companies with 50-500 employees. Energy, finance, consulting, tech, law. Approach the CEO or HR Director directly. Offer to present to leadership team.</w:t>
      </w:r>
    </w:p>
    <w:p>
      <w:r>
        <w:t>New: Executive Health Audit Offer</w:t>
      </w:r>
    </w:p>
    <w:p>
      <w:r>
        <w:t>Create a one-time Executive Health Audit (NOK 15,000) as a corporate entry point:</w:t>
      </w:r>
    </w:p>
    <w:p>
      <w:pPr>
        <w:pStyle w:val="ListBullet"/>
      </w:pPr>
      <w:r>
        <w:t>3-hour comprehensive assessment</w:t>
      </w:r>
    </w:p>
    <w:p>
      <w:pPr>
        <w:pStyle w:val="ListBullet"/>
      </w:pPr>
      <w:r>
        <w:t>Full lab panel + interpretation</w:t>
      </w:r>
    </w:p>
    <w:p>
      <w:pPr>
        <w:pStyle w:val="ListBullet"/>
      </w:pPr>
      <w:r>
        <w:t>Personalised health roadmap</w:t>
      </w:r>
    </w:p>
    <w:p>
      <w:pPr>
        <w:pStyle w:val="ListBullet"/>
      </w:pPr>
      <w:r>
        <w:t>30-day follow-up consultation</w:t>
      </w:r>
    </w:p>
    <w:p>
      <w:r>
        <w:t>This converts ~40% of audit recipients to full membership within 90 days.</w:t>
      </w:r>
    </w:p>
    <w:p>
      <w:pPr>
        <w:pStyle w:val="Heading4"/>
      </w:pPr>
      <w:r>
        <w:t>Channel 3: Thought Leadership &amp; Content (Ongoing)</w:t>
      </w:r>
    </w:p>
    <w:p>
      <w:r>
        <w:t>A single well-placed article in Finansavisen or Dagens Næringsliv — 'Hvorfor norske toppledere ikke har en personlig lege' — will generate more inbound leads than months of social media. Write it with the help of your OpenClaw writing agent.</w:t>
      </w:r>
    </w:p>
    <w:p>
      <w:r>
        <w:t>Topics that work:</w:t>
      </w:r>
    </w:p>
    <w:p>
      <w:pPr>
        <w:pStyle w:val="ListBullet"/>
      </w:pPr>
      <w:r>
        <w:t>'Hva blodprøvene dine egentlig forteller deg' — demystifying labs for executives</w:t>
      </w:r>
    </w:p>
    <w:p>
      <w:pPr>
        <w:pStyle w:val="ListBullet"/>
      </w:pPr>
      <w:r>
        <w:t>'De 5 helsemarkørene som betyr mest etter 40' — listicle format for LinkedIn</w:t>
      </w:r>
    </w:p>
    <w:p>
      <w:pPr>
        <w:pStyle w:val="ListBullet"/>
      </w:pPr>
      <w:r>
        <w:t>'Slik bruker jeg AI til å holde 100 pasienter friske' — the tech angle</w:t>
      </w:r>
    </w:p>
    <w:p>
      <w:pPr>
        <w:pStyle w:val="ListBullet"/>
      </w:pPr>
      <w:r>
        <w:t>'Hvorfor 10-minutterslegen er et systemsvikt' — the polemic</w:t>
      </w:r>
    </w:p>
    <w:p>
      <w:pPr>
        <w:pStyle w:val="Heading4"/>
      </w:pPr>
      <w:r>
        <w:t>Channel 4: Referral Programme</w:t>
      </w:r>
    </w:p>
    <w:p>
      <w:r>
        <w:t>Your best members are your best marketers. Build a simple referral incentive: one free month for every successful referral who joins and stays for 3 months. This costs you nothing in cash and creates powerful social proof — an executive referring a colleague is a very high-trust signal for the referred individual.</w:t>
      </w:r>
    </w:p>
    <w:p>
      <w:pPr>
        <w:pStyle w:val="Heading4"/>
      </w:pPr>
      <w:r>
        <w:t>Channel 5: Premium Partnerships</w:t>
      </w:r>
    </w:p>
    <w:p>
      <w:pPr>
        <w:pStyle w:val="ListBullet"/>
      </w:pPr>
      <w:r>
        <w:t>SATS/Evo gym partnerships — offer complementary consultations to premium gym members</w:t>
      </w:r>
    </w:p>
    <w:p>
      <w:pPr>
        <w:pStyle w:val="ListBullet"/>
      </w:pPr>
      <w:r>
        <w:t>Private physiotherapy clinics — cross-referral relationships</w:t>
      </w:r>
    </w:p>
    <w:p>
      <w:pPr>
        <w:pStyle w:val="ListBullet"/>
      </w:pPr>
      <w:r>
        <w:t>Executive coaching firms — complementary service</w:t>
      </w:r>
    </w:p>
    <w:p>
      <w:pPr>
        <w:pStyle w:val="ListBullet"/>
      </w:pPr>
      <w:r>
        <w:t>EAP (Employee Assistance Programme) providers — potential B2B channel</w:t>
      </w:r>
    </w:p>
    <w:p>
      <w:pPr>
        <w:pStyle w:val="ListBullet"/>
      </w:pPr>
      <w:r>
        <w:t>Oslo private schools — parents of children at premium schools</w:t>
      </w:r>
    </w:p>
    <w:p>
      <w:r>
        <w:t>New: Exclusive Partnership Strategy</w:t>
      </w:r>
    </w:p>
    <w:p>
      <w:r>
        <w:t>Secure 2-year exclusivity agreements with:</w:t>
      </w:r>
    </w:p>
    <w:p>
      <w:pPr>
        <w:pStyle w:val="ListBullet"/>
      </w:pPr>
      <w:r>
        <w:t>One premium private clinic (for overflow/consultation space)</w:t>
      </w:r>
    </w:p>
    <w:p>
      <w:pPr>
        <w:pStyle w:val="ListBullet"/>
      </w:pPr>
      <w:r>
        <w:t>One premium gym chain (SATS Elite or equivalent)</w:t>
      </w:r>
    </w:p>
    <w:p>
      <w:r>
        <w:t>This creates a competitive moat and prevents copycat competitors from replicating your partnership model quickly.</w:t>
      </w:r>
    </w:p>
    <w:p>
      <w:pPr>
        <w:pStyle w:val="Heading3"/>
      </w:pPr>
      <w:r>
        <w:t>8.3 Pricing Psychology</w:t>
      </w:r>
    </w:p>
    <w:p>
      <w:r>
        <w:t>At NOK 2,500-10,000/month, the membership is not cheap — and that is deliberate. Price signals quality in this market. An executive who pays NOK 150,000/year for a financial advisor will not respect a health service priced like a gym membership. The pricing must be high enough that the member takes it seriously and feels they have a genuine stake in the relationship.</w:t>
      </w:r>
    </w:p>
    <w:p>
      <w:r>
        <w:t>Psychological anchoring: present the Tier 3 price first (NOK 10,000/month). This makes Tier 2 at NOK 5,000 feel like the sensible, value-conscious choice — which it is. Most members will naturally gravitate to Tier 2.</w:t>
      </w:r>
    </w:p>
    <w:p>
      <w:r>
        <w:t>__________________________________________________</w:t>
      </w:r>
    </w:p>
    <w:p>
      <w:pPr>
        <w:pStyle w:val="Heading2"/>
      </w:pPr>
      <w:r>
        <w:t>9. Financial Projections</w:t>
      </w:r>
    </w:p>
    <w:p>
      <w:pPr>
        <w:pStyle w:val="Heading3"/>
      </w:pPr>
      <w:r>
        <w:t>9.1 Revenue Model</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p>
        </w:tc>
        <w:tc>
          <w:tcPr>
            <w:tcW w:type="dxa" w:w="1440"/>
          </w:tcPr>
          <w:p>
            <w:r>
              <w:t>Year 1 (Q4)</w:t>
            </w:r>
          </w:p>
        </w:tc>
        <w:tc>
          <w:tcPr>
            <w:tcW w:type="dxa" w:w="1440"/>
          </w:tcPr>
          <w:p>
            <w:r>
              <w:t>Year 1 Full</w:t>
            </w:r>
          </w:p>
        </w:tc>
        <w:tc>
          <w:tcPr>
            <w:tcW w:type="dxa" w:w="1440"/>
          </w:tcPr>
          <w:p>
            <w:r>
              <w:t>Year 2</w:t>
            </w:r>
          </w:p>
        </w:tc>
        <w:tc>
          <w:tcPr>
            <w:tcW w:type="dxa" w:w="1440"/>
          </w:tcPr>
          <w:p>
            <w:r>
              <w:t>Year 3</w:t>
            </w:r>
          </w:p>
        </w:tc>
        <w:tc>
          <w:tcPr>
            <w:tcW w:type="dxa" w:w="1440"/>
          </w:tcPr>
          <w:p>
            <w:r>
              <w:t>Full Capacity</w:t>
            </w:r>
          </w:p>
        </w:tc>
      </w:tr>
      <w:tr>
        <w:tc>
          <w:tcPr>
            <w:tcW w:type="dxa" w:w="1440"/>
          </w:tcPr>
          <w:p>
            <w:r>
              <w:t>Members</w:t>
            </w:r>
          </w:p>
        </w:tc>
        <w:tc>
          <w:tcPr>
            <w:tcW w:type="dxa" w:w="1440"/>
          </w:tcPr>
          <w:p>
            <w:r>
              <w:t>10-15</w:t>
            </w:r>
          </w:p>
        </w:tc>
        <w:tc>
          <w:tcPr>
            <w:tcW w:type="dxa" w:w="1440"/>
          </w:tcPr>
          <w:p>
            <w:r>
              <w:t>35-50</w:t>
            </w:r>
          </w:p>
        </w:tc>
        <w:tc>
          <w:tcPr>
            <w:tcW w:type="dxa" w:w="1440"/>
          </w:tcPr>
          <w:p>
            <w:r>
              <w:t>60-75</w:t>
            </w:r>
          </w:p>
        </w:tc>
        <w:tc>
          <w:tcPr>
            <w:tcW w:type="dxa" w:w="1440"/>
          </w:tcPr>
          <w:p>
            <w:r>
              <w:t>80-100</w:t>
            </w:r>
          </w:p>
        </w:tc>
        <w:tc>
          <w:tcPr>
            <w:tcW w:type="dxa" w:w="1440"/>
          </w:tcPr>
          <w:p>
            <w:r>
              <w:t>100</w:t>
            </w:r>
          </w:p>
        </w:tc>
      </w:tr>
      <w:tr>
        <w:tc>
          <w:tcPr>
            <w:tcW w:type="dxa" w:w="1440"/>
          </w:tcPr>
          <w:p>
            <w:r>
              <w:t>Monthly Revenue</w:t>
            </w:r>
          </w:p>
        </w:tc>
        <w:tc>
          <w:tcPr>
            <w:tcW w:type="dxa" w:w="1440"/>
          </w:tcPr>
          <w:p>
            <w:r>
              <w:t>NOK 100-150K</w:t>
            </w:r>
          </w:p>
        </w:tc>
        <w:tc>
          <w:tcPr>
            <w:tcW w:type="dxa" w:w="1440"/>
          </w:tcPr>
          <w:p>
            <w:r>
              <w:t>NOK 200-300K</w:t>
            </w:r>
          </w:p>
        </w:tc>
        <w:tc>
          <w:tcPr>
            <w:tcW w:type="dxa" w:w="1440"/>
          </w:tcPr>
          <w:p>
            <w:r>
              <w:t>NOK 350-450K</w:t>
            </w:r>
          </w:p>
        </w:tc>
        <w:tc>
          <w:tcPr>
            <w:tcW w:type="dxa" w:w="1440"/>
          </w:tcPr>
          <w:p>
            <w:r>
              <w:t>NOK 450-500K</w:t>
            </w:r>
          </w:p>
        </w:tc>
        <w:tc>
          <w:tcPr>
            <w:tcW w:type="dxa" w:w="1440"/>
          </w:tcPr>
          <w:p>
            <w:r>
              <w:t>NOK 500K</w:t>
            </w:r>
          </w:p>
        </w:tc>
      </w:tr>
      <w:tr>
        <w:tc>
          <w:tcPr>
            <w:tcW w:type="dxa" w:w="1440"/>
          </w:tcPr>
          <w:p>
            <w:r>
              <w:t>Annual Revenue</w:t>
            </w:r>
          </w:p>
        </w:tc>
        <w:tc>
          <w:tcPr>
            <w:tcW w:type="dxa" w:w="1440"/>
          </w:tcPr>
          <w:p>
            <w:r>
              <w:t>NOK 450-900K</w:t>
            </w:r>
          </w:p>
        </w:tc>
        <w:tc>
          <w:tcPr>
            <w:tcW w:type="dxa" w:w="1440"/>
          </w:tcPr>
          <w:p>
            <w:r>
              <w:t>NOK 2.4-3.6M</w:t>
            </w:r>
          </w:p>
        </w:tc>
        <w:tc>
          <w:tcPr>
            <w:tcW w:type="dxa" w:w="1440"/>
          </w:tcPr>
          <w:p>
            <w:r>
              <w:t>NOK 4.2-5.4M</w:t>
            </w:r>
          </w:p>
        </w:tc>
        <w:tc>
          <w:tcPr>
            <w:tcW w:type="dxa" w:w="1440"/>
          </w:tcPr>
          <w:p>
            <w:r>
              <w:t>NOK 5.4-6M</w:t>
            </w:r>
          </w:p>
        </w:tc>
        <w:tc>
          <w:tcPr>
            <w:tcW w:type="dxa" w:w="1440"/>
          </w:tcPr>
          <w:p>
            <w:r>
              <w:t>NOK 6M</w:t>
            </w:r>
          </w:p>
        </w:tc>
      </w:tr>
      <w:tr>
        <w:tc>
          <w:tcPr>
            <w:tcW w:type="dxa" w:w="1440"/>
          </w:tcPr>
          <w:p>
            <w:r>
              <w:t>Est. Net (70-80%)</w:t>
            </w:r>
          </w:p>
        </w:tc>
        <w:tc>
          <w:tcPr>
            <w:tcW w:type="dxa" w:w="1440"/>
          </w:tcPr>
          <w:p>
            <w:r>
              <w:t>NOK 315-720K</w:t>
            </w:r>
          </w:p>
        </w:tc>
        <w:tc>
          <w:tcPr>
            <w:tcW w:type="dxa" w:w="1440"/>
          </w:tcPr>
          <w:p>
            <w:r>
              <w:t>NOK 1.7-2.9M</w:t>
            </w:r>
          </w:p>
        </w:tc>
        <w:tc>
          <w:tcPr>
            <w:tcW w:type="dxa" w:w="1440"/>
          </w:tcPr>
          <w:p>
            <w:r>
              <w:t>NOK 2.9-4.3M</w:t>
            </w:r>
          </w:p>
        </w:tc>
        <w:tc>
          <w:tcPr>
            <w:tcW w:type="dxa" w:w="1440"/>
          </w:tcPr>
          <w:p>
            <w:r>
              <w:t>NOK 3.8-4.8M</w:t>
            </w:r>
          </w:p>
        </w:tc>
        <w:tc>
          <w:tcPr>
            <w:tcW w:type="dxa" w:w="1440"/>
          </w:tcPr>
          <w:p>
            <w:r>
              <w:t>NOK 4.2-4.8M</w:t>
            </w:r>
          </w:p>
        </w:tc>
      </w:tr>
    </w:tbl>
    <w:p>
      <w:pPr>
        <w:pStyle w:val="Heading3"/>
      </w:pPr>
      <w:r>
        <w:t>9.2 Cost Structure</w:t>
      </w:r>
    </w:p>
    <w:tbl>
      <w:tblPr>
        <w:tblW w:type="auto" w:w="0"/>
        <w:tblLook w:firstColumn="1" w:firstRow="1" w:lastColumn="0" w:lastRow="0" w:noHBand="0" w:noVBand="1" w:val="04A0"/>
      </w:tblPr>
      <w:tblGrid>
        <w:gridCol w:w="4320"/>
        <w:gridCol w:w="4320"/>
      </w:tblGrid>
      <w:tr>
        <w:tc>
          <w:tcPr>
            <w:tcW w:type="dxa" w:w="4320"/>
          </w:tcPr>
          <w:p>
            <w:r>
              <w:t>Cost Item</w:t>
            </w:r>
          </w:p>
        </w:tc>
        <w:tc>
          <w:tcPr>
            <w:tcW w:type="dxa" w:w="4320"/>
          </w:tcPr>
          <w:p>
            <w:r>
              <w:t>Monthly/Annual Cost</w:t>
            </w:r>
          </w:p>
        </w:tc>
      </w:tr>
      <w:tr>
        <w:tc>
          <w:tcPr>
            <w:tcW w:type="dxa" w:w="4320"/>
          </w:tcPr>
          <w:p>
            <w:r>
              <w:t>Clinic room rental (Oslo centre)</w:t>
            </w:r>
          </w:p>
        </w:tc>
        <w:tc>
          <w:tcPr>
            <w:tcW w:type="dxa" w:w="4320"/>
          </w:tcPr>
          <w:p>
            <w:r>
              <w:t>NOK 10,000-20,000/month</w:t>
            </w:r>
          </w:p>
        </w:tc>
      </w:tr>
      <w:tr>
        <w:tc>
          <w:tcPr>
            <w:tcW w:type="dxa" w:w="4320"/>
          </w:tcPr>
          <w:p>
            <w:r>
              <w:t>Lab costs (at-cost pass-through to members, or absorbed)</w:t>
            </w:r>
          </w:p>
        </w:tc>
        <w:tc>
          <w:tcPr>
            <w:tcW w:type="dxa" w:w="4320"/>
          </w:tcPr>
          <w:p>
            <w:r>
              <w:t>NOK 5,000-15,000/month depending on tier mix</w:t>
            </w:r>
          </w:p>
        </w:tc>
      </w:tr>
      <w:tr>
        <w:tc>
          <w:tcPr>
            <w:tcW w:type="dxa" w:w="4320"/>
          </w:tcPr>
          <w:p>
            <w:r>
              <w:t>OpenClaw / AI infrastructure (Mac Mini + power + Cloudflare)</w:t>
            </w:r>
          </w:p>
        </w:tc>
        <w:tc>
          <w:tcPr>
            <w:tcW w:type="dxa" w:w="4320"/>
          </w:tcPr>
          <w:p>
            <w:r>
              <w:t>NOK 1,000-2,000/month</w:t>
            </w:r>
          </w:p>
        </w:tc>
      </w:tr>
      <w:tr>
        <w:tc>
          <w:tcPr>
            <w:tcW w:type="dxa" w:w="4320"/>
          </w:tcPr>
          <w:p>
            <w:r>
              <w:t>Professional liability insurance (ansvarsforsikring)</w:t>
            </w:r>
          </w:p>
        </w:tc>
        <w:tc>
          <w:tcPr>
            <w:tcW w:type="dxa" w:w="4320"/>
          </w:tcPr>
          <w:p>
            <w:r>
              <w:t>NOK 20,000-40,000/year</w:t>
            </w:r>
          </w:p>
        </w:tc>
      </w:tr>
      <w:tr>
        <w:tc>
          <w:tcPr>
            <w:tcW w:type="dxa" w:w="4320"/>
          </w:tcPr>
          <w:p>
            <w:r>
              <w:t>Accountant / legal</w:t>
            </w:r>
          </w:p>
        </w:tc>
        <w:tc>
          <w:tcPr>
            <w:tcW w:type="dxa" w:w="4320"/>
          </w:tcPr>
          <w:p>
            <w:r>
              <w:t>NOK 30,000-60,000/year</w:t>
            </w:r>
          </w:p>
        </w:tc>
      </w:tr>
      <w:tr>
        <w:tc>
          <w:tcPr>
            <w:tcW w:type="dxa" w:w="4320"/>
          </w:tcPr>
          <w:p>
            <w:r>
              <w:t>Marketing / content</w:t>
            </w:r>
          </w:p>
        </w:tc>
        <w:tc>
          <w:tcPr>
            <w:tcW w:type="dxa" w:w="4320"/>
          </w:tcPr>
          <w:p>
            <w:r>
              <w:t>NOK 20,000-40,000/year (mostly your time + OpenClaw)</w:t>
            </w:r>
          </w:p>
        </w:tc>
      </w:tr>
      <w:tr>
        <w:tc>
          <w:tcPr>
            <w:tcW w:type="dxa" w:w="4320"/>
          </w:tcPr>
          <w:p>
            <w:r>
              <w:t>Medical equipment maintenance</w:t>
            </w:r>
          </w:p>
        </w:tc>
        <w:tc>
          <w:tcPr>
            <w:tcW w:type="dxa" w:w="4320"/>
          </w:tcPr>
          <w:p>
            <w:r>
              <w:t>NOK 10,000/year</w:t>
            </w:r>
          </w:p>
        </w:tc>
      </w:tr>
      <w:tr>
        <w:tc>
          <w:tcPr>
            <w:tcW w:type="dxa" w:w="4320"/>
          </w:tcPr>
          <w:p>
            <w:r>
              <w:t>**Total monthly costs**</w:t>
            </w:r>
          </w:p>
        </w:tc>
        <w:tc>
          <w:tcPr>
            <w:tcW w:type="dxa" w:w="4320"/>
          </w:tcPr>
          <w:p>
            <w:r>
              <w:t>**approximately NOK 40,000-80,000/month at full operation**</w:t>
            </w:r>
          </w:p>
        </w:tc>
      </w:tr>
    </w:tbl>
    <w:p>
      <w:pPr>
        <w:pStyle w:val="Heading3"/>
      </w:pPr>
      <w:r>
        <w:t>9.3 Break-Even Analysis</w:t>
      </w:r>
    </w:p>
    <w:p>
      <w:r>
        <w:t>Break-even is reached at approximately 15-18 members (depending on tier mix), generating NOK 75,000-90,000/month in revenue against costs of NOK 40,000-60,000/month. This is achievable within the first 60-90 days of launch given your existing network.</w:t>
      </w:r>
    </w:p>
    <w:p>
      <w:pPr>
        <w:pStyle w:val="Heading3"/>
      </w:pPr>
      <w:r>
        <w:t>9.4 Tax Structure</w:t>
      </w:r>
    </w:p>
    <w:p>
      <w:r>
        <w:t>Register as an AS (Aksjeselskap). Corporate tax rate is 22%. Take a salary of NOK 700,000-900,000 (below the threshold of very high marginal rates) and allow retained earnings to compound within the company. Dividends when needed, subject to the 37.84% dividend tax.</w:t>
      </w:r>
    </w:p>
    <w:p>
      <w:r>
        <w:t>Consult a Norwegian skatteadvokat to optimise the structure — this decision alone can be worth NOK 200,000-500,000/year in after-tax income.</w:t>
      </w:r>
    </w:p>
    <w:p>
      <w:r>
        <w:t>__________________________________________________</w:t>
      </w:r>
    </w:p>
    <w:p>
      <w:pPr>
        <w:pStyle w:val="Heading2"/>
      </w:pPr>
      <w:r>
        <w:t>10. Risk Management &amp; Business Continuity</w:t>
      </w:r>
    </w:p>
    <w:p>
      <w:pPr>
        <w:pStyle w:val="Heading3"/>
      </w:pPr>
      <w:r>
        <w:t>10.1 Physician Illness/Availability Contingency</w:t>
      </w:r>
    </w:p>
    <w:p>
      <w:r>
        <w:t>Risk: As a solo physician practice, your illness or unavailability creates immediate service disruption.</w:t>
      </w:r>
    </w:p>
    <w:p>
      <w:r>
        <w:t>Mitigation:</w:t>
      </w:r>
    </w:p>
    <w:p>
      <w:pPr>
        <w:pStyle w:val="ListBullet"/>
      </w:pPr>
      <w:r>
        <w:t>Build relationships with 1-2 locum GPs who can cover acute consultations</w:t>
      </w:r>
    </w:p>
    <w:p>
      <w:pPr>
        <w:pStyle w:val="ListBullet"/>
      </w:pPr>
      <w:r>
        <w:t>Document all protocols in OpenClaw so a covering physician can access member context quickly</w:t>
      </w:r>
    </w:p>
    <w:p>
      <w:pPr>
        <w:pStyle w:val="ListBullet"/>
      </w:pPr>
      <w:r>
        <w:t>Maintain a "coverage dossier" for each member — 1-page summary of key issues, medications, allergies</w:t>
      </w:r>
    </w:p>
    <w:p>
      <w:pPr>
        <w:pStyle w:val="ListBullet"/>
      </w:pPr>
      <w:r>
        <w:t>Include force majeure clause in membership agreement allowing service suspension with pro-rata refund</w:t>
      </w:r>
    </w:p>
    <w:p>
      <w:pPr>
        <w:pStyle w:val="Heading3"/>
      </w:pPr>
      <w:r>
        <w:t>10.2 Competitive Moat</w:t>
      </w:r>
    </w:p>
    <w:p>
      <w:r>
        <w:t>Risk: Once proven, the model is easy to copy.</w:t>
      </w:r>
    </w:p>
    <w:p>
      <w:r>
        <w:t>Mitigation:</w:t>
      </w:r>
    </w:p>
    <w:p>
      <w:pPr>
        <w:pStyle w:val="ListBullet"/>
      </w:pPr>
      <w:r>
        <w:t>Exclusive partnerships (Section 8.2) with 2-year lock-in</w:t>
      </w:r>
    </w:p>
    <w:p>
      <w:pPr>
        <w:pStyle w:val="ListBullet"/>
      </w:pPr>
      <w:r>
        <w:t>Proprietary OpenClaw agent workflows (hard to replicate without technical expertise)</w:t>
      </w:r>
    </w:p>
    <w:p>
      <w:pPr>
        <w:pStyle w:val="ListBullet"/>
      </w:pPr>
      <w:r>
        <w:t>Member dossier depth — the accumulated data over years creates switching costs</w:t>
      </w:r>
    </w:p>
    <w:p>
      <w:pPr>
        <w:pStyle w:val="ListBullet"/>
      </w:pPr>
      <w:r>
        <w:t>Personal brand and trust — hardest to replicate</w:t>
      </w:r>
    </w:p>
    <w:p>
      <w:pPr>
        <w:pStyle w:val="Heading3"/>
      </w:pPr>
      <w:r>
        <w:t>10.3 Churn Risk</w:t>
      </w:r>
    </w:p>
    <w:p>
      <w:r>
        <w:t>Risk: Members may cancel after initial enthusiasm wanes.</w:t>
      </w:r>
    </w:p>
    <w:p>
      <w:r>
        <w:t>Mitigation:</w:t>
      </w:r>
    </w:p>
    <w:p>
      <w:pPr>
        <w:pStyle w:val="ListBullet"/>
      </w:pPr>
      <w:r>
        <w:t>Annual Health Roadmap ritual (Section 3.3) creates retention anchor</w:t>
      </w:r>
    </w:p>
    <w:p>
      <w:pPr>
        <w:pStyle w:val="ListBullet"/>
      </w:pPr>
      <w:r>
        <w:t>10% annual prepay discount locks in commitment</w:t>
      </w:r>
    </w:p>
    <w:p>
      <w:pPr>
        <w:pStyle w:val="ListBullet"/>
      </w:pPr>
      <w:r>
        <w:t>Quarterly business reviews — track engagement metrics (message frequency, consultation attendance, wearable sync rate)</w:t>
      </w:r>
    </w:p>
    <w:p>
      <w:pPr>
        <w:pStyle w:val="ListBullet"/>
      </w:pPr>
      <w:r>
        <w:t>Proactive outreach when engagement drops</w:t>
      </w:r>
    </w:p>
    <w:p>
      <w:r>
        <w:t>__________________________________________________</w:t>
      </w:r>
    </w:p>
    <w:p>
      <w:pPr>
        <w:pStyle w:val="Heading2"/>
      </w:pPr>
      <w:r>
        <w:t>11. Retention Strategy</w:t>
      </w:r>
    </w:p>
    <w:p>
      <w:r>
        <w:t>Retaining members is more cost-effective than acquiring new ones. The following strategies address the primary churn drivers: forgetting value, life disruptions, and lack of perceived progress.</w:t>
      </w:r>
    </w:p>
    <w:p>
      <w:pPr>
        <w:pStyle w:val="Heading3"/>
      </w:pPr>
      <w:r>
        <w:t>11.1 The Annual Health Roadmap Ritual</w:t>
      </w:r>
    </w:p>
    <w:p>
      <w:r>
        <w:t>Every Tier 2 and Tier 3 member receives a 90-minute Annual Health Roadmap Review at each membership anniversary:</w:t>
      </w:r>
    </w:p>
    <w:p>
      <w:pPr>
        <w:pStyle w:val="ListBullet"/>
      </w:pPr>
      <w:r>
        <w:t>Reviews progress against prior year's health goals</w:t>
      </w:r>
    </w:p>
    <w:p>
      <w:pPr>
        <w:pStyle w:val="ListBullet"/>
      </w:pPr>
      <w:r>
        <w:t>Updates the 1-3-10 year health vision</w:t>
      </w:r>
    </w:p>
    <w:p>
      <w:pPr>
        <w:pStyle w:val="ListBullet"/>
      </w:pPr>
      <w:r>
        <w:t>Revises risk stratification based on accumulated data</w:t>
      </w:r>
    </w:p>
    <w:p>
      <w:pPr>
        <w:pStyle w:val="ListBullet"/>
      </w:pPr>
      <w:r>
        <w:t>Sets specific, measurable objectives for the coming year</w:t>
      </w:r>
    </w:p>
    <w:p>
      <w:pPr>
        <w:pStyle w:val="ListBullet"/>
      </w:pPr>
      <w:r>
        <w:t>Documents the roadmap in a shareable format</w:t>
      </w:r>
    </w:p>
    <w:p>
      <w:r>
        <w:t>Why it works: Creates a natural "commitment point" — members who complete annual roadmaps show 40% lower churn rates in comparable concierge practices.</w:t>
      </w:r>
    </w:p>
    <w:p>
      <w:pPr>
        <w:pStyle w:val="Heading3"/>
      </w:pPr>
      <w:r>
        <w:t>11.2 Engagement Scoring &amp; Proactive Outreach</w:t>
      </w:r>
    </w:p>
    <w:p>
      <w:r>
        <w:t>Track these metrics quarterly for each member:</w:t>
      </w:r>
    </w:p>
    <w:tbl>
      <w:tblPr>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Green</w:t>
            </w:r>
          </w:p>
        </w:tc>
        <w:tc>
          <w:tcPr>
            <w:tcW w:type="dxa" w:w="2160"/>
          </w:tcPr>
          <w:p>
            <w:r>
              <w:t>Yellow (Warning)</w:t>
            </w:r>
          </w:p>
        </w:tc>
        <w:tc>
          <w:tcPr>
            <w:tcW w:type="dxa" w:w="2160"/>
          </w:tcPr>
          <w:p>
            <w:r>
              <w:t>Red (At Risk)</w:t>
            </w:r>
          </w:p>
        </w:tc>
      </w:tr>
      <w:tr>
        <w:tc>
          <w:tcPr>
            <w:tcW w:type="dxa" w:w="2160"/>
          </w:tcPr>
          <w:p>
            <w:r>
              <w:t>Message frequency</w:t>
            </w:r>
          </w:p>
        </w:tc>
        <w:tc>
          <w:tcPr>
            <w:tcW w:type="dxa" w:w="2160"/>
          </w:tcPr>
          <w:p>
            <w:r>
              <w:t>&gt;4/month</w:t>
            </w:r>
          </w:p>
        </w:tc>
        <w:tc>
          <w:tcPr>
            <w:tcW w:type="dxa" w:w="2160"/>
          </w:tcPr>
          <w:p>
            <w:r>
              <w:t>2-4/month</w:t>
            </w:r>
          </w:p>
        </w:tc>
        <w:tc>
          <w:tcPr>
            <w:tcW w:type="dxa" w:w="2160"/>
          </w:tcPr>
          <w:p>
            <w:r>
              <w:t>&lt;2/month</w:t>
            </w:r>
          </w:p>
        </w:tc>
      </w:tr>
      <w:tr>
        <w:tc>
          <w:tcPr>
            <w:tcW w:type="dxa" w:w="2160"/>
          </w:tcPr>
          <w:p>
            <w:r>
              <w:t>Consultation attendance</w:t>
            </w:r>
          </w:p>
        </w:tc>
        <w:tc>
          <w:tcPr>
            <w:tcW w:type="dxa" w:w="2160"/>
          </w:tcPr>
          <w:p>
            <w:r>
              <w:t>&gt;80%</w:t>
            </w:r>
          </w:p>
        </w:tc>
        <w:tc>
          <w:tcPr>
            <w:tcW w:type="dxa" w:w="2160"/>
          </w:tcPr>
          <w:p>
            <w:r>
              <w:t>50-80%</w:t>
            </w:r>
          </w:p>
        </w:tc>
        <w:tc>
          <w:tcPr>
            <w:tcW w:type="dxa" w:w="2160"/>
          </w:tcPr>
          <w:p>
            <w:r>
              <w:t>&lt;50%</w:t>
            </w:r>
          </w:p>
        </w:tc>
      </w:tr>
      <w:tr>
        <w:tc>
          <w:tcPr>
            <w:tcW w:type="dxa" w:w="2160"/>
          </w:tcPr>
          <w:p>
            <w:r>
              <w:t>Wearable sync consistency</w:t>
            </w:r>
          </w:p>
        </w:tc>
        <w:tc>
          <w:tcPr>
            <w:tcW w:type="dxa" w:w="2160"/>
          </w:tcPr>
          <w:p>
            <w:r>
              <w:t>&gt;90%</w:t>
            </w:r>
          </w:p>
        </w:tc>
        <w:tc>
          <w:tcPr>
            <w:tcW w:type="dxa" w:w="2160"/>
          </w:tcPr>
          <w:p>
            <w:r>
              <w:t>70-90%</w:t>
            </w:r>
          </w:p>
        </w:tc>
        <w:tc>
          <w:tcPr>
            <w:tcW w:type="dxa" w:w="2160"/>
          </w:tcPr>
          <w:p>
            <w:r>
              <w:t>&lt;70%</w:t>
            </w:r>
          </w:p>
        </w:tc>
      </w:tr>
      <w:tr>
        <w:tc>
          <w:tcPr>
            <w:tcW w:type="dxa" w:w="2160"/>
          </w:tcPr>
          <w:p>
            <w:r>
              <w:t>Lab completion</w:t>
            </w:r>
          </w:p>
        </w:tc>
        <w:tc>
          <w:tcPr>
            <w:tcW w:type="dxa" w:w="2160"/>
          </w:tcPr>
          <w:p>
            <w:r>
              <w:t>On schedule</w:t>
            </w:r>
          </w:p>
        </w:tc>
        <w:tc>
          <w:tcPr>
            <w:tcW w:type="dxa" w:w="2160"/>
          </w:tcPr>
          <w:p>
            <w:r>
              <w:t>1-2 weeks late</w:t>
            </w:r>
          </w:p>
        </w:tc>
        <w:tc>
          <w:tcPr>
            <w:tcW w:type="dxa" w:w="2160"/>
          </w:tcPr>
          <w:p>
            <w:r>
              <w:t>&gt;2 weeks late</w:t>
            </w:r>
          </w:p>
        </w:tc>
      </w:tr>
      <w:tr>
        <w:tc>
          <w:tcPr>
            <w:tcW w:type="dxa" w:w="2160"/>
          </w:tcPr>
          <w:p>
            <w:r>
              <w:t>Protocol adherence</w:t>
            </w:r>
          </w:p>
        </w:tc>
        <w:tc>
          <w:tcPr>
            <w:tcW w:type="dxa" w:w="2160"/>
          </w:tcPr>
          <w:p>
            <w:r>
              <w:t>Self-reported good</w:t>
            </w:r>
          </w:p>
        </w:tc>
        <w:tc>
          <w:tcPr>
            <w:tcW w:type="dxa" w:w="2160"/>
          </w:tcPr>
          <w:p>
            <w:r>
              <w:t>Occasional lapses</w:t>
            </w:r>
          </w:p>
        </w:tc>
        <w:tc>
          <w:tcPr>
            <w:tcW w:type="dxa" w:w="2160"/>
          </w:tcPr>
          <w:p>
            <w:r>
              <w:t>Frequent non-adherence</w:t>
            </w:r>
          </w:p>
        </w:tc>
      </w:tr>
    </w:tbl>
    <w:p>
      <w:r>
        <w:t>Trigger: If 2+ metrics in yellow for 30 days, or any metric in red → automatic flag for personal check-in call.</w:t>
      </w:r>
    </w:p>
    <w:p>
      <w:r>
        <w:t>OpenClaw Integration: The nightly monitoring agent (Section 6.3) can calculate engagement scores and flag at-risk members in the morning briefing report.</w:t>
      </w:r>
    </w:p>
    <w:p>
      <w:pPr>
        <w:pStyle w:val="Heading3"/>
      </w:pPr>
      <w:r>
        <w:t>11.3 The "Pause" Option</w:t>
      </w:r>
    </w:p>
    <w:p>
      <w:r>
        <w:t>Allow members to pause membership for 1-3 months (travel, sabbatical, temporary financial pressure):</w:t>
      </w:r>
    </w:p>
    <w:p>
      <w:pPr>
        <w:pStyle w:val="ListBullet"/>
      </w:pPr>
      <w:r>
        <w:t>Dossier remains intact and updated with any available data</w:t>
      </w:r>
    </w:p>
    <w:p>
      <w:pPr>
        <w:pStyle w:val="ListBullet"/>
      </w:pPr>
      <w:r>
        <w:t>Member retains "founding member" status and pricing</w:t>
      </w:r>
    </w:p>
    <w:p>
      <w:pPr>
        <w:pStyle w:val="ListBullet"/>
      </w:pPr>
      <w:r>
        <w:t>Simple reactivation process (one message to resume)</w:t>
      </w:r>
    </w:p>
    <w:p>
      <w:pPr>
        <w:pStyle w:val="ListBullet"/>
      </w:pPr>
      <w:r>
        <w:t>Maximum one pause per 12-month period</w:t>
      </w:r>
    </w:p>
    <w:p>
      <w:r>
        <w:t>Why it works: Removes the "use it or lose it" pressure that drives cancellation. Easier to resume than re-join. Maintains relationship continuity.</w:t>
      </w:r>
    </w:p>
    <w:p>
      <w:pPr>
        <w:pStyle w:val="Heading3"/>
      </w:pPr>
      <w:r>
        <w:t>11.4 Additional Retention Tactics</w:t>
      </w:r>
    </w:p>
    <w:p>
      <w:r>
        <w:t>The "Health Win" Documentation (Quarterly)</w:t>
      </w:r>
    </w:p>
    <w:p>
      <w:pPr>
        <w:pStyle w:val="ListBullet"/>
      </w:pPr>
      <w:r>
        <w:t>Email highlighting ONE concrete improvement since joining</w:t>
      </w:r>
    </w:p>
    <w:p>
      <w:pPr>
        <w:pStyle w:val="ListBullet"/>
      </w:pPr>
      <w:r>
        <w:t>Example: *"Your resting heart rate has dropped 8 bpm since March. Here's what contributed..."*</w:t>
      </w:r>
    </w:p>
    <w:p>
      <w:pPr>
        <w:pStyle w:val="ListBullet"/>
      </w:pPr>
      <w:r>
        <w:t>Visual progress charts in annual roadmap</w:t>
      </w:r>
    </w:p>
    <w:p>
      <w:pPr>
        <w:pStyle w:val="ListBullet"/>
      </w:pPr>
      <w:r>
        <w:t>**Why it works:** People forget their starting point; this proves value continuously</w:t>
      </w:r>
    </w:p>
    <w:p>
      <w:r>
        <w:t>Tier Progression Incentives</w:t>
      </w:r>
    </w:p>
    <w:p>
      <w:pPr>
        <w:pStyle w:val="ListBullet"/>
      </w:pPr>
      <w:r>
        <w:t>Make Tier 2 (NOK 5,000) the "obvious" choice through anchoring (present Tier 3 first)</w:t>
      </w:r>
    </w:p>
    <w:p>
      <w:pPr>
        <w:pStyle w:val="ListBullet"/>
      </w:pPr>
      <w:r>
        <w:t>Offer grandfathered pricing for founding members who refer others</w:t>
      </w:r>
    </w:p>
    <w:p>
      <w:pPr>
        <w:pStyle w:val="ListBullet"/>
      </w:pPr>
      <w:r>
        <w:t>Annual prepay discount (10%) already locks in commitment</w:t>
      </w:r>
    </w:p>
    <w:p>
      <w:r>
        <w:t>Community Layer (Phase 3+)</w:t>
      </w:r>
    </w:p>
    <w:p>
      <w:pPr>
        <w:pStyle w:val="ListBullet"/>
      </w:pPr>
      <w:r>
        <w:t>Annual member dinner (exclusive, no selling)</w:t>
      </w:r>
    </w:p>
    <w:p>
      <w:pPr>
        <w:pStyle w:val="ListBullet"/>
      </w:pPr>
      <w:r>
        <w:t>Small group "health optimisation" sessions</w:t>
      </w:r>
    </w:p>
    <w:p>
      <w:pPr>
        <w:pStyle w:val="ListBullet"/>
      </w:pPr>
      <w:r>
        <w:t>Private WhatsApp group for members</w:t>
      </w:r>
    </w:p>
    <w:p>
      <w:pPr>
        <w:pStyle w:val="ListBullet"/>
      </w:pPr>
      <w:r>
        <w:t>**Why it works:** Social ties increase switching costs dramatically</w:t>
      </w:r>
    </w:p>
    <w:p>
      <w:r>
        <w:t>The Offboarding Conversation</w:t>
      </w:r>
    </w:p>
    <w:p>
      <w:pPr>
        <w:pStyle w:val="ListBullet"/>
      </w:pPr>
      <w:r>
        <w:t>If member cancels: 30-minute exit call (not form)</w:t>
      </w:r>
    </w:p>
    <w:p>
      <w:pPr>
        <w:pStyle w:val="ListBullet"/>
      </w:pPr>
      <w:r>
        <w:t>Ask: *"What would have kept you?"*</w:t>
      </w:r>
    </w:p>
    <w:p>
      <w:pPr>
        <w:pStyle w:val="ListBullet"/>
      </w:pPr>
      <w:r>
        <w:t>Offer 3-month "pause" as alternative</w:t>
      </w:r>
    </w:p>
    <w:p>
      <w:pPr>
        <w:pStyle w:val="ListBullet"/>
      </w:pPr>
      <w:r>
        <w:t>Leave door open: *"Your dossier stays here if you ever want to resume"*</w:t>
      </w:r>
    </w:p>
    <w:p>
      <w:pPr>
        <w:pStyle w:val="Heading3"/>
      </w:pPr>
      <w:r>
        <w:t>11.5 Retention Metrics to Track</w:t>
      </w:r>
    </w:p>
    <w:tbl>
      <w:tblPr>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Target</w:t>
            </w:r>
          </w:p>
        </w:tc>
        <w:tc>
          <w:tcPr>
            <w:tcW w:type="dxa" w:w="2880"/>
          </w:tcPr>
          <w:p>
            <w:r>
              <w:t>Review Frequency</w:t>
            </w:r>
          </w:p>
        </w:tc>
      </w:tr>
      <w:tr>
        <w:tc>
          <w:tcPr>
            <w:tcW w:type="dxa" w:w="2880"/>
          </w:tcPr>
          <w:p>
            <w:r>
              <w:t>Monthly churn rate</w:t>
            </w:r>
          </w:p>
        </w:tc>
        <w:tc>
          <w:tcPr>
            <w:tcW w:type="dxa" w:w="2880"/>
          </w:tcPr>
          <w:p>
            <w:r>
              <w:t>&lt;2%</w:t>
            </w:r>
          </w:p>
        </w:tc>
        <w:tc>
          <w:tcPr>
            <w:tcW w:type="dxa" w:w="2880"/>
          </w:tcPr>
          <w:p>
            <w:r>
              <w:t>Monthly</w:t>
            </w:r>
          </w:p>
        </w:tc>
      </w:tr>
      <w:tr>
        <w:tc>
          <w:tcPr>
            <w:tcW w:type="dxa" w:w="2880"/>
          </w:tcPr>
          <w:p>
            <w:r>
              <w:t>Annual retention rate</w:t>
            </w:r>
          </w:p>
        </w:tc>
        <w:tc>
          <w:tcPr>
            <w:tcW w:type="dxa" w:w="2880"/>
          </w:tcPr>
          <w:p>
            <w:r>
              <w:t>&gt;85%</w:t>
            </w:r>
          </w:p>
        </w:tc>
        <w:tc>
          <w:tcPr>
            <w:tcW w:type="dxa" w:w="2880"/>
          </w:tcPr>
          <w:p>
            <w:r>
              <w:t>Quarterly</w:t>
            </w:r>
          </w:p>
        </w:tc>
      </w:tr>
      <w:tr>
        <w:tc>
          <w:tcPr>
            <w:tcW w:type="dxa" w:w="2880"/>
          </w:tcPr>
          <w:p>
            <w:r>
              <w:t>Engagement score average</w:t>
            </w:r>
          </w:p>
        </w:tc>
        <w:tc>
          <w:tcPr>
            <w:tcW w:type="dxa" w:w="2880"/>
          </w:tcPr>
          <w:p>
            <w:r>
              <w:t>&gt;80% "green"</w:t>
            </w:r>
          </w:p>
        </w:tc>
        <w:tc>
          <w:tcPr>
            <w:tcW w:type="dxa" w:w="2880"/>
          </w:tcPr>
          <w:p>
            <w:r>
              <w:t>Weekly</w:t>
            </w:r>
          </w:p>
        </w:tc>
      </w:tr>
      <w:tr>
        <w:tc>
          <w:tcPr>
            <w:tcW w:type="dxa" w:w="2880"/>
          </w:tcPr>
          <w:p>
            <w:r>
              <w:t>Roadmap completion rate</w:t>
            </w:r>
          </w:p>
        </w:tc>
        <w:tc>
          <w:tcPr>
            <w:tcW w:type="dxa" w:w="2880"/>
          </w:tcPr>
          <w:p>
            <w:r>
              <w:t>&gt;90%</w:t>
            </w:r>
          </w:p>
        </w:tc>
        <w:tc>
          <w:tcPr>
            <w:tcW w:type="dxa" w:w="2880"/>
          </w:tcPr>
          <w:p>
            <w:r>
              <w:t>Annually</w:t>
            </w:r>
          </w:p>
        </w:tc>
      </w:tr>
      <w:tr>
        <w:tc>
          <w:tcPr>
            <w:tcW w:type="dxa" w:w="2880"/>
          </w:tcPr>
          <w:p>
            <w:r>
              <w:t>Referral rate</w:t>
            </w:r>
          </w:p>
        </w:tc>
        <w:tc>
          <w:tcPr>
            <w:tcW w:type="dxa" w:w="2880"/>
          </w:tcPr>
          <w:p>
            <w:r>
              <w:t>&gt;20% of members/year</w:t>
            </w:r>
          </w:p>
        </w:tc>
        <w:tc>
          <w:tcPr>
            <w:tcW w:type="dxa" w:w="2880"/>
          </w:tcPr>
          <w:p>
            <w:r>
              <w:t>Quarterly</w:t>
            </w:r>
          </w:p>
        </w:tc>
      </w:tr>
      <w:tr>
        <w:tc>
          <w:tcPr>
            <w:tcW w:type="dxa" w:w="2880"/>
          </w:tcPr>
          <w:p>
            <w:r>
              <w:t>Pause-to-resume rate</w:t>
            </w:r>
          </w:p>
        </w:tc>
        <w:tc>
          <w:tcPr>
            <w:tcW w:type="dxa" w:w="2880"/>
          </w:tcPr>
          <w:p>
            <w:r>
              <w:t>&gt;70%</w:t>
            </w:r>
          </w:p>
        </w:tc>
        <w:tc>
          <w:tcPr>
            <w:tcW w:type="dxa" w:w="2880"/>
          </w:tcPr>
          <w:p>
            <w:r>
              <w:t>Ongoing</w:t>
            </w:r>
          </w:p>
        </w:tc>
      </w:tr>
    </w:tbl>
    <w:p>
      <w:r>
        <w:t>__________________________________________________</w:t>
      </w:r>
    </w:p>
    <w:p>
      <w:pPr>
        <w:pStyle w:val="Heading2"/>
      </w:pPr>
      <w:r>
        <w:t>14. Legal &amp; Regulatory Framework</w:t>
      </w:r>
    </w:p>
    <w:p>
      <w:pPr>
        <w:pStyle w:val="Heading3"/>
      </w:pPr>
      <w:r>
        <w:t>14.1 Medical Practice Registration</w:t>
      </w:r>
    </w:p>
    <w:p>
      <w:r>
        <w:t>__________________________________________________</w:t>
      </w:r>
    </w:p>
    <w:p>
      <w:pPr>
        <w:pStyle w:val="Heading2"/>
      </w:pPr>
      <w:r>
        <w:t>14. Estimated Setup Costs</w:t>
      </w:r>
    </w:p>
    <w:tbl>
      <w:tblPr>
        <w:tblW w:type="auto" w:w="0"/>
        <w:tblLook w:firstColumn="1" w:firstRow="1" w:lastColumn="0" w:lastRow="0" w:noHBand="0" w:noVBand="1" w:val="04A0"/>
      </w:tblPr>
      <w:tblGrid>
        <w:gridCol w:w="2160"/>
        <w:gridCol w:w="2160"/>
        <w:gridCol w:w="2160"/>
        <w:gridCol w:w="2160"/>
      </w:tblGrid>
      <w:tr>
        <w:tc>
          <w:tcPr>
            <w:tcW w:type="dxa" w:w="2160"/>
          </w:tcPr>
          <w:p>
            <w:r>
              <w:t>Category</w:t>
            </w:r>
          </w:p>
        </w:tc>
        <w:tc>
          <w:tcPr>
            <w:tcW w:type="dxa" w:w="2160"/>
          </w:tcPr>
          <w:p>
            <w:r>
              <w:t>Item</w:t>
            </w:r>
          </w:p>
        </w:tc>
        <w:tc>
          <w:tcPr>
            <w:tcW w:type="dxa" w:w="2160"/>
          </w:tcPr>
          <w:p>
            <w:r>
              <w:t>Cost (NOK)</w:t>
            </w:r>
          </w:p>
        </w:tc>
        <w:tc>
          <w:tcPr>
            <w:tcW w:type="dxa" w:w="2160"/>
          </w:tcPr>
          <w:p>
            <w:r>
              <w:t>Notes</w:t>
            </w:r>
          </w:p>
        </w:tc>
      </w:tr>
      <w:tr>
        <w:tc>
          <w:tcPr>
            <w:tcW w:type="dxa" w:w="2160"/>
          </w:tcPr>
          <w:p>
            <w:r>
              <w:t>**Legal &amp; Registration**</w:t>
            </w:r>
          </w:p>
        </w:tc>
        <w:tc>
          <w:tcPr>
            <w:tcW w:type="dxa" w:w="2160"/>
          </w:tcPr>
          <w:p>
            <w:r/>
          </w:p>
        </w:tc>
        <w:tc>
          <w:tcPr>
            <w:tcW w:type="dxa" w:w="2160"/>
          </w:tcPr>
          <w:p>
            <w:r/>
          </w:p>
        </w:tc>
        <w:tc>
          <w:tcPr>
            <w:tcW w:type="dxa" w:w="2160"/>
          </w:tcPr>
          <w:p>
            <w:r/>
          </w:p>
        </w:tc>
      </w:tr>
      <w:tr>
        <w:tc>
          <w:tcPr>
            <w:tcW w:type="dxa" w:w="2160"/>
          </w:tcPr>
          <w:p>
            <w:r/>
          </w:p>
        </w:tc>
        <w:tc>
          <w:tcPr>
            <w:tcW w:type="dxa" w:w="2160"/>
          </w:tcPr>
          <w:p>
            <w:r>
              <w:t>AS registration</w:t>
            </w:r>
          </w:p>
        </w:tc>
        <w:tc>
          <w:tcPr>
            <w:tcW w:type="dxa" w:w="2160"/>
          </w:tcPr>
          <w:p>
            <w:r>
              <w:t>5,570</w:t>
            </w:r>
          </w:p>
        </w:tc>
        <w:tc>
          <w:tcPr>
            <w:tcW w:type="dxa" w:w="2160"/>
          </w:tcPr>
          <w:p>
            <w:r>
              <w:t>One-time</w:t>
            </w:r>
          </w:p>
        </w:tc>
      </w:tr>
      <w:tr>
        <w:tc>
          <w:tcPr>
            <w:tcW w:type="dxa" w:w="2160"/>
          </w:tcPr>
          <w:p>
            <w:r/>
          </w:p>
        </w:tc>
        <w:tc>
          <w:tcPr>
            <w:tcW w:type="dxa" w:w="2160"/>
          </w:tcPr>
          <w:p>
            <w:r>
              <w:t>Lawyer (membership agreement, privacy docs)</w:t>
            </w:r>
          </w:p>
        </w:tc>
        <w:tc>
          <w:tcPr>
            <w:tcW w:type="dxa" w:w="2160"/>
          </w:tcPr>
          <w:p>
            <w:r>
              <w:t>15,000-25,000</w:t>
            </w:r>
          </w:p>
        </w:tc>
        <w:tc>
          <w:tcPr>
            <w:tcW w:type="dxa" w:w="2160"/>
          </w:tcPr>
          <w:p>
            <w:r>
              <w:t>One-time</w:t>
            </w:r>
          </w:p>
        </w:tc>
      </w:tr>
      <w:tr>
        <w:tc>
          <w:tcPr>
            <w:tcW w:type="dxa" w:w="2160"/>
          </w:tcPr>
          <w:p>
            <w:r/>
          </w:p>
        </w:tc>
        <w:tc>
          <w:tcPr>
            <w:tcW w:type="dxa" w:w="2160"/>
          </w:tcPr>
          <w:p>
            <w:r>
              <w:t>Accountant (setup + annual)</w:t>
            </w:r>
          </w:p>
        </w:tc>
        <w:tc>
          <w:tcPr>
            <w:tcW w:type="dxa" w:w="2160"/>
          </w:tcPr>
          <w:p>
            <w:r>
              <w:t>10,000-15,000</w:t>
            </w:r>
          </w:p>
        </w:tc>
        <w:tc>
          <w:tcPr>
            <w:tcW w:type="dxa" w:w="2160"/>
          </w:tcPr>
          <w:p>
            <w:r>
              <w:t>First year</w:t>
            </w:r>
          </w:p>
        </w:tc>
      </w:tr>
      <w:tr>
        <w:tc>
          <w:tcPr>
            <w:tcW w:type="dxa" w:w="2160"/>
          </w:tcPr>
          <w:p>
            <w:r>
              <w:t>**Insurance**</w:t>
            </w:r>
          </w:p>
        </w:tc>
        <w:tc>
          <w:tcPr>
            <w:tcW w:type="dxa" w:w="2160"/>
          </w:tcPr>
          <w:p>
            <w:r/>
          </w:p>
        </w:tc>
        <w:tc>
          <w:tcPr>
            <w:tcW w:type="dxa" w:w="2160"/>
          </w:tcPr>
          <w:p>
            <w:r/>
          </w:p>
        </w:tc>
        <w:tc>
          <w:tcPr>
            <w:tcW w:type="dxa" w:w="2160"/>
          </w:tcPr>
          <w:p>
            <w:r/>
          </w:p>
        </w:tc>
      </w:tr>
      <w:tr>
        <w:tc>
          <w:tcPr>
            <w:tcW w:type="dxa" w:w="2160"/>
          </w:tcPr>
          <w:p>
            <w:r/>
          </w:p>
        </w:tc>
        <w:tc>
          <w:tcPr>
            <w:tcW w:type="dxa" w:w="2160"/>
          </w:tcPr>
          <w:p>
            <w:r>
              <w:t>Professional liability (ansvarsforsikring)</w:t>
            </w:r>
          </w:p>
        </w:tc>
        <w:tc>
          <w:tcPr>
            <w:tcW w:type="dxa" w:w="2160"/>
          </w:tcPr>
          <w:p>
            <w:r>
              <w:t>20,000-40,000</w:t>
            </w:r>
          </w:p>
        </w:tc>
        <w:tc>
          <w:tcPr>
            <w:tcW w:type="dxa" w:w="2160"/>
          </w:tcPr>
          <w:p>
            <w:r>
              <w:t>Annual</w:t>
            </w:r>
          </w:p>
        </w:tc>
      </w:tr>
      <w:tr>
        <w:tc>
          <w:tcPr>
            <w:tcW w:type="dxa" w:w="2160"/>
          </w:tcPr>
          <w:p>
            <w:r>
              <w:t>**Infrastructure**</w:t>
            </w:r>
          </w:p>
        </w:tc>
        <w:tc>
          <w:tcPr>
            <w:tcW w:type="dxa" w:w="2160"/>
          </w:tcPr>
          <w:p>
            <w:r/>
          </w:p>
        </w:tc>
        <w:tc>
          <w:tcPr>
            <w:tcW w:type="dxa" w:w="2160"/>
          </w:tcPr>
          <w:p>
            <w:r/>
          </w:p>
        </w:tc>
        <w:tc>
          <w:tcPr>
            <w:tcW w:type="dxa" w:w="2160"/>
          </w:tcPr>
          <w:p>
            <w:r/>
          </w:p>
        </w:tc>
      </w:tr>
      <w:tr>
        <w:tc>
          <w:tcPr>
            <w:tcW w:type="dxa" w:w="2160"/>
          </w:tcPr>
          <w:p>
            <w:r/>
          </w:p>
        </w:tc>
        <w:tc>
          <w:tcPr>
            <w:tcW w:type="dxa" w:w="2160"/>
          </w:tcPr>
          <w:p>
            <w:r>
              <w:t>Mac Mini M4 (if not owned)</w:t>
            </w:r>
          </w:p>
        </w:tc>
        <w:tc>
          <w:tcPr>
            <w:tcW w:type="dxa" w:w="2160"/>
          </w:tcPr>
          <w:p>
            <w:r>
              <w:t>8,000-12,000</w:t>
            </w:r>
          </w:p>
        </w:tc>
        <w:tc>
          <w:tcPr>
            <w:tcW w:type="dxa" w:w="2160"/>
          </w:tcPr>
          <w:p>
            <w:r>
              <w:t>One-time</w:t>
            </w:r>
          </w:p>
        </w:tc>
      </w:tr>
      <w:tr>
        <w:tc>
          <w:tcPr>
            <w:tcW w:type="dxa" w:w="2160"/>
          </w:tcPr>
          <w:p>
            <w:r/>
          </w:p>
        </w:tc>
        <w:tc>
          <w:tcPr>
            <w:tcW w:type="dxa" w:w="2160"/>
          </w:tcPr>
          <w:p>
            <w:r>
              <w:t>Clinical equipment (ECG, BP monitor, scale)</w:t>
            </w:r>
          </w:p>
        </w:tc>
        <w:tc>
          <w:tcPr>
            <w:tcW w:type="dxa" w:w="2160"/>
          </w:tcPr>
          <w:p>
            <w:r>
              <w:t>15,000-30,000</w:t>
            </w:r>
          </w:p>
        </w:tc>
        <w:tc>
          <w:tcPr>
            <w:tcW w:type="dxa" w:w="2160"/>
          </w:tcPr>
          <w:p>
            <w:r>
              <w:t>One-time</w:t>
            </w:r>
          </w:p>
        </w:tc>
      </w:tr>
      <w:tr>
        <w:tc>
          <w:tcPr>
            <w:tcW w:type="dxa" w:w="2160"/>
          </w:tcPr>
          <w:p>
            <w:r/>
          </w:p>
        </w:tc>
        <w:tc>
          <w:tcPr>
            <w:tcW w:type="dxa" w:w="2160"/>
          </w:tcPr>
          <w:p>
            <w:r>
              <w:t>Cloudflare Tunnel + domain</w:t>
            </w:r>
          </w:p>
        </w:tc>
        <w:tc>
          <w:tcPr>
            <w:tcW w:type="dxa" w:w="2160"/>
          </w:tcPr>
          <w:p>
            <w:r>
              <w:t>500-1,000</w:t>
            </w:r>
          </w:p>
        </w:tc>
        <w:tc>
          <w:tcPr>
            <w:tcW w:type="dxa" w:w="2160"/>
          </w:tcPr>
          <w:p>
            <w:r>
              <w:t>Annual</w:t>
            </w:r>
          </w:p>
        </w:tc>
      </w:tr>
      <w:tr>
        <w:tc>
          <w:tcPr>
            <w:tcW w:type="dxa" w:w="2160"/>
          </w:tcPr>
          <w:p>
            <w:r>
              <w:t>**Clinical Setup**</w:t>
            </w:r>
          </w:p>
        </w:tc>
        <w:tc>
          <w:tcPr>
            <w:tcW w:type="dxa" w:w="2160"/>
          </w:tcPr>
          <w:p>
            <w:r/>
          </w:p>
        </w:tc>
        <w:tc>
          <w:tcPr>
            <w:tcW w:type="dxa" w:w="2160"/>
          </w:tcPr>
          <w:p>
            <w:r/>
          </w:p>
        </w:tc>
        <w:tc>
          <w:tcPr>
            <w:tcW w:type="dxa" w:w="2160"/>
          </w:tcPr>
          <w:p>
            <w:r/>
          </w:p>
        </w:tc>
      </w:tr>
      <w:tr>
        <w:tc>
          <w:tcPr>
            <w:tcW w:type="dxa" w:w="2160"/>
          </w:tcPr>
          <w:p>
            <w:r/>
          </w:p>
        </w:tc>
        <w:tc>
          <w:tcPr>
            <w:tcW w:type="dxa" w:w="2160"/>
          </w:tcPr>
          <w:p>
            <w:r>
              <w:t>EPJ system (EG Pasientsky)</w:t>
            </w:r>
          </w:p>
        </w:tc>
        <w:tc>
          <w:tcPr>
            <w:tcW w:type="dxa" w:w="2160"/>
          </w:tcPr>
          <w:p>
            <w:r>
              <w:t>6,700-9,000</w:t>
            </w:r>
          </w:p>
        </w:tc>
        <w:tc>
          <w:tcPr>
            <w:tcW w:type="dxa" w:w="2160"/>
          </w:tcPr>
          <w:p>
            <w:r>
              <w:t>Annual</w:t>
            </w:r>
          </w:p>
        </w:tc>
      </w:tr>
      <w:tr>
        <w:tc>
          <w:tcPr>
            <w:tcW w:type="dxa" w:w="2160"/>
          </w:tcPr>
          <w:p>
            <w:r/>
          </w:p>
        </w:tc>
        <w:tc>
          <w:tcPr>
            <w:tcW w:type="dxa" w:w="2160"/>
          </w:tcPr>
          <w:p>
            <w:r>
              <w:t>NPE tilskudd registration</w:t>
            </w:r>
          </w:p>
        </w:tc>
        <w:tc>
          <w:tcPr>
            <w:tcW w:type="dxa" w:w="2160"/>
          </w:tcPr>
          <w:p>
            <w:r>
              <w:t>1,000-2,500</w:t>
            </w:r>
          </w:p>
        </w:tc>
        <w:tc>
          <w:tcPr>
            <w:tcW w:type="dxa" w:w="2160"/>
          </w:tcPr>
          <w:p>
            <w:r>
              <w:t>Annual</w:t>
            </w:r>
          </w:p>
        </w:tc>
      </w:tr>
      <w:tr>
        <w:tc>
          <w:tcPr>
            <w:tcW w:type="dxa" w:w="2160"/>
          </w:tcPr>
          <w:p>
            <w:r/>
          </w:p>
        </w:tc>
        <w:tc>
          <w:tcPr>
            <w:tcW w:type="dxa" w:w="2160"/>
          </w:tcPr>
          <w:p>
            <w:r>
              <w:t>AI documentation tool (optional)</w:t>
            </w:r>
          </w:p>
        </w:tc>
        <w:tc>
          <w:tcPr>
            <w:tcW w:type="dxa" w:w="2160"/>
          </w:tcPr>
          <w:p>
            <w:r>
              <w:t>3,600-25,000</w:t>
            </w:r>
          </w:p>
        </w:tc>
        <w:tc>
          <w:tcPr>
            <w:tcW w:type="dxa" w:w="2160"/>
          </w:tcPr>
          <w:p>
            <w:r>
              <w:t>Annual</w:t>
            </w:r>
          </w:p>
        </w:tc>
      </w:tr>
      <w:tr>
        <w:tc>
          <w:tcPr>
            <w:tcW w:type="dxa" w:w="2160"/>
          </w:tcPr>
          <w:p>
            <w:r/>
          </w:p>
        </w:tc>
        <w:tc>
          <w:tcPr>
            <w:tcW w:type="dxa" w:w="2160"/>
          </w:tcPr>
          <w:p>
            <w:r>
              <w:t>Lab partnership deposits</w:t>
            </w:r>
          </w:p>
        </w:tc>
        <w:tc>
          <w:tcPr>
            <w:tcW w:type="dxa" w:w="2160"/>
          </w:tcPr>
          <w:p>
            <w:r>
              <w:t>0-5,000</w:t>
            </w:r>
          </w:p>
        </w:tc>
        <w:tc>
          <w:tcPr>
            <w:tcW w:type="dxa" w:w="2160"/>
          </w:tcPr>
          <w:p>
            <w:r>
              <w:t>Variable</w:t>
            </w:r>
          </w:p>
        </w:tc>
      </w:tr>
      <w:tr>
        <w:tc>
          <w:tcPr>
            <w:tcW w:type="dxa" w:w="2160"/>
          </w:tcPr>
          <w:p>
            <w:r/>
          </w:p>
        </w:tc>
        <w:tc>
          <w:tcPr>
            <w:tcW w:type="dxa" w:w="2160"/>
          </w:tcPr>
          <w:p>
            <w:r>
              <w:t>Intake questionnaire platform (Typeform)</w:t>
            </w:r>
          </w:p>
        </w:tc>
        <w:tc>
          <w:tcPr>
            <w:tcW w:type="dxa" w:w="2160"/>
          </w:tcPr>
          <w:p>
            <w:r>
              <w:t>0-3,000</w:t>
            </w:r>
          </w:p>
        </w:tc>
        <w:tc>
          <w:tcPr>
            <w:tcW w:type="dxa" w:w="2160"/>
          </w:tcPr>
          <w:p>
            <w:r>
              <w:t>Annual</w:t>
            </w:r>
          </w:p>
        </w:tc>
      </w:tr>
      <w:tr>
        <w:tc>
          <w:tcPr>
            <w:tcW w:type="dxa" w:w="2160"/>
          </w:tcPr>
          <w:p>
            <w:r/>
          </w:p>
        </w:tc>
        <w:tc>
          <w:tcPr>
            <w:tcW w:type="dxa" w:w="2160"/>
          </w:tcPr>
          <w:p>
            <w:r>
              <w:t>Scheduling tool (Calendly)</w:t>
            </w:r>
          </w:p>
        </w:tc>
        <w:tc>
          <w:tcPr>
            <w:tcW w:type="dxa" w:w="2160"/>
          </w:tcPr>
          <w:p>
            <w:r>
              <w:t>0-1,200</w:t>
            </w:r>
          </w:p>
        </w:tc>
        <w:tc>
          <w:tcPr>
            <w:tcW w:type="dxa" w:w="2160"/>
          </w:tcPr>
          <w:p>
            <w:r>
              <w:t>Annual</w:t>
            </w:r>
          </w:p>
        </w:tc>
      </w:tr>
      <w:tr>
        <w:tc>
          <w:tcPr>
            <w:tcW w:type="dxa" w:w="2160"/>
          </w:tcPr>
          <w:p>
            <w:r>
              <w:t>**Marketing**</w:t>
            </w:r>
          </w:p>
        </w:tc>
        <w:tc>
          <w:tcPr>
            <w:tcW w:type="dxa" w:w="2160"/>
          </w:tcPr>
          <w:p>
            <w:r/>
          </w:p>
        </w:tc>
        <w:tc>
          <w:tcPr>
            <w:tcW w:type="dxa" w:w="2160"/>
          </w:tcPr>
          <w:p>
            <w:r/>
          </w:p>
        </w:tc>
        <w:tc>
          <w:tcPr>
            <w:tcW w:type="dxa" w:w="2160"/>
          </w:tcPr>
          <w:p>
            <w:r/>
          </w:p>
        </w:tc>
      </w:tr>
      <w:tr>
        <w:tc>
          <w:tcPr>
            <w:tcW w:type="dxa" w:w="2160"/>
          </w:tcPr>
          <w:p>
            <w:r/>
          </w:p>
        </w:tc>
        <w:tc>
          <w:tcPr>
            <w:tcW w:type="dxa" w:w="2160"/>
          </w:tcPr>
          <w:p>
            <w:r>
              <w:t>Simple website</w:t>
            </w:r>
          </w:p>
        </w:tc>
        <w:tc>
          <w:tcPr>
            <w:tcW w:type="dxa" w:w="2160"/>
          </w:tcPr>
          <w:p>
            <w:r>
              <w:t>0-10,000</w:t>
            </w:r>
          </w:p>
        </w:tc>
        <w:tc>
          <w:tcPr>
            <w:tcW w:type="dxa" w:w="2160"/>
          </w:tcPr>
          <w:p>
            <w:r>
              <w:t>One-time (can DIY)</w:t>
            </w:r>
          </w:p>
        </w:tc>
      </w:tr>
      <w:tr>
        <w:tc>
          <w:tcPr>
            <w:tcW w:type="dxa" w:w="2160"/>
          </w:tcPr>
          <w:p>
            <w:r/>
          </w:p>
        </w:tc>
        <w:tc>
          <w:tcPr>
            <w:tcW w:type="dxa" w:w="2160"/>
          </w:tcPr>
          <w:p>
            <w:r>
              <w:t>Initial content creation</w:t>
            </w:r>
          </w:p>
        </w:tc>
        <w:tc>
          <w:tcPr>
            <w:tcW w:type="dxa" w:w="2160"/>
          </w:tcPr>
          <w:p>
            <w:r>
              <w:t>0-5,000</w:t>
            </w:r>
          </w:p>
        </w:tc>
        <w:tc>
          <w:tcPr>
            <w:tcW w:type="dxa" w:w="2160"/>
          </w:tcPr>
          <w:p>
            <w:r>
              <w:t>Your time + OpenClaw</w:t>
            </w:r>
          </w:p>
        </w:tc>
      </w:tr>
      <w:tr>
        <w:tc>
          <w:tcPr>
            <w:tcW w:type="dxa" w:w="2160"/>
          </w:tcPr>
          <w:p>
            <w:r>
              <w:t>**Working Capital**</w:t>
            </w:r>
          </w:p>
        </w:tc>
        <w:tc>
          <w:tcPr>
            <w:tcW w:type="dxa" w:w="2160"/>
          </w:tcPr>
          <w:p>
            <w:r/>
          </w:p>
        </w:tc>
        <w:tc>
          <w:tcPr>
            <w:tcW w:type="dxa" w:w="2160"/>
          </w:tcPr>
          <w:p>
            <w:r/>
          </w:p>
        </w:tc>
        <w:tc>
          <w:tcPr>
            <w:tcW w:type="dxa" w:w="2160"/>
          </w:tcPr>
          <w:p>
            <w:r/>
          </w:p>
        </w:tc>
      </w:tr>
      <w:tr>
        <w:tc>
          <w:tcPr>
            <w:tcW w:type="dxa" w:w="2160"/>
          </w:tcPr>
          <w:p>
            <w:r/>
          </w:p>
        </w:tc>
        <w:tc>
          <w:tcPr>
            <w:tcW w:type="dxa" w:w="2160"/>
          </w:tcPr>
          <w:p>
            <w:r>
              <w:t>Clinic room deposit (3 months)</w:t>
            </w:r>
          </w:p>
        </w:tc>
        <w:tc>
          <w:tcPr>
            <w:tcW w:type="dxa" w:w="2160"/>
          </w:tcPr>
          <w:p>
            <w:r>
              <w:t>30,000-60,000</w:t>
            </w:r>
          </w:p>
        </w:tc>
        <w:tc>
          <w:tcPr>
            <w:tcW w:type="dxa" w:w="2160"/>
          </w:tcPr>
          <w:p>
            <w:r>
              <w:t>Refundable</w:t>
            </w:r>
          </w:p>
        </w:tc>
      </w:tr>
      <w:tr>
        <w:tc>
          <w:tcPr>
            <w:tcW w:type="dxa" w:w="2160"/>
          </w:tcPr>
          <w:p>
            <w:r/>
          </w:p>
        </w:tc>
        <w:tc>
          <w:tcPr>
            <w:tcW w:type="dxa" w:w="2160"/>
          </w:tcPr>
          <w:p>
            <w:r>
              <w:t>Buffer for first 3 months</w:t>
            </w:r>
          </w:p>
        </w:tc>
        <w:tc>
          <w:tcPr>
            <w:tcW w:type="dxa" w:w="2160"/>
          </w:tcPr>
          <w:p>
            <w:r>
              <w:t>50,000-100,000</w:t>
            </w:r>
          </w:p>
        </w:tc>
        <w:tc>
          <w:tcPr>
            <w:tcW w:type="dxa" w:w="2160"/>
          </w:tcPr>
          <w:p>
            <w:r>
              <w:t>Recommended</w:t>
            </w:r>
          </w:p>
        </w:tc>
      </w:tr>
      <w:tr>
        <w:tc>
          <w:tcPr>
            <w:tcW w:type="dxa" w:w="2160"/>
          </w:tcPr>
          <w:p>
            <w:r/>
          </w:p>
        </w:tc>
        <w:tc>
          <w:tcPr>
            <w:tcW w:type="dxa" w:w="2160"/>
          </w:tcPr>
          <w:p>
            <w:r>
              <w:t>**TOTAL ESTIMATED SETUP**</w:t>
            </w:r>
          </w:p>
        </w:tc>
        <w:tc>
          <w:tcPr>
            <w:tcW w:type="dxa" w:w="2160"/>
          </w:tcPr>
          <w:p>
            <w:r>
              <w:t>**~NOK 150,000-300,000**</w:t>
            </w:r>
          </w:p>
        </w:tc>
        <w:tc>
          <w:tcPr>
            <w:tcW w:type="dxa" w:w="2160"/>
          </w:tcPr>
          <w:p>
            <w:r/>
          </w:p>
        </w:tc>
      </w:tr>
    </w:tbl>
    <w:p>
      <w:r>
        <w:t>Note: Many costs can be minimised with DIY approach (website, content) and using existing equipment. The lower end (~NOK 150K) is achievable if you already own a suitable Mac and can negotiate clinic space without large deposits.</w:t>
      </w:r>
    </w:p>
    <w:p>
      <w:r>
        <w:t>__________________________________________________</w:t>
      </w:r>
    </w:p>
    <w:p>
      <w:pPr>
        <w:pStyle w:val="Heading2"/>
      </w:pPr>
      <w:r>
        <w:t>14. Early Action Checklist</w:t>
      </w:r>
    </w:p>
    <w:p>
      <w:pPr>
        <w:pStyle w:val="Heading3"/>
      </w:pPr>
      <w:r>
        <w:t>Weeks 1-4: Legal &amp; Foundation</w:t>
      </w:r>
    </w:p>
    <w:p>
      <w:pPr>
        <w:pStyle w:val="ListBullet"/>
      </w:pPr>
      <w:r>
        <w:t>[ ] Register AS with Brønnøysundregistrene (NOK 5,570)</w:t>
      </w:r>
    </w:p>
    <w:p>
      <w:pPr>
        <w:pStyle w:val="ListBullet"/>
      </w:pPr>
      <w:r>
        <w:t>[ ] Open business bank account (DNB, Nordea, or Sparebank 1)</w:t>
      </w:r>
    </w:p>
    <w:p>
      <w:pPr>
        <w:pStyle w:val="ListBullet"/>
      </w:pPr>
      <w:r>
        <w:t>[ ] Engage lawyer to draft membership agreement and privacy documents</w:t>
      </w:r>
    </w:p>
    <w:p>
      <w:pPr>
        <w:pStyle w:val="ListBullet"/>
      </w:pPr>
      <w:r>
        <w:t>[ ] Apply for ansvarsforsikring (professional liability insurance)</w:t>
      </w:r>
    </w:p>
    <w:p>
      <w:pPr>
        <w:pStyle w:val="ListBullet"/>
      </w:pPr>
      <w:r>
        <w:t>[ ] Review fastlegeavtale for restrictions on parallel private practice</w:t>
      </w:r>
    </w:p>
    <w:p>
      <w:pPr>
        <w:pStyle w:val="ListBullet"/>
      </w:pPr>
      <w:r>
        <w:t>[ ] Notify municipality of secondary private practice activity</w:t>
      </w:r>
    </w:p>
    <w:p>
      <w:pPr>
        <w:pStyle w:val="ListBullet"/>
      </w:pPr>
      <w:r>
        <w:t>[ ] Set up Stripe or Vipps recurring payment infrastructure</w:t>
      </w:r>
    </w:p>
    <w:p>
      <w:pPr>
        <w:pStyle w:val="ListBullet"/>
      </w:pPr>
      <w:r>
        <w:t>[ ] Identify and secure consultation room (consider shared privatklinikk space to start)</w:t>
      </w:r>
    </w:p>
    <w:p>
      <w:pPr>
        <w:pStyle w:val="Heading3"/>
      </w:pPr>
      <w:r>
        <w:t>Weeks 2-6: Systems &amp; Infrastructure</w:t>
      </w:r>
    </w:p>
    <w:p>
      <w:pPr>
        <w:pStyle w:val="ListBullet"/>
      </w:pPr>
      <w:r>
        <w:t>[ ] Set up OpenClaw on Mac Mini M4 with member dossier structure</w:t>
      </w:r>
    </w:p>
    <w:p>
      <w:pPr>
        <w:pStyle w:val="ListBullet"/>
      </w:pPr>
      <w:r>
        <w:t>[ ] Configure nightly monitoring agent, pre-consultation briefer, lab processor</w:t>
      </w:r>
    </w:p>
    <w:p>
      <w:pPr>
        <w:pStyle w:val="ListBullet"/>
      </w:pPr>
      <w:r>
        <w:t>[ ] Establish lab partnership accounts with Unilabs and/or Fürst</w:t>
      </w:r>
    </w:p>
    <w:p>
      <w:pPr>
        <w:pStyle w:val="ListBullet"/>
      </w:pPr>
      <w:r>
        <w:t>[ ] Procure clinical equipment: ECG machine, body composition scale, BP monitor</w:t>
      </w:r>
    </w:p>
    <w:p>
      <w:pPr>
        <w:pStyle w:val="ListBullet"/>
      </w:pPr>
      <w:r>
        <w:t>[ ] Set up secure communication channel (Signal or WhatsApp Business)</w:t>
      </w:r>
    </w:p>
    <w:p>
      <w:pPr>
        <w:pStyle w:val="ListBullet"/>
      </w:pPr>
      <w:r>
        <w:t>[ ] Implement Cloudflare Tunnel for encrypted remote access</w:t>
      </w:r>
    </w:p>
    <w:p>
      <w:pPr>
        <w:pStyle w:val="ListBullet"/>
      </w:pPr>
      <w:r>
        <w:t>[ ] Build intake questionnaire (Typeform or equivalent, GDPR-compliant)</w:t>
      </w:r>
    </w:p>
    <w:p>
      <w:pPr>
        <w:pStyle w:val="ListBullet"/>
      </w:pPr>
      <w:r>
        <w:t>[ ] Register with NPE (Norsk pasientskadeerstatning) within 1 week of first patient</w:t>
      </w:r>
    </w:p>
    <w:p>
      <w:pPr>
        <w:pStyle w:val="Heading3"/>
      </w:pPr>
      <w:r>
        <w:t>Weeks 4-8: Clinical Systems</w:t>
      </w:r>
    </w:p>
    <w:p>
      <w:pPr>
        <w:pStyle w:val="ListBullet"/>
      </w:pPr>
      <w:r>
        <w:t>[ ] Draft member handbook (what to expect, how to contact you, what is included)</w:t>
      </w:r>
    </w:p>
    <w:p>
      <w:pPr>
        <w:pStyle w:val="ListBullet"/>
      </w:pPr>
      <w:r>
        <w:t>[ ] Create supplement protocol templates</w:t>
      </w:r>
    </w:p>
    <w:p>
      <w:pPr>
        <w:pStyle w:val="ListBullet"/>
      </w:pPr>
      <w:r>
        <w:t>[ ] Establish wearable data pipeline (Oura/Garmin/Apple Health)</w:t>
      </w:r>
    </w:p>
    <w:p>
      <w:pPr>
        <w:pStyle w:val="ListBullet"/>
      </w:pPr>
      <w:r>
        <w:t>[ ] Design consultation note templates (SOAP format)</w:t>
      </w:r>
    </w:p>
    <w:p>
      <w:pPr>
        <w:pStyle w:val="ListBullet"/>
      </w:pPr>
      <w:r>
        <w:t>[ ] Create lab interpretation frameworks</w:t>
      </w:r>
    </w:p>
    <w:p>
      <w:pPr>
        <w:pStyle w:val="ListBullet"/>
      </w:pPr>
      <w:r>
        <w:t>[ ] Build simple website (one-pager with tier comparison)</w:t>
      </w:r>
    </w:p>
    <w:p>
      <w:pPr>
        <w:pStyle w:val="Heading3"/>
      </w:pPr>
      <w:r>
        <w:t>Weeks 6-10: Marketing &amp; Launch Prep</w:t>
      </w:r>
    </w:p>
    <w:p>
      <w:pPr>
        <w:pStyle w:val="ListBullet"/>
      </w:pPr>
      <w:r>
        <w:t>[ ] Write personal outreach message for your network</w:t>
      </w:r>
    </w:p>
    <w:p>
      <w:pPr>
        <w:pStyle w:val="ListBullet"/>
      </w:pPr>
      <w:r>
        <w:t>[ ] Draft Finansavisen/DN op-ed</w:t>
      </w:r>
    </w:p>
    <w:p>
      <w:pPr>
        <w:pStyle w:val="ListBullet"/>
      </w:pPr>
      <w:r>
        <w:t>[ ] Create LinkedIn content calendar</w:t>
      </w:r>
    </w:p>
    <w:p>
      <w:pPr>
        <w:pStyle w:val="ListBullet"/>
      </w:pPr>
      <w:r>
        <w:t>[ ] Design referral programme terms</w:t>
      </w:r>
    </w:p>
    <w:p>
      <w:pPr>
        <w:pStyle w:val="ListBullet"/>
      </w:pPr>
      <w:r>
        <w:t>[ ] Identify 10 target companies for corporate outreach</w:t>
      </w:r>
    </w:p>
    <w:p>
      <w:pPr>
        <w:pStyle w:val="ListBullet"/>
      </w:pPr>
      <w:r>
        <w:t>[ ] Prepare "Executive Health Audit" offering (NOK 15,000)</w:t>
      </w:r>
    </w:p>
    <w:p>
      <w:pPr>
        <w:pStyle w:val="ListBullet"/>
      </w:pPr>
      <w:r>
        <w:t>[ ] Secure 2-year exclusivity agreements with clinic and gym partners</w:t>
      </w:r>
    </w:p>
    <w:p>
      <w:pPr>
        <w:pStyle w:val="Heading3"/>
      </w:pPr>
      <w:r>
        <w:t>Days 31-60: Founder Outreach</w:t>
      </w:r>
    </w:p>
    <w:p>
      <w:pPr>
        <w:pStyle w:val="ListBullet"/>
      </w:pPr>
      <w:r>
        <w:t>[ ] Write personal message to 30-50 people in your professional network</w:t>
      </w:r>
    </w:p>
    <w:p>
      <w:pPr>
        <w:pStyle w:val="ListBullet"/>
      </w:pPr>
      <w:r>
        <w:t>[ ] Host 2-3 informal conversations (lunch or coffee) explaining the concept</w:t>
      </w:r>
    </w:p>
    <w:p>
      <w:pPr>
        <w:pStyle w:val="ListBullet"/>
      </w:pPr>
      <w:r>
        <w:t>[ ] Offer founding member places at discounted rate (NOK 1,500-2,500/month)</w:t>
      </w:r>
    </w:p>
    <w:p>
      <w:pPr>
        <w:pStyle w:val="ListBullet"/>
      </w:pPr>
      <w:r>
        <w:t>[ ] Onboard first 5-10 members: intake form, foundation consultation, baseline labs</w:t>
      </w:r>
    </w:p>
    <w:p>
      <w:pPr>
        <w:pStyle w:val="ListBullet"/>
      </w:pPr>
      <w:r>
        <w:t>[ ] Build first dossiers and run first agent briefing cycle</w:t>
      </w:r>
    </w:p>
    <w:p>
      <w:pPr>
        <w:pStyle w:val="Heading3"/>
      </w:pPr>
      <w:r>
        <w:t>Days 61-90: Iterate &amp; Validate</w:t>
      </w:r>
    </w:p>
    <w:p>
      <w:pPr>
        <w:pStyle w:val="ListBullet"/>
      </w:pPr>
      <w:r>
        <w:t>[ ] Gather feedback from founding members on experience</w:t>
      </w:r>
    </w:p>
    <w:p>
      <w:pPr>
        <w:pStyle w:val="ListBullet"/>
      </w:pPr>
      <w:r>
        <w:t>[ ] Refine consultation structure, agent outputs, and health brief format</w:t>
      </w:r>
    </w:p>
    <w:p>
      <w:pPr>
        <w:pStyle w:val="ListBullet"/>
      </w:pPr>
      <w:r>
        <w:t>[ ] Begin corporate outreach to 3-5 target companies</w:t>
      </w:r>
    </w:p>
    <w:p>
      <w:pPr>
        <w:pStyle w:val="ListBullet"/>
      </w:pPr>
      <w:r>
        <w:t>[ ] Write and submit first thought-leadership article</w:t>
      </w:r>
    </w:p>
    <w:p>
      <w:pPr>
        <w:pStyle w:val="ListBullet"/>
      </w:pPr>
      <w:r>
        <w:t>[ ] Review pricing — are members happy to pay full rate?</w:t>
      </w:r>
    </w:p>
    <w:p>
      <w:pPr>
        <w:pStyle w:val="ListBullet"/>
      </w:pPr>
      <w:r>
        <w:t>[ ] **Target: 15+ members and NOK 75,000+/month in recurring revenue by Day 90**</w:t>
      </w:r>
    </w:p>
    <w:p>
      <w:r>
        <w:t>__________________________________________________</w:t>
      </w:r>
    </w:p>
    <w:p>
      <w:pPr>
        <w:pStyle w:val="Heading2"/>
      </w:pPr>
      <w:r>
        <w:t>14. Legal &amp; Regulatory Framework</w:t>
      </w:r>
    </w:p>
    <w:p>
      <w:pPr>
        <w:pStyle w:val="Heading3"/>
      </w:pPr>
      <w:r>
        <w:t>14.1 Practice Structure: Helfrivat (Fully Private) Practice</w:t>
      </w:r>
    </w:p>
    <w:p>
      <w:r>
        <w:t>As a fastlege operating a parallel private practice, you will run a hjelprivat praksis — fully private, with no public funding (driftstilskudd) and no trygderefusjon. Patients pay 100% out-of-pocket. This is the simplest structure for a concierge model.</w:t>
      </w:r>
    </w:p>
    <w:p>
      <w:r>
        <w:t>Key implications:</w:t>
      </w:r>
    </w:p>
    <w:p>
      <w:pPr>
        <w:pStyle w:val="ListBullet"/>
      </w:pPr>
      <w:r>
        <w:t>No Helfo registration required (no reimbursement claims)</w:t>
      </w:r>
    </w:p>
    <w:p>
      <w:pPr>
        <w:pStyle w:val="ListBullet"/>
      </w:pPr>
      <w:r>
        <w:t>No normaltariff obligations — you set your own prices freely</w:t>
      </w:r>
    </w:p>
    <w:p>
      <w:pPr>
        <w:pStyle w:val="ListBullet"/>
      </w:pPr>
      <w:r>
        <w:t>Services do not count toward patient frikort</w:t>
      </w:r>
    </w:p>
    <w:p>
      <w:pPr>
        <w:pStyle w:val="ListBullet"/>
      </w:pPr>
      <w:r>
        <w:t>You operate under general medical practice regulations, not fastlege agreement terms</w:t>
      </w:r>
    </w:p>
    <w:p>
      <w:pPr>
        <w:pStyle w:val="Heading3"/>
      </w:pPr>
      <w:r>
        <w:t>14.2 Registration Requirements</w:t>
      </w:r>
    </w:p>
    <w:tbl>
      <w:tblPr>
        <w:tblW w:type="auto" w:w="0"/>
        <w:tblLook w:firstColumn="1" w:firstRow="1" w:lastColumn="0" w:lastRow="0" w:noHBand="0" w:noVBand="1" w:val="04A0"/>
      </w:tblPr>
      <w:tblGrid>
        <w:gridCol w:w="2880"/>
        <w:gridCol w:w="2880"/>
        <w:gridCol w:w="2880"/>
      </w:tblGrid>
      <w:tr>
        <w:tc>
          <w:tcPr>
            <w:tcW w:type="dxa" w:w="2880"/>
          </w:tcPr>
          <w:p>
            <w:r>
              <w:t>Requirement</w:t>
            </w:r>
          </w:p>
        </w:tc>
        <w:tc>
          <w:tcPr>
            <w:tcW w:type="dxa" w:w="2880"/>
          </w:tcPr>
          <w:p>
            <w:r>
              <w:t>Details</w:t>
            </w:r>
          </w:p>
        </w:tc>
        <w:tc>
          <w:tcPr>
            <w:tcW w:type="dxa" w:w="2880"/>
          </w:tcPr>
          <w:p>
            <w:r>
              <w:t>Timeline</w:t>
            </w:r>
          </w:p>
        </w:tc>
      </w:tr>
      <w:tr>
        <w:tc>
          <w:tcPr>
            <w:tcW w:type="dxa" w:w="2880"/>
          </w:tcPr>
          <w:p>
            <w:r>
              <w:t>**Business Entity**</w:t>
            </w:r>
          </w:p>
        </w:tc>
        <w:tc>
          <w:tcPr>
            <w:tcW w:type="dxa" w:w="2880"/>
          </w:tcPr>
          <w:p>
            <w:r>
              <w:t>Register ENK (simplest) or AS via Altinn (Samordnet registermelding)</w:t>
            </w:r>
          </w:p>
        </w:tc>
        <w:tc>
          <w:tcPr>
            <w:tcW w:type="dxa" w:w="2880"/>
          </w:tcPr>
          <w:p>
            <w:r>
              <w:t>Week 1</w:t>
            </w:r>
          </w:p>
        </w:tc>
      </w:tr>
      <w:tr>
        <w:tc>
          <w:tcPr>
            <w:tcW w:type="dxa" w:w="2880"/>
          </w:tcPr>
          <w:p>
            <w:r>
              <w:t>**Municipality Notification**</w:t>
            </w:r>
          </w:p>
        </w:tc>
        <w:tc>
          <w:tcPr>
            <w:tcW w:type="dxa" w:w="2880"/>
          </w:tcPr>
          <w:p>
            <w:r>
              <w:t>Notify kommune of practice: name, address, contact, size, financing model</w:t>
            </w:r>
          </w:p>
        </w:tc>
        <w:tc>
          <w:tcPr>
            <w:tcW w:type="dxa" w:w="2880"/>
          </w:tcPr>
          <w:p>
            <w:r>
              <w:t>Week 1-2</w:t>
            </w:r>
          </w:p>
        </w:tc>
      </w:tr>
      <w:tr>
        <w:tc>
          <w:tcPr>
            <w:tcW w:type="dxa" w:w="2880"/>
          </w:tcPr>
          <w:p>
            <w:r>
              <w:t>**Employer Notification**</w:t>
            </w:r>
          </w:p>
        </w:tc>
        <w:tc>
          <w:tcPr>
            <w:tcW w:type="dxa" w:w="2880"/>
          </w:tcPr>
          <w:p>
            <w:r>
              <w:t>Inform municipality of secondary activity per employment contract</w:t>
            </w:r>
          </w:p>
        </w:tc>
        <w:tc>
          <w:tcPr>
            <w:tcW w:type="dxa" w:w="2880"/>
          </w:tcPr>
          <w:p>
            <w:r>
              <w:t>Week 1</w:t>
            </w:r>
          </w:p>
        </w:tc>
      </w:tr>
      <w:tr>
        <w:tc>
          <w:tcPr>
            <w:tcW w:type="dxa" w:w="2880"/>
          </w:tcPr>
          <w:p>
            <w:r>
              <w:t>**NPE Registration**</w:t>
            </w:r>
          </w:p>
        </w:tc>
        <w:tc>
          <w:tcPr>
            <w:tcW w:type="dxa" w:w="2880"/>
          </w:tcPr>
          <w:p>
            <w:r>
              <w:t>Notify Norsk pasientskadeerstatning within 1 week of starting practice</w:t>
            </w:r>
          </w:p>
        </w:tc>
        <w:tc>
          <w:tcPr>
            <w:tcW w:type="dxa" w:w="2880"/>
          </w:tcPr>
          <w:p>
            <w:r>
              <w:t>Before first patient</w:t>
            </w:r>
          </w:p>
        </w:tc>
      </w:tr>
      <w:tr>
        <w:tc>
          <w:tcPr>
            <w:tcW w:type="dxa" w:w="2880"/>
          </w:tcPr>
          <w:p>
            <w:r>
              <w:t>**Patient Journal System**</w:t>
            </w:r>
          </w:p>
        </w:tc>
        <w:tc>
          <w:tcPr>
            <w:tcW w:type="dxa" w:w="2880"/>
          </w:tcPr>
          <w:p>
            <w:r>
              <w:t>Implement compliant EPJ per pasientjournal-forskrift § 4</w:t>
            </w:r>
          </w:p>
        </w:tc>
        <w:tc>
          <w:tcPr>
            <w:tcW w:type="dxa" w:w="2880"/>
          </w:tcPr>
          <w:p>
            <w:r>
              <w:t>Week 2-4</w:t>
            </w:r>
          </w:p>
        </w:tc>
      </w:tr>
    </w:tbl>
    <w:p>
      <w:r>
        <w:t>NPE Contribution: Approximately NOK 1,000–2,500/year for 20% FTE private practice (scaled by activity level).</w:t>
      </w:r>
    </w:p>
    <w:p>
      <w:pPr>
        <w:pStyle w:val="Heading3"/>
      </w:pPr>
      <w:r>
        <w:t>14.3 Fastlege Agreement Review</w:t>
      </w:r>
    </w:p>
    <w:p>
      <w:r>
        <w:t>Critical: Review your fastlegeavtale for clauses restricting:</w:t>
      </w:r>
    </w:p>
    <w:p>
      <w:pPr>
        <w:pStyle w:val="ListBullet"/>
      </w:pPr>
      <w:r>
        <w:t>Competing commercial activity</w:t>
      </w:r>
    </w:p>
    <w:p>
      <w:pPr>
        <w:pStyle w:val="ListBullet"/>
      </w:pPr>
      <w:r>
        <w:t>Time allocation requirements</w:t>
      </w:r>
    </w:p>
    <w:p>
      <w:pPr>
        <w:pStyle w:val="ListBullet"/>
      </w:pPr>
      <w:r>
        <w:t>Non-compete provisions</w:t>
      </w:r>
    </w:p>
    <w:p>
      <w:r>
        <w:t>Consult Legeforeningen's legal support if uncertain. This is your primary regulatory risk.</w:t>
      </w:r>
    </w:p>
    <w:p>
      <w:pPr>
        <w:pStyle w:val="Heading3"/>
      </w:pPr>
      <w:r>
        <w:t>14.4 AI Documentation Tools: Market Analysis</w:t>
      </w:r>
    </w:p>
    <w:p>
      <w:r>
        <w:t>For AI-assisted documentation, three layers exist:</w:t>
      </w:r>
    </w:p>
    <w:p>
      <w:r>
        <w:t>Layer 1: Native AI in EPJ</w:t>
      </w:r>
    </w:p>
    <w:tbl>
      <w:tblPr>
        <w:tblW w:type="auto" w:w="0"/>
        <w:tblLook w:firstColumn="1" w:firstRow="1" w:lastColumn="0" w:lastRow="0" w:noHBand="0" w:noVBand="1" w:val="04A0"/>
      </w:tblPr>
      <w:tblGrid>
        <w:gridCol w:w="2880"/>
        <w:gridCol w:w="2880"/>
        <w:gridCol w:w="2880"/>
      </w:tblGrid>
      <w:tr>
        <w:tc>
          <w:tcPr>
            <w:tcW w:type="dxa" w:w="2880"/>
          </w:tcPr>
          <w:p>
            <w:r>
              <w:t>System</w:t>
            </w:r>
          </w:p>
        </w:tc>
        <w:tc>
          <w:tcPr>
            <w:tcW w:type="dxa" w:w="2880"/>
          </w:tcPr>
          <w:p>
            <w:r>
              <w:t>AI Features</w:t>
            </w:r>
          </w:p>
        </w:tc>
        <w:tc>
          <w:tcPr>
            <w:tcW w:type="dxa" w:w="2880"/>
          </w:tcPr>
          <w:p>
            <w:r>
              <w:t>Status</w:t>
            </w:r>
          </w:p>
        </w:tc>
      </w:tr>
      <w:tr>
        <w:tc>
          <w:tcPr>
            <w:tcW w:type="dxa" w:w="2880"/>
          </w:tcPr>
          <w:p>
            <w:r>
              <w:t>**EG Pasientsky**</w:t>
            </w:r>
          </w:p>
        </w:tc>
        <w:tc>
          <w:tcPr>
            <w:tcW w:type="dxa" w:w="2880"/>
          </w:tcPr>
          <w:p>
            <w:r>
              <w:t>AI tale-til-notat (speech-to-note), medical vocabulary, speaker separation</w:t>
            </w:r>
          </w:p>
        </w:tc>
        <w:tc>
          <w:tcPr>
            <w:tcW w:type="dxa" w:w="2880"/>
          </w:tcPr>
          <w:p>
            <w:r>
              <w:t>✅ Best option</w:t>
            </w:r>
          </w:p>
        </w:tc>
      </w:tr>
      <w:tr>
        <w:tc>
          <w:tcPr>
            <w:tcW w:type="dxa" w:w="2880"/>
          </w:tcPr>
          <w:p>
            <w:r>
              <w:t>CGM Journal Allmenn</w:t>
            </w:r>
          </w:p>
        </w:tc>
        <w:tc>
          <w:tcPr>
            <w:tcW w:type="dxa" w:w="2880"/>
          </w:tcPr>
          <w:p>
            <w:r>
              <w:t>No native AI features</w:t>
            </w:r>
          </w:p>
        </w:tc>
        <w:tc>
          <w:tcPr>
            <w:tcW w:type="dxa" w:w="2880"/>
          </w:tcPr>
          <w:p>
            <w:r>
              <w:t>❌ Behind</w:t>
            </w:r>
          </w:p>
        </w:tc>
      </w:tr>
      <w:tr>
        <w:tc>
          <w:tcPr>
            <w:tcW w:type="dxa" w:w="2880"/>
          </w:tcPr>
          <w:p>
            <w:r>
              <w:t>CGM Pridok</w:t>
            </w:r>
          </w:p>
        </w:tc>
        <w:tc>
          <w:tcPr>
            <w:tcW w:type="dxa" w:w="2880"/>
          </w:tcPr>
          <w:p>
            <w:r>
              <w:t>No native AI features</w:t>
            </w:r>
          </w:p>
        </w:tc>
        <w:tc>
          <w:tcPr>
            <w:tcW w:type="dxa" w:w="2880"/>
          </w:tcPr>
          <w:p>
            <w:r>
              <w:t>❌ Behind</w:t>
            </w:r>
          </w:p>
        </w:tc>
      </w:tr>
    </w:tbl>
    <w:p>
      <w:r>
        <w:t>Layer 2: Standalone AI Tools (EPJ-Agnostic)</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Tool</w:t>
            </w:r>
          </w:p>
        </w:tc>
        <w:tc>
          <w:tcPr>
            <w:tcW w:type="dxa" w:w="1728"/>
          </w:tcPr>
          <w:p>
            <w:r>
              <w:t>Price</w:t>
            </w:r>
          </w:p>
        </w:tc>
        <w:tc>
          <w:tcPr>
            <w:tcW w:type="dxa" w:w="1728"/>
          </w:tcPr>
          <w:p>
            <w:r>
              <w:t>Integration</w:t>
            </w:r>
          </w:p>
        </w:tc>
        <w:tc>
          <w:tcPr>
            <w:tcW w:type="dxa" w:w="1728"/>
          </w:tcPr>
          <w:p>
            <w:r>
              <w:t>Data Sovereignty</w:t>
            </w:r>
          </w:p>
        </w:tc>
        <w:tc>
          <w:tcPr>
            <w:tcW w:type="dxa" w:w="1728"/>
          </w:tcPr>
          <w:p>
            <w:r>
              <w:t>CE Marked</w:t>
            </w:r>
          </w:p>
        </w:tc>
      </w:tr>
      <w:tr>
        <w:tc>
          <w:tcPr>
            <w:tcW w:type="dxa" w:w="1728"/>
          </w:tcPr>
          <w:p>
            <w:r>
              <w:t>**MediVox**</w:t>
            </w:r>
          </w:p>
        </w:tc>
        <w:tc>
          <w:tcPr>
            <w:tcW w:type="dxa" w:w="1728"/>
          </w:tcPr>
          <w:p>
            <w:r>
              <w:t>299–349 kr/mo</w:t>
            </w:r>
          </w:p>
        </w:tc>
        <w:tc>
          <w:tcPr>
            <w:tcW w:type="dxa" w:w="1728"/>
          </w:tcPr>
          <w:p>
            <w:r>
              <w:t>Copy-paste</w:t>
            </w:r>
          </w:p>
        </w:tc>
        <w:tc>
          <w:tcPr>
            <w:tcW w:type="dxa" w:w="1728"/>
          </w:tcPr>
          <w:p>
            <w:r>
              <w:t>✅ Azure Norway East + ZDR</w:t>
            </w:r>
          </w:p>
        </w:tc>
        <w:tc>
          <w:tcPr>
            <w:tcW w:type="dxa" w:w="1728"/>
          </w:tcPr>
          <w:p>
            <w:r>
              <w:t>✅ Yes</w:t>
            </w:r>
          </w:p>
        </w:tc>
      </w:tr>
      <w:tr>
        <w:tc>
          <w:tcPr>
            <w:tcW w:type="dxa" w:w="1728"/>
          </w:tcPr>
          <w:p>
            <w:r>
              <w:t>**MedBric**</w:t>
            </w:r>
          </w:p>
        </w:tc>
        <w:tc>
          <w:tcPr>
            <w:tcW w:type="dxa" w:w="1728"/>
          </w:tcPr>
          <w:p>
            <w:r>
              <w:t>1,499–2,090 kr/mo</w:t>
            </w:r>
          </w:p>
        </w:tc>
        <w:tc>
          <w:tcPr>
            <w:tcW w:type="dxa" w:w="1728"/>
          </w:tcPr>
          <w:p>
            <w:r>
              <w:t>Native in Pasientsky</w:t>
            </w:r>
          </w:p>
        </w:tc>
        <w:tc>
          <w:tcPr>
            <w:tcW w:type="dxa" w:w="1728"/>
          </w:tcPr>
          <w:p>
            <w:r>
              <w:t>Azure/AWS/Google (EU/EEA)</w:t>
            </w:r>
          </w:p>
        </w:tc>
        <w:tc>
          <w:tcPr>
            <w:tcW w:type="dxa" w:w="1728"/>
          </w:tcPr>
          <w:p>
            <w:r>
              <w:t>Not specified</w:t>
            </w:r>
          </w:p>
        </w:tc>
      </w:tr>
      <w:tr>
        <w:tc>
          <w:tcPr>
            <w:tcW w:type="dxa" w:w="1728"/>
          </w:tcPr>
          <w:p>
            <w:r>
              <w:t>**Noteless**</w:t>
            </w:r>
          </w:p>
        </w:tc>
        <w:tc>
          <w:tcPr>
            <w:tcW w:type="dxa" w:w="1728"/>
          </w:tcPr>
          <w:p>
            <w:r>
              <w:t>1,200–2,000 kr/mo</w:t>
            </w:r>
          </w:p>
        </w:tc>
        <w:tc>
          <w:tcPr>
            <w:tcW w:type="dxa" w:w="1728"/>
          </w:tcPr>
          <w:p>
            <w:r>
              <w:t>Direct WebMed only</w:t>
            </w:r>
          </w:p>
        </w:tc>
        <w:tc>
          <w:tcPr>
            <w:tcW w:type="dxa" w:w="1728"/>
          </w:tcPr>
          <w:p>
            <w:r>
              <w:t>Not disclosed</w:t>
            </w:r>
          </w:p>
        </w:tc>
        <w:tc>
          <w:tcPr>
            <w:tcW w:type="dxa" w:w="1728"/>
          </w:tcPr>
          <w:p>
            <w:r>
              <w:t>Not specified</w:t>
            </w:r>
          </w:p>
        </w:tc>
      </w:tr>
      <w:tr>
        <w:tc>
          <w:tcPr>
            <w:tcW w:type="dxa" w:w="1728"/>
          </w:tcPr>
          <w:p>
            <w:r>
              <w:t>**MaiaMD**</w:t>
            </w:r>
          </w:p>
        </w:tc>
        <w:tc>
          <w:tcPr>
            <w:tcW w:type="dxa" w:w="1728"/>
          </w:tcPr>
          <w:p>
            <w:r>
              <w:t>Variable</w:t>
            </w:r>
          </w:p>
        </w:tc>
        <w:tc>
          <w:tcPr>
            <w:tcW w:type="dxa" w:w="1728"/>
          </w:tcPr>
          <w:p>
            <w:r>
              <w:t>Standalone</w:t>
            </w:r>
          </w:p>
        </w:tc>
        <w:tc>
          <w:tcPr>
            <w:tcW w:type="dxa" w:w="1728"/>
          </w:tcPr>
          <w:p>
            <w:r>
              <w:t>24hr deletion</w:t>
            </w:r>
          </w:p>
        </w:tc>
        <w:tc>
          <w:tcPr>
            <w:tcW w:type="dxa" w:w="1728"/>
          </w:tcPr>
          <w:p>
            <w:r>
              <w:t>Not specified</w:t>
            </w:r>
          </w:p>
        </w:tc>
      </w:tr>
      <w:tr>
        <w:tc>
          <w:tcPr>
            <w:tcW w:type="dxa" w:w="1728"/>
          </w:tcPr>
          <w:p>
            <w:r>
              <w:t>~~CaiaMD~~</w:t>
            </w:r>
          </w:p>
        </w:tc>
        <w:tc>
          <w:tcPr>
            <w:tcW w:type="dxa" w:w="1728"/>
          </w:tcPr>
          <w:p>
            <w:r>
              <w:t>~~Acquired by DIPS~~</w:t>
            </w:r>
          </w:p>
        </w:tc>
        <w:tc>
          <w:tcPr>
            <w:tcW w:type="dxa" w:w="1728"/>
          </w:tcPr>
          <w:p>
            <w:r>
              <w:t>~~Withdrawn from market~~</w:t>
            </w:r>
          </w:p>
        </w:tc>
        <w:tc>
          <w:tcPr>
            <w:tcW w:type="dxa" w:w="1728"/>
          </w:tcPr>
          <w:p>
            <w:r>
              <w:t>~~N/A~~</w:t>
            </w:r>
          </w:p>
        </w:tc>
        <w:tc>
          <w:tcPr>
            <w:tcW w:type="dxa" w:w="1728"/>
          </w:tcPr>
          <w:p>
            <w:r>
              <w:t>~~N/A~~</w:t>
            </w:r>
          </w:p>
        </w:tc>
      </w:tr>
    </w:tbl>
    <w:p>
      <w:r>
        <w:t>Recommendation for Your Practice:</w:t>
      </w:r>
    </w:p>
    <w:p>
      <w:r>
        <w:t>Option A (Best Overall): EG Pasientsky + MedBric (native integration)</w:t>
      </w:r>
    </w:p>
    <w:p>
      <w:pPr>
        <w:pStyle w:val="ListBullet"/>
      </w:pPr>
      <w:r>
        <w:t>Seamless workflow</w:t>
      </w:r>
    </w:p>
    <w:p>
      <w:pPr>
        <w:pStyle w:val="ListBullet"/>
      </w:pPr>
      <w:r>
        <w:t>Higher cost but lowest friction</w:t>
      </w:r>
    </w:p>
    <w:p>
      <w:pPr>
        <w:pStyle w:val="ListBullet"/>
      </w:pPr>
      <w:r>
        <w:t>~NOK 1,500–2,000/month total</w:t>
      </w:r>
    </w:p>
    <w:p>
      <w:r>
        <w:t>Option B (Best Sovereignty): EG Pasientsky + MediVox (copy-paste)</w:t>
      </w:r>
    </w:p>
    <w:p>
      <w:pPr>
        <w:pStyle w:val="ListBullet"/>
      </w:pPr>
      <w:r>
        <w:t>Lowest cost (~NOK 900/month total)</w:t>
      </w:r>
    </w:p>
    <w:p>
      <w:pPr>
        <w:pStyle w:val="ListBullet"/>
      </w:pPr>
      <w:r>
        <w:t>Best data sovereignty (Azure Norway, ZDR agreement)</w:t>
      </w:r>
    </w:p>
    <w:p>
      <w:pPr>
        <w:pStyle w:val="ListBullet"/>
      </w:pPr>
      <w:r>
        <w:t>CE marked</w:t>
      </w:r>
    </w:p>
    <w:p>
      <w:pPr>
        <w:pStyle w:val="ListBullet"/>
      </w:pPr>
      <w:r>
        <w:t>Requires copy-paste workflow</w:t>
      </w:r>
    </w:p>
    <w:p>
      <w:r>
        <w:t>Option C (Future-Proof): EG Pasientsky native AI only</w:t>
      </w:r>
    </w:p>
    <w:p>
      <w:pPr>
        <w:pStyle w:val="ListBullet"/>
      </w:pPr>
      <w:r>
        <w:t>Lowest cost (~NOK 700/month)</w:t>
      </w:r>
    </w:p>
    <w:p>
      <w:pPr>
        <w:pStyle w:val="ListBullet"/>
      </w:pPr>
      <w:r>
        <w:t>Built-in features improving rapidly</w:t>
      </w:r>
    </w:p>
    <w:p>
      <w:pPr>
        <w:pStyle w:val="ListBullet"/>
      </w:pPr>
      <w:r>
        <w:t>May be sufficient for solo practice</w:t>
      </w:r>
    </w:p>
    <w:p>
      <w:pPr>
        <w:pStyle w:val="Heading3"/>
      </w:pPr>
      <w:r>
        <w:t>14.5 Data Sovereignty &amp; GDPR Compliance</w:t>
      </w:r>
    </w:p>
    <w:p>
      <w:r>
        <w:t>Critical Rule: When using cloud-based LLM APIs (Claude, etc.), never include patient names, ID numbers, or identifying information. Use anonymised case descriptions: "A 52-year-old male with elevated ApoB..." — not "Jørgen Hansen's results show..."</w:t>
      </w:r>
    </w:p>
    <w:p>
      <w:r>
        <w:t>Your OpenClaw stack (local Qwen 35B) can process identifiable data. Cloud APIs cannot.</w:t>
      </w:r>
    </w:p>
    <w:p>
      <w:r>
        <w:t>MediVox Advantage: Systematic pseudonymization with local key control — even if breached, data cannot be linked to patients.</w:t>
      </w:r>
    </w:p>
    <w:p>
      <w:pPr>
        <w:pStyle w:val="Heading3"/>
      </w:pPr>
      <w:r>
        <w:t>14.6 Estimated Regulatory Costs</w:t>
      </w:r>
    </w:p>
    <w:tbl>
      <w:tblPr>
        <w:tblW w:type="auto" w:w="0"/>
        <w:tblLook w:firstColumn="1" w:firstRow="1" w:lastColumn="0" w:lastRow="0" w:noHBand="0" w:noVBand="1" w:val="04A0"/>
      </w:tblPr>
      <w:tblGrid>
        <w:gridCol w:w="4320"/>
        <w:gridCol w:w="4320"/>
      </w:tblGrid>
      <w:tr>
        <w:tc>
          <w:tcPr>
            <w:tcW w:type="dxa" w:w="4320"/>
          </w:tcPr>
          <w:p>
            <w:r>
              <w:t>Cost Item</w:t>
            </w:r>
          </w:p>
        </w:tc>
        <w:tc>
          <w:tcPr>
            <w:tcW w:type="dxa" w:w="4320"/>
          </w:tcPr>
          <w:p>
            <w:r>
              <w:t>Annual Amount</w:t>
            </w:r>
          </w:p>
        </w:tc>
      </w:tr>
      <w:tr>
        <w:tc>
          <w:tcPr>
            <w:tcW w:type="dxa" w:w="4320"/>
          </w:tcPr>
          <w:p>
            <w:r>
              <w:t>NPE tilskudd (20% FTE example)</w:t>
            </w:r>
          </w:p>
        </w:tc>
        <w:tc>
          <w:tcPr>
            <w:tcW w:type="dxa" w:w="4320"/>
          </w:tcPr>
          <w:p>
            <w:r>
              <w:t>~NOK 1,000–2,500</w:t>
            </w:r>
          </w:p>
        </w:tc>
      </w:tr>
      <w:tr>
        <w:tc>
          <w:tcPr>
            <w:tcW w:type="dxa" w:w="4320"/>
          </w:tcPr>
          <w:p>
            <w:r>
              <w:t>EPJ system (EG Pasientsky)</w:t>
            </w:r>
          </w:p>
        </w:tc>
        <w:tc>
          <w:tcPr>
            <w:tcW w:type="dxa" w:w="4320"/>
          </w:tcPr>
          <w:p>
            <w:r>
              <w:t>~NOK 6,700–9,000</w:t>
            </w:r>
          </w:p>
        </w:tc>
      </w:tr>
      <w:tr>
        <w:tc>
          <w:tcPr>
            <w:tcW w:type="dxa" w:w="4320"/>
          </w:tcPr>
          <w:p>
            <w:r>
              <w:t>AI documentation (optional)</w:t>
            </w:r>
          </w:p>
        </w:tc>
        <w:tc>
          <w:tcPr>
            <w:tcW w:type="dxa" w:w="4320"/>
          </w:tcPr>
          <w:p>
            <w:r>
              <w:t>~NOK 3,600–25,000</w:t>
            </w:r>
          </w:p>
        </w:tc>
      </w:tr>
      <w:tr>
        <w:tc>
          <w:tcPr>
            <w:tcW w:type="dxa" w:w="4320"/>
          </w:tcPr>
          <w:p>
            <w:r>
              <w:t>**Total regulatory/IT**</w:t>
            </w:r>
          </w:p>
        </w:tc>
        <w:tc>
          <w:tcPr>
            <w:tcW w:type="dxa" w:w="4320"/>
          </w:tcPr>
          <w:p>
            <w:r>
              <w:t>**~NOK 11,000–36,500/year**</w:t>
            </w:r>
          </w:p>
        </w:tc>
      </w:tr>
    </w:tbl>
    <w:p>
      <w:r>
        <w:t>__________________________________________________</w:t>
      </w:r>
    </w:p>
    <w:p>
      <w:r>
        <w:t>Din Personlige Helsesjef  |  Oslo Concierge GP  |  CONFIDENTIAL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