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A1A1A"/>
          <w:sz w:val="60"/>
        </w:rPr>
        <w:t>DIN PERSONLIGE HELSESJEF</w:t>
      </w:r>
    </w:p>
    <w:p/>
    <w:p>
      <w:pPr>
        <w:jc w:val="center"/>
      </w:pPr>
      <w:r>
        <w:rPr>
          <w:rFonts w:ascii="Calibri" w:hAnsi="Calibri"/>
          <w:b w:val="0"/>
          <w:i w:val="0"/>
          <w:color w:val="333333"/>
          <w:sz w:val="36"/>
        </w:rPr>
        <w:t>Oslo Concierge GP</w:t>
      </w:r>
    </w:p>
    <w:p/>
    <w:p>
      <w:pPr>
        <w:jc w:val="center"/>
      </w:pPr>
      <w:r>
        <w:rPr>
          <w:rFonts w:ascii="Calibri" w:hAnsi="Calibri"/>
          <w:b w:val="0"/>
          <w:i/>
          <w:color w:val="555555"/>
          <w:sz w:val="26"/>
        </w:rPr>
        <w:t>Full Business Plan &amp; Implementation Roadmap</w:t>
      </w:r>
    </w:p>
    <w:p/>
    <w:p>
      <w:pPr>
        <w:jc w:val="center"/>
      </w:pPr>
      <w:r>
        <w:rPr>
          <w:rFonts w:ascii="Calibri" w:hAnsi="Calibri"/>
          <w:b w:val="0"/>
          <w:i/>
          <w:color w:val="666666"/>
          <w:sz w:val="22"/>
        </w:rPr>
        <w:t>AI-Powered Personalised Private Medical Practice for Oslo Executives</w:t>
      </w:r>
    </w:p>
    <w:p/>
    <w:p/>
    <w:p/>
    <w:p/>
    <w:p>
      <w:pPr>
        <w:jc w:val="center"/>
      </w:pPr>
      <w:r>
        <w:rPr>
          <w:rFonts w:ascii="Calibri" w:hAnsi="Calibri"/>
          <w:b w:val="0"/>
          <w:i w:val="0"/>
          <w:color w:val="888888"/>
          <w:sz w:val="18"/>
        </w:rPr>
        <w:t>Version 2S  |  March 2026  |  CONFIDENTIAL</w:t>
      </w:r>
    </w:p>
    <w:p>
      <w:r>
        <w:br w:type="page"/>
      </w:r>
    </w:p>
    <w:p>
      <w:pPr>
        <w:pStyle w:val="Heading1"/>
      </w:pPr>
      <w:r>
        <w:rPr>
          <w:rFonts w:ascii="Calibri" w:hAnsi="Calibri"/>
          <w:color w:val="1A1A1A"/>
        </w:rPr>
        <w:t>1. Executive Summary</w:t>
      </w:r>
    </w:p>
    <w:p>
      <w:r>
        <w:rPr>
          <w:rFonts w:ascii="Calibri" w:hAnsi="Calibri"/>
          <w:b w:val="0"/>
          <w:i/>
          <w:sz w:val="21"/>
        </w:rPr>
        <w:t>Din Personlige Helsesjef</w:t>
      </w:r>
      <w:r>
        <w:rPr>
          <w:rFonts w:ascii="Calibri" w:hAnsi="Calibri"/>
          <w:b w:val="0"/>
          <w:i w:val="0"/>
          <w:sz w:val="21"/>
        </w:rPr>
        <w:t xml:space="preserve"> — 'Your Personal Health Chief' — is Norway's first AI-native concierge GP practice, designed to serve Oslo's executive market with proactive, personalised, data-driven healthcare that the Norwegian public system is structurally incapable of providing.</w:t>
      </w:r>
    </w:p>
    <w:p>
      <w:r>
        <w:rPr>
          <w:rFonts w:ascii="Calibri" w:hAnsi="Calibri"/>
          <w:b w:val="0"/>
          <w:i w:val="0"/>
          <w:sz w:val="21"/>
        </w:rPr>
        <w:t>The practice operates on a monthly membership model with three tiers (NOK 2,500 / 5,000 / 10,000 per month), targeting a panel of 50–100 members. At full capacity, the practice generates NOK 3–6 million in annual recurring revenue at net margins of 70–80% — comparable to the best consulting or legal practices in Oslo.</w:t>
      </w:r>
    </w:p>
    <w:p>
      <w:r>
        <w:rPr>
          <w:rFonts w:ascii="Calibri" w:hAnsi="Calibri"/>
          <w:b w:val="0"/>
          <w:i w:val="0"/>
          <w:sz w:val="21"/>
        </w:rPr>
        <w:t>The core innovation is not the service concept itself — concierge medicine is a proven global model — but the AI infrastructure layer that makes it operationally viable for a single physician. Built on locally-hosted, GDPR-compliant AI (OpenClaw on Mac Mini M4), it automates the cognitive overhead that typically requires an entire support team: between-visit monitoring, pre-consultation briefings, lab result interpretation, protocol management, and proactive member outreach. The physician focuses on the high-value clinical relationship. The AI handles everything else.</w:t>
      </w:r>
    </w:p>
    <w:p>
      <w:r>
        <w:rPr>
          <w:rFonts w:ascii="Calibri" w:hAnsi="Calibri"/>
          <w:b w:val="0"/>
          <w:i/>
          <w:sz w:val="21"/>
        </w:rPr>
        <w:t>This is not a technology startup. It is a medical practice — one powered by the most sophisticated personal AI infrastructure in Norway today.</w:t>
      </w:r>
    </w:p>
    <w:p/>
    <w:p>
      <w:pPr>
        <w:pStyle w:val="Heading2"/>
      </w:pPr>
      <w:r>
        <w:rPr>
          <w:rFonts w:ascii="Calibri" w:hAnsi="Calibri"/>
          <w:color w:val="1A1A1A"/>
        </w:rPr>
        <w:t>Key Metrics at Full Operation</w:t>
      </w:r>
    </w:p>
    <w:tbl>
      <w:tblPr>
        <w:tblStyle w:val="LightGrid-Accent1"/>
        <w:tblW w:type="auto" w:w="0"/>
        <w:tblLook w:firstColumn="1" w:firstRow="1" w:lastColumn="0" w:lastRow="0" w:noHBand="0" w:noVBand="1" w:val="04A0"/>
      </w:tblPr>
      <w:tblGrid>
        <w:gridCol w:w="4536"/>
        <w:gridCol w:w="4536"/>
      </w:tblGrid>
      <w:tr>
        <w:tc>
          <w:tcPr>
            <w:tcW w:type="dxa" w:w="4536"/>
          </w:tcPr>
          <w:p>
            <w:r>
              <w:rPr>
                <w:rFonts w:ascii="Calibri" w:hAnsi="Calibri"/>
                <w:b/>
              </w:rPr>
              <w:t>Metric</w:t>
            </w:r>
          </w:p>
        </w:tc>
        <w:tc>
          <w:tcPr>
            <w:tcW w:type="dxa" w:w="4536"/>
          </w:tcPr>
          <w:p>
            <w:r>
              <w:rPr>
                <w:rFonts w:ascii="Calibri" w:hAnsi="Calibri"/>
                <w:b/>
              </w:rPr>
              <w:t>Value</w:t>
            </w:r>
          </w:p>
        </w:tc>
      </w:tr>
      <w:tr>
        <w:tc>
          <w:tcPr>
            <w:tcW w:type="dxa" w:w="4536"/>
          </w:tcPr>
          <w:p>
            <w:r>
              <w:rPr>
                <w:rFonts w:ascii="Calibri" w:hAnsi="Calibri"/>
              </w:rPr>
              <w:t>Annual Recurring Revenue</w:t>
            </w:r>
          </w:p>
        </w:tc>
        <w:tc>
          <w:tcPr>
            <w:tcW w:type="dxa" w:w="4536"/>
          </w:tcPr>
          <w:p>
            <w:r>
              <w:rPr>
                <w:rFonts w:ascii="Calibri" w:hAnsi="Calibri"/>
              </w:rPr>
              <w:t>NOK 6,000,000</w:t>
            </w:r>
          </w:p>
        </w:tc>
      </w:tr>
      <w:tr>
        <w:tc>
          <w:tcPr>
            <w:tcW w:type="dxa" w:w="4536"/>
          </w:tcPr>
          <w:p>
            <w:r>
              <w:rPr>
                <w:rFonts w:ascii="Calibri" w:hAnsi="Calibri"/>
              </w:rPr>
              <w:t>Estimated Net Margin</w:t>
            </w:r>
          </w:p>
        </w:tc>
        <w:tc>
          <w:tcPr>
            <w:tcW w:type="dxa" w:w="4536"/>
          </w:tcPr>
          <w:p>
            <w:r>
              <w:rPr>
                <w:rFonts w:ascii="Calibri" w:hAnsi="Calibri"/>
              </w:rPr>
              <w:t>70–80%</w:t>
            </w:r>
          </w:p>
        </w:tc>
      </w:tr>
      <w:tr>
        <w:tc>
          <w:tcPr>
            <w:tcW w:type="dxa" w:w="4536"/>
          </w:tcPr>
          <w:p>
            <w:r>
              <w:rPr>
                <w:rFonts w:ascii="Calibri" w:hAnsi="Calibri"/>
              </w:rPr>
              <w:t>Panel Size</w:t>
            </w:r>
          </w:p>
        </w:tc>
        <w:tc>
          <w:tcPr>
            <w:tcW w:type="dxa" w:w="4536"/>
          </w:tcPr>
          <w:p>
            <w:r>
              <w:rPr>
                <w:rFonts w:ascii="Calibri" w:hAnsi="Calibri"/>
              </w:rPr>
              <w:t>50–100 members  (vs. 1,100+ for a standard fastlege)</w:t>
            </w:r>
          </w:p>
        </w:tc>
      </w:tr>
      <w:tr>
        <w:tc>
          <w:tcPr>
            <w:tcW w:type="dxa" w:w="4536"/>
          </w:tcPr>
          <w:p>
            <w:r>
              <w:rPr>
                <w:rFonts w:ascii="Calibri" w:hAnsi="Calibri"/>
              </w:rPr>
              <w:t>Time Commitment</w:t>
            </w:r>
          </w:p>
        </w:tc>
        <w:tc>
          <w:tcPr>
            <w:tcW w:type="dxa" w:w="4536"/>
          </w:tcPr>
          <w:p>
            <w:r>
              <w:rPr>
                <w:rFonts w:ascii="Calibri" w:hAnsi="Calibri"/>
              </w:rPr>
              <w:t>3–4 clinical days/week</w:t>
            </w:r>
          </w:p>
        </w:tc>
      </w:tr>
      <w:tr>
        <w:tc>
          <w:tcPr>
            <w:tcW w:type="dxa" w:w="4536"/>
          </w:tcPr>
          <w:p>
            <w:r>
              <w:rPr>
                <w:rFonts w:ascii="Calibri" w:hAnsi="Calibri"/>
              </w:rPr>
              <w:t>Break-even</w:t>
            </w:r>
          </w:p>
        </w:tc>
        <w:tc>
          <w:tcPr>
            <w:tcW w:type="dxa" w:w="4536"/>
          </w:tcPr>
          <w:p>
            <w:r>
              <w:rPr>
                <w:rFonts w:ascii="Calibri" w:hAnsi="Calibri"/>
              </w:rPr>
              <w:t>~15 members  (NOK 900,000–1,125,000/year)</w:t>
            </w:r>
          </w:p>
        </w:tc>
      </w:tr>
      <w:tr>
        <w:tc>
          <w:tcPr>
            <w:tcW w:type="dxa" w:w="4536"/>
          </w:tcPr>
          <w:p>
            <w:r>
              <w:rPr>
                <w:rFonts w:ascii="Calibri" w:hAnsi="Calibri"/>
              </w:rPr>
              <w:t>Launch Timeline</w:t>
            </w:r>
          </w:p>
        </w:tc>
        <w:tc>
          <w:tcPr>
            <w:tcW w:type="dxa" w:w="4536"/>
          </w:tcPr>
          <w:p>
            <w:r>
              <w:rPr>
                <w:rFonts w:ascii="Calibri" w:hAnsi="Calibri"/>
              </w:rPr>
              <w:t>First paying members within 60–90 days</w:t>
            </w:r>
          </w:p>
        </w:tc>
      </w:tr>
    </w:tbl>
    <w:p>
      <w:r>
        <w:br w:type="page"/>
      </w:r>
    </w:p>
    <w:p>
      <w:pPr>
        <w:pStyle w:val="Heading1"/>
      </w:pPr>
      <w:r>
        <w:rPr>
          <w:rFonts w:ascii="Calibri" w:hAnsi="Calibri"/>
          <w:color w:val="1A1A1A"/>
        </w:rPr>
        <w:t>2. The Market Opportunity</w:t>
      </w:r>
    </w:p>
    <w:p>
      <w:pPr>
        <w:pStyle w:val="Heading2"/>
      </w:pPr>
      <w:r>
        <w:rPr>
          <w:rFonts w:ascii="Calibri" w:hAnsi="Calibri"/>
          <w:color w:val="1A1A1A"/>
        </w:rPr>
        <w:t>2.1  A Structural Failure at the Top End</w:t>
      </w:r>
    </w:p>
    <w:p>
      <w:r>
        <w:rPr>
          <w:rFonts w:ascii="Calibri" w:hAnsi="Calibri"/>
          <w:b w:val="0"/>
          <w:i w:val="0"/>
          <w:sz w:val="21"/>
        </w:rPr>
        <w:t>The Norwegian fastlege system was designed for coverage, not for quality at the executive level. The average fastlege manages 1,100+ patients, delivers 10-minute consultations, has no infrastructure for between-visit contact, and operates almost entirely reactively — treating illness when it arrives rather than preventing or optimising health.</w:t>
      </w:r>
    </w:p>
    <w:p>
      <w:r>
        <w:rPr>
          <w:rFonts w:ascii="Calibri" w:hAnsi="Calibri"/>
          <w:b w:val="0"/>
          <w:i w:val="0"/>
          <w:sz w:val="21"/>
        </w:rPr>
        <w:t>Oslo's executive class experiences this as a jarring contrast to every other premium service in their life. These are people who apply data-driven thinking to every corner of their professional existence. They have personal trainers with biometric programmes, financial advisors who know their complete picture, lawyers on retainer, executive coaches. Their health — often their most valuable asset — gets a 10-minute appointment every few years.</w:t>
      </w:r>
    </w:p>
    <w:p>
      <w:r>
        <w:rPr>
          <w:rFonts w:ascii="Calibri" w:hAnsi="Calibri"/>
          <w:b/>
          <w:i w:val="0"/>
          <w:sz w:val="21"/>
        </w:rPr>
        <w:t>The problem is not access to emergency care. It is the complete absence of a long-term, proactive, personalised health relationship. That product does not exist in Norway. This practice creates it.</w:t>
      </w:r>
    </w:p>
    <w:p/>
    <w:p>
      <w:pPr>
        <w:pStyle w:val="Heading2"/>
      </w:pPr>
      <w:r>
        <w:rPr>
          <w:rFonts w:ascii="Calibri" w:hAnsi="Calibri"/>
          <w:color w:val="1A1A1A"/>
        </w:rPr>
        <w:t>2.2  Target Market</w:t>
      </w:r>
    </w:p>
    <w:p>
      <w:r>
        <w:rPr>
          <w:rFonts w:ascii="Calibri" w:hAnsi="Calibri"/>
          <w:b w:val="0"/>
          <w:i w:val="0"/>
          <w:sz w:val="21"/>
        </w:rPr>
        <w:t>The ideal member is 38–58, earning NOK 2M+ household income, already investing in premium wellness, and frustrated by the public system's inability to know them as an individual:</w:t>
      </w:r>
    </w:p>
    <w:p>
      <w:pPr>
        <w:pStyle w:val="ListBullet"/>
      </w:pPr>
      <w:r>
        <w:rPr>
          <w:rFonts w:ascii="Calibri" w:hAnsi="Calibri"/>
          <w:b w:val="0"/>
          <w:i w:val="0"/>
          <w:sz w:val="21"/>
        </w:rPr>
        <w:t>Partners and senior associates at Oslo law, finance, and consulting firms</w:t>
      </w:r>
    </w:p>
    <w:p>
      <w:pPr>
        <w:pStyle w:val="ListBullet"/>
      </w:pPr>
      <w:r>
        <w:rPr>
          <w:rFonts w:ascii="Calibri" w:hAnsi="Calibri"/>
          <w:b w:val="0"/>
          <w:i w:val="0"/>
          <w:sz w:val="21"/>
        </w:rPr>
        <w:t>C-suite and senior executives at Equinor, DNB, Statkraft, Kongsberg, Aker, and comparable companies</w:t>
      </w:r>
    </w:p>
    <w:p>
      <w:pPr>
        <w:pStyle w:val="ListBullet"/>
      </w:pPr>
      <w:r>
        <w:rPr>
          <w:rFonts w:ascii="Calibri" w:hAnsi="Calibri"/>
          <w:b w:val="0"/>
          <w:i w:val="0"/>
          <w:sz w:val="21"/>
        </w:rPr>
        <w:t>Senior management at PE/VC funds and Oslo-based family offices</w:t>
      </w:r>
    </w:p>
    <w:p>
      <w:pPr>
        <w:pStyle w:val="ListBullet"/>
      </w:pPr>
      <w:r>
        <w:rPr>
          <w:rFonts w:ascii="Calibri" w:hAnsi="Calibri"/>
          <w:b w:val="0"/>
          <w:i w:val="0"/>
          <w:sz w:val="21"/>
        </w:rPr>
        <w:t>Successful founders and tech entrepreneurs</w:t>
      </w:r>
    </w:p>
    <w:p>
      <w:pPr>
        <w:pStyle w:val="ListBullet"/>
      </w:pPr>
      <w:r>
        <w:rPr>
          <w:rFonts w:ascii="Calibri" w:hAnsi="Calibri"/>
          <w:b w:val="0"/>
          <w:i w:val="0"/>
          <w:sz w:val="21"/>
        </w:rPr>
        <w:t>High-income expats in senior Oslo roles</w:t>
      </w:r>
    </w:p>
    <w:p>
      <w:pPr>
        <w:pStyle w:val="ListBullet"/>
      </w:pPr>
      <w:r>
        <w:rPr>
          <w:rFonts w:ascii="Calibri" w:hAnsi="Calibri"/>
          <w:b w:val="0"/>
          <w:i w:val="0"/>
          <w:sz w:val="21"/>
        </w:rPr>
        <w:t>Professionals already spending on Oura rings, nutritionists, and personal trainers</w:t>
      </w:r>
    </w:p>
    <w:p/>
    <w:p>
      <w:pPr>
        <w:pStyle w:val="Heading2"/>
      </w:pPr>
      <w:r>
        <w:rPr>
          <w:rFonts w:ascii="Calibri" w:hAnsi="Calibri"/>
          <w:color w:val="1A1A1A"/>
        </w:rPr>
        <w:t>2.3  Market Size</w:t>
      </w:r>
    </w:p>
    <w:p>
      <w:r>
        <w:rPr>
          <w:rFonts w:ascii="Calibri" w:hAnsi="Calibri"/>
          <w:b w:val="0"/>
          <w:i w:val="0"/>
          <w:sz w:val="21"/>
        </w:rPr>
        <w:t>Oslo has ~700,000 inhabitants. An estimated 15,000–25,000 fit the executive profile. Reaching 100 members is less than 0.7% penetration — achievable through personal network outreach alone in Year 1.</w:t>
      </w:r>
    </w:p>
    <w:p/>
    <w:p>
      <w:pPr>
        <w:pStyle w:val="Heading2"/>
      </w:pPr>
      <w:r>
        <w:rPr>
          <w:rFonts w:ascii="Calibri" w:hAnsi="Calibri"/>
          <w:color w:val="1A1A1A"/>
        </w:rPr>
        <w:t>2.4  Global Validation &amp; International Analogues</w:t>
      </w:r>
    </w:p>
    <w:p>
      <w:r>
        <w:rPr>
          <w:rFonts w:ascii="Calibri" w:hAnsi="Calibri"/>
          <w:b w:val="0"/>
          <w:i w:val="0"/>
          <w:sz w:val="21"/>
        </w:rPr>
        <w:t>Concierge medicine is proven and fast-growing globally — USD 20.5B in 2025, projected USD 44.3B by 2034. What is new — and absent in Norway — is the combination of concierge medicine with locally-hosted AI infrastructure.</w:t>
      </w:r>
    </w:p>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rFonts w:ascii="Calibri" w:hAnsi="Calibri"/>
                <w:b/>
              </w:rPr>
              <w:t>Practice</w:t>
            </w:r>
          </w:p>
        </w:tc>
        <w:tc>
          <w:tcPr>
            <w:tcW w:type="dxa" w:w="1814"/>
          </w:tcPr>
          <w:p>
            <w:r>
              <w:rPr>
                <w:rFonts w:ascii="Calibri" w:hAnsi="Calibri"/>
                <w:b/>
              </w:rPr>
              <w:t>Location</w:t>
            </w:r>
          </w:p>
        </w:tc>
        <w:tc>
          <w:tcPr>
            <w:tcW w:type="dxa" w:w="1814"/>
          </w:tcPr>
          <w:p>
            <w:r>
              <w:rPr>
                <w:rFonts w:ascii="Calibri" w:hAnsi="Calibri"/>
                <w:b/>
              </w:rPr>
              <w:t>Pricing</w:t>
            </w:r>
          </w:p>
        </w:tc>
        <w:tc>
          <w:tcPr>
            <w:tcW w:type="dxa" w:w="1814"/>
          </w:tcPr>
          <w:p>
            <w:r>
              <w:rPr>
                <w:rFonts w:ascii="Calibri" w:hAnsi="Calibri"/>
                <w:b/>
              </w:rPr>
              <w:t>Model</w:t>
            </w:r>
          </w:p>
        </w:tc>
        <w:tc>
          <w:tcPr>
            <w:tcW w:type="dxa" w:w="1814"/>
          </w:tcPr>
          <w:p>
            <w:r>
              <w:rPr>
                <w:rFonts w:ascii="Calibri" w:hAnsi="Calibri"/>
                <w:b/>
              </w:rPr>
              <w:t>Key Insight</w:t>
            </w:r>
          </w:p>
        </w:tc>
      </w:tr>
      <w:tr>
        <w:tc>
          <w:tcPr>
            <w:tcW w:type="dxa" w:w="1814"/>
          </w:tcPr>
          <w:p>
            <w:r>
              <w:rPr>
                <w:rFonts w:ascii="Calibri" w:hAnsi="Calibri"/>
              </w:rPr>
              <w:t>MDVIP</w:t>
            </w:r>
          </w:p>
        </w:tc>
        <w:tc>
          <w:tcPr>
            <w:tcW w:type="dxa" w:w="1814"/>
          </w:tcPr>
          <w:p>
            <w:r>
              <w:rPr>
                <w:rFonts w:ascii="Calibri" w:hAnsi="Calibri"/>
              </w:rPr>
              <w:t>USA</w:t>
            </w:r>
          </w:p>
        </w:tc>
        <w:tc>
          <w:tcPr>
            <w:tcW w:type="dxa" w:w="1814"/>
          </w:tcPr>
          <w:p>
            <w:r>
              <w:rPr>
                <w:rFonts w:ascii="Calibri" w:hAnsi="Calibri"/>
              </w:rPr>
              <w:t>USD 1,800–3,000/yr</w:t>
            </w:r>
          </w:p>
        </w:tc>
        <w:tc>
          <w:tcPr>
            <w:tcW w:type="dxa" w:w="1814"/>
          </w:tcPr>
          <w:p>
            <w:r>
              <w:rPr>
                <w:rFonts w:ascii="Calibri" w:hAnsi="Calibri"/>
              </w:rPr>
              <w:t>Network of 1,100+ GPs, ~600 patients/doctor</w:t>
            </w:r>
          </w:p>
        </w:tc>
        <w:tc>
          <w:tcPr>
            <w:tcW w:type="dxa" w:w="1814"/>
          </w:tcPr>
          <w:p>
            <w:r>
              <w:rPr>
                <w:rFonts w:ascii="Calibri" w:hAnsi="Calibri"/>
              </w:rPr>
              <w:t>Proven at scale — premium over public care</w:t>
            </w:r>
          </w:p>
        </w:tc>
      </w:tr>
      <w:tr>
        <w:tc>
          <w:tcPr>
            <w:tcW w:type="dxa" w:w="1814"/>
          </w:tcPr>
          <w:p>
            <w:r>
              <w:rPr>
                <w:rFonts w:ascii="Calibri" w:hAnsi="Calibri"/>
              </w:rPr>
              <w:t>Parsley Health</w:t>
            </w:r>
          </w:p>
        </w:tc>
        <w:tc>
          <w:tcPr>
            <w:tcW w:type="dxa" w:w="1814"/>
          </w:tcPr>
          <w:p>
            <w:r>
              <w:rPr>
                <w:rFonts w:ascii="Calibri" w:hAnsi="Calibri"/>
              </w:rPr>
              <w:t>USA/UK</w:t>
            </w:r>
          </w:p>
        </w:tc>
        <w:tc>
          <w:tcPr>
            <w:tcW w:type="dxa" w:w="1814"/>
          </w:tcPr>
          <w:p>
            <w:r>
              <w:rPr>
                <w:rFonts w:ascii="Calibri" w:hAnsi="Calibri"/>
              </w:rPr>
              <w:t>USD 150–250/mo</w:t>
            </w:r>
          </w:p>
        </w:tc>
        <w:tc>
          <w:tcPr>
            <w:tcW w:type="dxa" w:w="1814"/>
          </w:tcPr>
          <w:p>
            <w:r>
              <w:rPr>
                <w:rFonts w:ascii="Calibri" w:hAnsi="Calibri"/>
              </w:rPr>
              <w:t>Functional medicine + health coaching</w:t>
            </w:r>
          </w:p>
        </w:tc>
        <w:tc>
          <w:tcPr>
            <w:tcW w:type="dxa" w:w="1814"/>
          </w:tcPr>
          <w:p>
            <w:r>
              <w:rPr>
                <w:rFonts w:ascii="Calibri" w:hAnsi="Calibri"/>
              </w:rPr>
              <w:t>Closest analogue — data-driven, preventive</w:t>
            </w:r>
          </w:p>
        </w:tc>
      </w:tr>
      <w:tr>
        <w:tc>
          <w:tcPr>
            <w:tcW w:type="dxa" w:w="1814"/>
          </w:tcPr>
          <w:p>
            <w:r>
              <w:rPr>
                <w:rFonts w:ascii="Calibri" w:hAnsi="Calibri"/>
              </w:rPr>
              <w:t>One Medical</w:t>
            </w:r>
          </w:p>
        </w:tc>
        <w:tc>
          <w:tcPr>
            <w:tcW w:type="dxa" w:w="1814"/>
          </w:tcPr>
          <w:p>
            <w:r>
              <w:rPr>
                <w:rFonts w:ascii="Calibri" w:hAnsi="Calibri"/>
              </w:rPr>
              <w:t>USA</w:t>
            </w:r>
          </w:p>
        </w:tc>
        <w:tc>
          <w:tcPr>
            <w:tcW w:type="dxa" w:w="1814"/>
          </w:tcPr>
          <w:p>
            <w:r>
              <w:rPr>
                <w:rFonts w:ascii="Calibri" w:hAnsi="Calibri"/>
              </w:rPr>
              <w:t>USD 199/yr + insurance</w:t>
            </w:r>
          </w:p>
        </w:tc>
        <w:tc>
          <w:tcPr>
            <w:tcW w:type="dxa" w:w="1814"/>
          </w:tcPr>
          <w:p>
            <w:r>
              <w:rPr>
                <w:rFonts w:ascii="Calibri" w:hAnsi="Calibri"/>
              </w:rPr>
              <w:t>App-based, now Amazon-owned</w:t>
            </w:r>
          </w:p>
        </w:tc>
        <w:tc>
          <w:tcPr>
            <w:tcW w:type="dxa" w:w="1814"/>
          </w:tcPr>
          <w:p>
            <w:r>
              <w:rPr>
                <w:rFonts w:ascii="Calibri" w:hAnsi="Calibri"/>
              </w:rPr>
              <w:t>Tech integration at volume; validates market</w:t>
            </w:r>
          </w:p>
        </w:tc>
      </w:tr>
      <w:tr>
        <w:tc>
          <w:tcPr>
            <w:tcW w:type="dxa" w:w="1814"/>
          </w:tcPr>
          <w:p>
            <w:r>
              <w:rPr>
                <w:rFonts w:ascii="Calibri" w:hAnsi="Calibri"/>
              </w:rPr>
              <w:t>Lanserhof</w:t>
            </w:r>
          </w:p>
        </w:tc>
        <w:tc>
          <w:tcPr>
            <w:tcW w:type="dxa" w:w="1814"/>
          </w:tcPr>
          <w:p>
            <w:r>
              <w:rPr>
                <w:rFonts w:ascii="Calibri" w:hAnsi="Calibri"/>
              </w:rPr>
              <w:t>Germany/Austria/UK</w:t>
            </w:r>
          </w:p>
        </w:tc>
        <w:tc>
          <w:tcPr>
            <w:tcW w:type="dxa" w:w="1814"/>
          </w:tcPr>
          <w:p>
            <w:r>
              <w:rPr>
                <w:rFonts w:ascii="Calibri" w:hAnsi="Calibri"/>
              </w:rPr>
              <w:t>EUR 500–1,500/day</w:t>
            </w:r>
          </w:p>
        </w:tc>
        <w:tc>
          <w:tcPr>
            <w:tcW w:type="dxa" w:w="1814"/>
          </w:tcPr>
          <w:p>
            <w:r>
              <w:rPr>
                <w:rFonts w:ascii="Calibri" w:hAnsi="Calibri"/>
              </w:rPr>
              <w:t>Longevity resort, executive clientele</w:t>
            </w:r>
          </w:p>
        </w:tc>
        <w:tc>
          <w:tcPr>
            <w:tcW w:type="dxa" w:w="1814"/>
          </w:tcPr>
          <w:p>
            <w:r>
              <w:rPr>
                <w:rFonts w:ascii="Calibri" w:hAnsi="Calibri"/>
              </w:rPr>
              <w:t>Validates executive appetite for premium health</w:t>
            </w:r>
          </w:p>
        </w:tc>
      </w:tr>
      <w:tr>
        <w:tc>
          <w:tcPr>
            <w:tcW w:type="dxa" w:w="1814"/>
          </w:tcPr>
          <w:p>
            <w:r>
              <w:rPr>
                <w:rFonts w:ascii="Calibri" w:hAnsi="Calibri"/>
              </w:rPr>
              <w:t>PrivateDoc / Concierge GP</w:t>
            </w:r>
          </w:p>
        </w:tc>
        <w:tc>
          <w:tcPr>
            <w:tcW w:type="dxa" w:w="1814"/>
          </w:tcPr>
          <w:p>
            <w:r>
              <w:rPr>
                <w:rFonts w:ascii="Calibri" w:hAnsi="Calibri"/>
              </w:rPr>
              <w:t>UK (London)</w:t>
            </w:r>
          </w:p>
        </w:tc>
        <w:tc>
          <w:tcPr>
            <w:tcW w:type="dxa" w:w="1814"/>
          </w:tcPr>
          <w:p>
            <w:r>
              <w:rPr>
                <w:rFonts w:ascii="Calibri" w:hAnsi="Calibri"/>
              </w:rPr>
              <w:t>GBP 3,000–12,000/yr</w:t>
            </w:r>
          </w:p>
        </w:tc>
        <w:tc>
          <w:tcPr>
            <w:tcW w:type="dxa" w:w="1814"/>
          </w:tcPr>
          <w:p>
            <w:r>
              <w:rPr>
                <w:rFonts w:ascii="Calibri" w:hAnsi="Calibri"/>
              </w:rPr>
              <w:t>Boutique solo GP practices</w:t>
            </w:r>
          </w:p>
        </w:tc>
        <w:tc>
          <w:tcPr>
            <w:tcW w:type="dxa" w:w="1814"/>
          </w:tcPr>
          <w:p>
            <w:r>
              <w:rPr>
                <w:rFonts w:ascii="Calibri" w:hAnsi="Calibri"/>
              </w:rPr>
              <w:t>Closest structural analogue to Oslo model</w:t>
            </w:r>
          </w:p>
        </w:tc>
      </w:tr>
      <w:tr>
        <w:tc>
          <w:tcPr>
            <w:tcW w:type="dxa" w:w="1814"/>
          </w:tcPr>
          <w:p>
            <w:r>
              <w:rPr>
                <w:rFonts w:ascii="Calibri" w:hAnsi="Calibri"/>
              </w:rPr>
              <w:t>Coa / Nemo Health</w:t>
            </w:r>
          </w:p>
        </w:tc>
        <w:tc>
          <w:tcPr>
            <w:tcW w:type="dxa" w:w="1814"/>
          </w:tcPr>
          <w:p>
            <w:r>
              <w:rPr>
                <w:rFonts w:ascii="Calibri" w:hAnsi="Calibri"/>
              </w:rPr>
              <w:t>Scandinavia</w:t>
            </w:r>
          </w:p>
        </w:tc>
        <w:tc>
          <w:tcPr>
            <w:tcW w:type="dxa" w:w="1814"/>
          </w:tcPr>
          <w:p>
            <w:r>
              <w:rPr>
                <w:rFonts w:ascii="Calibri" w:hAnsi="Calibri"/>
              </w:rPr>
              <w:t>NOK 600–1,500/mo</w:t>
            </w:r>
          </w:p>
        </w:tc>
        <w:tc>
          <w:tcPr>
            <w:tcW w:type="dxa" w:w="1814"/>
          </w:tcPr>
          <w:p>
            <w:r>
              <w:rPr>
                <w:rFonts w:ascii="Calibri" w:hAnsi="Calibri"/>
              </w:rPr>
              <w:t>Digital primary care, limited relationship</w:t>
            </w:r>
          </w:p>
        </w:tc>
        <w:tc>
          <w:tcPr>
            <w:tcW w:type="dxa" w:w="1814"/>
          </w:tcPr>
          <w:p>
            <w:r>
              <w:rPr>
                <w:rFonts w:ascii="Calibri" w:hAnsi="Calibri"/>
              </w:rPr>
              <w:t>Proves Norwegian willingness to pay</w:t>
            </w:r>
          </w:p>
        </w:tc>
      </w:tr>
      <w:tr>
        <w:tc>
          <w:tcPr>
            <w:tcW w:type="dxa" w:w="1814"/>
          </w:tcPr>
          <w:p>
            <w:r>
              <w:rPr>
                <w:rFonts w:ascii="Calibri" w:hAnsi="Calibri"/>
              </w:rPr>
              <w:t>Aleris / Volvat</w:t>
            </w:r>
          </w:p>
        </w:tc>
        <w:tc>
          <w:tcPr>
            <w:tcW w:type="dxa" w:w="1814"/>
          </w:tcPr>
          <w:p>
            <w:r>
              <w:rPr>
                <w:rFonts w:ascii="Calibri" w:hAnsi="Calibri"/>
              </w:rPr>
              <w:t>Norway</w:t>
            </w:r>
          </w:p>
        </w:tc>
        <w:tc>
          <w:tcPr>
            <w:tcW w:type="dxa" w:w="1814"/>
          </w:tcPr>
          <w:p>
            <w:r>
              <w:rPr>
                <w:rFonts w:ascii="Calibri" w:hAnsi="Calibri"/>
              </w:rPr>
              <w:t>NOK 2,000–5,000/consult</w:t>
            </w:r>
          </w:p>
        </w:tc>
        <w:tc>
          <w:tcPr>
            <w:tcW w:type="dxa" w:w="1814"/>
          </w:tcPr>
          <w:p>
            <w:r>
              <w:rPr>
                <w:rFonts w:ascii="Calibri" w:hAnsi="Calibri"/>
              </w:rPr>
              <w:t>Private specialist care, no retainer</w:t>
            </w:r>
          </w:p>
        </w:tc>
        <w:tc>
          <w:tcPr>
            <w:tcW w:type="dxa" w:w="1814"/>
          </w:tcPr>
          <w:p>
            <w:r>
              <w:rPr>
                <w:rFonts w:ascii="Calibri" w:hAnsi="Calibri"/>
              </w:rPr>
              <w:t>Current ceiling — no ongoing relationship product</w:t>
            </w:r>
          </w:p>
        </w:tc>
      </w:tr>
    </w:tbl>
    <w:p/>
    <w:p>
      <w:r>
        <w:rPr>
          <w:rFonts w:ascii="Calibri" w:hAnsi="Calibri"/>
          <w:b/>
          <w:i w:val="0"/>
          <w:sz w:val="21"/>
        </w:rPr>
        <w:t xml:space="preserve">Key insight: </w:t>
      </w:r>
      <w:r>
        <w:rPr>
          <w:rFonts w:ascii="Calibri" w:hAnsi="Calibri"/>
          <w:b w:val="0"/>
          <w:i/>
          <w:sz w:val="21"/>
        </w:rPr>
        <w:t>The most successful international concierge practices compete on depth of relationship, not price. In London and New York, practices charging USD/GBP 5,000–10,000+/year have multi-year waiting lists. Oslo has comparable purchasing power and zero competition in this segment.</w:t>
      </w:r>
    </w:p>
    <w:p>
      <w:r>
        <w:br w:type="page"/>
      </w:r>
    </w:p>
    <w:p>
      <w:pPr>
        <w:pStyle w:val="Heading1"/>
      </w:pPr>
      <w:r>
        <w:rPr>
          <w:rFonts w:ascii="Calibri" w:hAnsi="Calibri"/>
          <w:color w:val="1A1A1A"/>
        </w:rPr>
        <w:t>3. The Service Model</w:t>
      </w:r>
    </w:p>
    <w:p>
      <w:pPr>
        <w:pStyle w:val="Heading2"/>
      </w:pPr>
      <w:r>
        <w:rPr>
          <w:rFonts w:ascii="Calibri" w:hAnsi="Calibri"/>
          <w:color w:val="1A1A1A"/>
        </w:rPr>
        <w:t>3.1  Membership Tiers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Feature</w:t>
            </w:r>
          </w:p>
        </w:tc>
        <w:tc>
          <w:tcPr>
            <w:tcW w:type="dxa" w:w="2268"/>
          </w:tcPr>
          <w:p>
            <w:r>
              <w:rPr>
                <w:rFonts w:ascii="Calibri" w:hAnsi="Calibri"/>
                <w:b/>
              </w:rPr>
              <w:t>Klienten — NOK 2,500/mo</w:t>
            </w:r>
          </w:p>
        </w:tc>
        <w:tc>
          <w:tcPr>
            <w:tcW w:type="dxa" w:w="2268"/>
          </w:tcPr>
          <w:p>
            <w:r>
              <w:rPr>
                <w:rFonts w:ascii="Calibri" w:hAnsi="Calibri"/>
                <w:b/>
              </w:rPr>
              <w:t>Partneren — NOK 5,000/mo</w:t>
            </w:r>
          </w:p>
        </w:tc>
        <w:tc>
          <w:tcPr>
            <w:tcW w:type="dxa" w:w="2268"/>
          </w:tcPr>
          <w:p>
            <w:r>
              <w:rPr>
                <w:rFonts w:ascii="Calibri" w:hAnsi="Calibri"/>
                <w:b/>
              </w:rPr>
              <w:t>Partneren Pro — NOK 10,000/mo</w:t>
            </w:r>
          </w:p>
        </w:tc>
      </w:tr>
      <w:tr>
        <w:tc>
          <w:tcPr>
            <w:tcW w:type="dxa" w:w="2268"/>
          </w:tcPr>
          <w:p>
            <w:r>
              <w:rPr>
                <w:rFonts w:ascii="Calibri" w:hAnsi="Calibri"/>
              </w:rPr>
              <w:t>Annual health assessment</w:t>
            </w:r>
          </w:p>
        </w:tc>
        <w:tc>
          <w:tcPr>
            <w:tcW w:type="dxa" w:w="2268"/>
          </w:tcPr>
          <w:p>
            <w:r>
              <w:rPr>
                <w:rFonts w:ascii="Calibri" w:hAnsi="Calibri"/>
              </w:rPr>
              <w:t>2 hours</w:t>
            </w:r>
          </w:p>
        </w:tc>
        <w:tc>
          <w:tcPr>
            <w:tcW w:type="dxa" w:w="2268"/>
          </w:tcPr>
          <w:p>
            <w:r>
              <w:rPr>
                <w:rFonts w:ascii="Calibri" w:hAnsi="Calibri"/>
              </w:rPr>
              <w:t>2 hours + advanced labs</w:t>
            </w:r>
          </w:p>
        </w:tc>
        <w:tc>
          <w:tcPr>
            <w:tcW w:type="dxa" w:w="2268"/>
          </w:tcPr>
          <w:p>
            <w:r>
              <w:rPr>
                <w:rFonts w:ascii="Calibri" w:hAnsi="Calibri"/>
              </w:rPr>
              <w:t>3 hours + full longevity panel</w:t>
            </w:r>
          </w:p>
        </w:tc>
      </w:tr>
      <w:tr>
        <w:tc>
          <w:tcPr>
            <w:tcW w:type="dxa" w:w="2268"/>
          </w:tcPr>
          <w:p>
            <w:r>
              <w:rPr>
                <w:rFonts w:ascii="Calibri" w:hAnsi="Calibri"/>
              </w:rPr>
              <w:t>Follow-up consultations</w:t>
            </w:r>
          </w:p>
        </w:tc>
        <w:tc>
          <w:tcPr>
            <w:tcW w:type="dxa" w:w="2268"/>
          </w:tcPr>
          <w:p>
            <w:r>
              <w:rPr>
                <w:rFonts w:ascii="Calibri" w:hAnsi="Calibri"/>
              </w:rPr>
              <w:t>Quarterly (4/year)</w:t>
            </w:r>
          </w:p>
        </w:tc>
        <w:tc>
          <w:tcPr>
            <w:tcW w:type="dxa" w:w="2268"/>
          </w:tcPr>
          <w:p>
            <w:r>
              <w:rPr>
                <w:rFonts w:ascii="Calibri" w:hAnsi="Calibri"/>
              </w:rPr>
              <w:t>Every 2 months (6/year)</w:t>
            </w:r>
          </w:p>
        </w:tc>
        <w:tc>
          <w:tcPr>
            <w:tcW w:type="dxa" w:w="2268"/>
          </w:tcPr>
          <w:p>
            <w:r>
              <w:rPr>
                <w:rFonts w:ascii="Calibri" w:hAnsi="Calibri"/>
              </w:rPr>
              <w:t>Monthly (12/year)</w:t>
            </w:r>
          </w:p>
        </w:tc>
      </w:tr>
      <w:tr>
        <w:tc>
          <w:tcPr>
            <w:tcW w:type="dxa" w:w="2268"/>
          </w:tcPr>
          <w:p>
            <w:r>
              <w:rPr>
                <w:rFonts w:ascii="Calibri" w:hAnsi="Calibri"/>
              </w:rPr>
              <w:t>Messaging access</w:t>
            </w:r>
          </w:p>
        </w:tc>
        <w:tc>
          <w:tcPr>
            <w:tcW w:type="dxa" w:w="2268"/>
          </w:tcPr>
          <w:p>
            <w:r>
              <w:rPr>
                <w:rFonts w:ascii="Calibri" w:hAnsi="Calibri"/>
              </w:rPr>
              <w:t>WhatsApp, same-day reply</w:t>
            </w:r>
          </w:p>
        </w:tc>
        <w:tc>
          <w:tcPr>
            <w:tcW w:type="dxa" w:w="2268"/>
          </w:tcPr>
          <w:p>
            <w:r>
              <w:rPr>
                <w:rFonts w:ascii="Calibri" w:hAnsi="Calibri"/>
              </w:rPr>
              <w:t>WhatsApp + direct mobile</w:t>
            </w:r>
          </w:p>
        </w:tc>
        <w:tc>
          <w:tcPr>
            <w:tcW w:type="dxa" w:w="2268"/>
          </w:tcPr>
          <w:p>
            <w:r>
              <w:rPr>
                <w:rFonts w:ascii="Calibri" w:hAnsi="Calibri"/>
              </w:rPr>
              <w:t>Unlimited calls + messages</w:t>
            </w:r>
          </w:p>
        </w:tc>
      </w:tr>
      <w:tr>
        <w:tc>
          <w:tcPr>
            <w:tcW w:type="dxa" w:w="2268"/>
          </w:tcPr>
          <w:p>
            <w:r>
              <w:rPr>
                <w:rFonts w:ascii="Calibri" w:hAnsi="Calibri"/>
              </w:rPr>
              <w:t>Appointment guarantee</w:t>
            </w:r>
          </w:p>
        </w:tc>
        <w:tc>
          <w:tcPr>
            <w:tcW w:type="dxa" w:w="2268"/>
          </w:tcPr>
          <w:p>
            <w:r>
              <w:rPr>
                <w:rFonts w:ascii="Calibri" w:hAnsi="Calibri"/>
              </w:rPr>
              <w:t>Same week</w:t>
            </w:r>
          </w:p>
        </w:tc>
        <w:tc>
          <w:tcPr>
            <w:tcW w:type="dxa" w:w="2268"/>
          </w:tcPr>
          <w:p>
            <w:r>
              <w:rPr>
                <w:rFonts w:ascii="Calibri" w:hAnsi="Calibri"/>
              </w:rPr>
              <w:t>Same day (urgent)</w:t>
            </w:r>
          </w:p>
        </w:tc>
        <w:tc>
          <w:tcPr>
            <w:tcW w:type="dxa" w:w="2268"/>
          </w:tcPr>
          <w:p>
            <w:r>
              <w:rPr>
                <w:rFonts w:ascii="Calibri" w:hAnsi="Calibri"/>
              </w:rPr>
              <w:t>Same day always</w:t>
            </w:r>
          </w:p>
        </w:tc>
      </w:tr>
      <w:tr>
        <w:tc>
          <w:tcPr>
            <w:tcW w:type="dxa" w:w="2268"/>
          </w:tcPr>
          <w:p>
            <w:r>
              <w:rPr>
                <w:rFonts w:ascii="Calibri" w:hAnsi="Calibri"/>
              </w:rPr>
              <w:t>Lab panel</w:t>
            </w:r>
          </w:p>
        </w:tc>
        <w:tc>
          <w:tcPr>
            <w:tcW w:type="dxa" w:w="2268"/>
          </w:tcPr>
          <w:p>
            <w:r>
              <w:rPr>
                <w:rFonts w:ascii="Calibri" w:hAnsi="Calibri"/>
              </w:rPr>
              <w:t>Standard annual</w:t>
            </w:r>
          </w:p>
        </w:tc>
        <w:tc>
          <w:tcPr>
            <w:tcW w:type="dxa" w:w="2268"/>
          </w:tcPr>
          <w:p>
            <w:r>
              <w:rPr>
                <w:rFonts w:ascii="Calibri" w:hAnsi="Calibri"/>
              </w:rPr>
              <w:t>Advanced metabolic + cardiovascular</w:t>
            </w:r>
          </w:p>
        </w:tc>
        <w:tc>
          <w:tcPr>
            <w:tcW w:type="dxa" w:w="2268"/>
          </w:tcPr>
          <w:p>
            <w:r>
              <w:rPr>
                <w:rFonts w:ascii="Calibri" w:hAnsi="Calibri"/>
              </w:rPr>
              <w:t>Full longevity panel incl. ApoB, GlycanAge</w:t>
            </w:r>
          </w:p>
        </w:tc>
      </w:tr>
      <w:tr>
        <w:tc>
          <w:tcPr>
            <w:tcW w:type="dxa" w:w="2268"/>
          </w:tcPr>
          <w:p>
            <w:r>
              <w:rPr>
                <w:rFonts w:ascii="Calibri" w:hAnsi="Calibri"/>
              </w:rPr>
              <w:t>Wearable integration</w:t>
            </w:r>
          </w:p>
        </w:tc>
        <w:tc>
          <w:tcPr>
            <w:tcW w:type="dxa" w:w="2268"/>
          </w:tcPr>
          <w:p>
            <w:r>
              <w:rPr>
                <w:rFonts w:ascii="Calibri" w:hAnsi="Calibri"/>
              </w:rPr>
              <w:t>Optional</w:t>
            </w:r>
          </w:p>
        </w:tc>
        <w:tc>
          <w:tcPr>
            <w:tcW w:type="dxa" w:w="2268"/>
          </w:tcPr>
          <w:p>
            <w:r>
              <w:rPr>
                <w:rFonts w:ascii="Calibri" w:hAnsi="Calibri"/>
              </w:rPr>
              <w:t>Included (Oura/Garmin/Apple)</w:t>
            </w:r>
          </w:p>
        </w:tc>
        <w:tc>
          <w:tcPr>
            <w:tcW w:type="dxa" w:w="2268"/>
          </w:tcPr>
          <w:p>
            <w:r>
              <w:rPr>
                <w:rFonts w:ascii="Calibri" w:hAnsi="Calibri"/>
              </w:rPr>
              <w:t>Included + monthly analysis</w:t>
            </w:r>
          </w:p>
        </w:tc>
      </w:tr>
      <w:tr>
        <w:tc>
          <w:tcPr>
            <w:tcW w:type="dxa" w:w="2268"/>
          </w:tcPr>
          <w:p>
            <w:r>
              <w:rPr>
                <w:rFonts w:ascii="Calibri" w:hAnsi="Calibri"/>
              </w:rPr>
              <w:t>AI health brief</w:t>
            </w:r>
          </w:p>
        </w:tc>
        <w:tc>
          <w:tcPr>
            <w:tcW w:type="dxa" w:w="2268"/>
          </w:tcPr>
          <w:p>
            <w:r>
              <w:rPr>
                <w:rFonts w:ascii="Calibri" w:hAnsi="Calibri"/>
              </w:rPr>
              <w:t>Quarterly summary</w:t>
            </w:r>
          </w:p>
        </w:tc>
        <w:tc>
          <w:tcPr>
            <w:tcW w:type="dxa" w:w="2268"/>
          </w:tcPr>
          <w:p>
            <w:r>
              <w:rPr>
                <w:rFonts w:ascii="Calibri" w:hAnsi="Calibri"/>
              </w:rPr>
              <w:t>Monthly personalised report</w:t>
            </w:r>
          </w:p>
        </w:tc>
        <w:tc>
          <w:tcPr>
            <w:tcW w:type="dxa" w:w="2268"/>
          </w:tcPr>
          <w:p>
            <w:r>
              <w:rPr>
                <w:rFonts w:ascii="Calibri" w:hAnsi="Calibri"/>
              </w:rPr>
              <w:t>Monthly + annual roadmap</w:t>
            </w:r>
          </w:p>
        </w:tc>
      </w:tr>
      <w:tr>
        <w:tc>
          <w:tcPr>
            <w:tcW w:type="dxa" w:w="2268"/>
          </w:tcPr>
          <w:p>
            <w:r>
              <w:rPr>
                <w:rFonts w:ascii="Calibri" w:hAnsi="Calibri"/>
              </w:rPr>
              <w:t>Supplement protocol</w:t>
            </w:r>
          </w:p>
        </w:tc>
        <w:tc>
          <w:tcPr>
            <w:tcW w:type="dxa" w:w="2268"/>
          </w:tcPr>
          <w:p>
            <w:r>
              <w:rPr>
                <w:rFonts w:ascii="Calibri" w:hAnsi="Calibri"/>
              </w:rPr>
              <w:t>On request</w:t>
            </w:r>
          </w:p>
        </w:tc>
        <w:tc>
          <w:tcPr>
            <w:tcW w:type="dxa" w:w="2268"/>
          </w:tcPr>
          <w:p>
            <w:r>
              <w:rPr>
                <w:rFonts w:ascii="Calibri" w:hAnsi="Calibri"/>
              </w:rPr>
              <w:t>Included, reviewed 2x/year</w:t>
            </w:r>
          </w:p>
        </w:tc>
        <w:tc>
          <w:tcPr>
            <w:tcW w:type="dxa" w:w="2268"/>
          </w:tcPr>
          <w:p>
            <w:r>
              <w:rPr>
                <w:rFonts w:ascii="Calibri" w:hAnsi="Calibri"/>
              </w:rPr>
              <w:t>Full protocol, quarterly review</w:t>
            </w:r>
          </w:p>
        </w:tc>
      </w:tr>
      <w:tr>
        <w:tc>
          <w:tcPr>
            <w:tcW w:type="dxa" w:w="2268"/>
          </w:tcPr>
          <w:p>
            <w:r>
              <w:rPr>
                <w:rFonts w:ascii="Calibri" w:hAnsi="Calibri"/>
              </w:rPr>
              <w:t>Home/office visit</w:t>
            </w:r>
          </w:p>
        </w:tc>
        <w:tc>
          <w:tcPr>
            <w:tcW w:type="dxa" w:w="2268"/>
          </w:tcPr>
          <w:p>
            <w:r>
              <w:rPr>
                <w:rFonts w:ascii="Calibri" w:hAnsi="Calibri"/>
              </w:rPr>
              <w:t>Not included</w:t>
            </w:r>
          </w:p>
        </w:tc>
        <w:tc>
          <w:tcPr>
            <w:tcW w:type="dxa" w:w="2268"/>
          </w:tcPr>
          <w:p>
            <w:r>
              <w:rPr>
                <w:rFonts w:ascii="Calibri" w:hAnsi="Calibri"/>
              </w:rPr>
              <w:t>1 per year</w:t>
            </w:r>
          </w:p>
        </w:tc>
        <w:tc>
          <w:tcPr>
            <w:tcW w:type="dxa" w:w="2268"/>
          </w:tcPr>
          <w:p>
            <w:r>
              <w:rPr>
                <w:rFonts w:ascii="Calibri" w:hAnsi="Calibri"/>
              </w:rPr>
              <w:t>Unlimited</w:t>
            </w:r>
          </w:p>
        </w:tc>
      </w:tr>
      <w:tr>
        <w:tc>
          <w:tcPr>
            <w:tcW w:type="dxa" w:w="2268"/>
          </w:tcPr>
          <w:p>
            <w:r>
              <w:rPr>
                <w:rFonts w:ascii="Calibri" w:hAnsi="Calibri"/>
              </w:rPr>
              <w:t>Travel medicine</w:t>
            </w:r>
          </w:p>
        </w:tc>
        <w:tc>
          <w:tcPr>
            <w:tcW w:type="dxa" w:w="2268"/>
          </w:tcPr>
          <w:p>
            <w:r>
              <w:rPr>
                <w:rFonts w:ascii="Calibri" w:hAnsi="Calibri"/>
              </w:rPr>
              <w:t>Standard advice</w:t>
            </w:r>
          </w:p>
        </w:tc>
        <w:tc>
          <w:tcPr>
            <w:tcW w:type="dxa" w:w="2268"/>
          </w:tcPr>
          <w:p>
            <w:r>
              <w:rPr>
                <w:rFonts w:ascii="Calibri" w:hAnsi="Calibri"/>
              </w:rPr>
              <w:t>Included</w:t>
            </w:r>
          </w:p>
        </w:tc>
        <w:tc>
          <w:tcPr>
            <w:tcW w:type="dxa" w:w="2268"/>
          </w:tcPr>
          <w:p>
            <w:r>
              <w:rPr>
                <w:rFonts w:ascii="Calibri" w:hAnsi="Calibri"/>
              </w:rPr>
              <w:t>Full remote support abroad</w:t>
            </w:r>
          </w:p>
        </w:tc>
      </w:tr>
      <w:tr>
        <w:tc>
          <w:tcPr>
            <w:tcW w:type="dxa" w:w="2268"/>
          </w:tcPr>
          <w:p>
            <w:r>
              <w:rPr>
                <w:rFonts w:ascii="Calibri" w:hAnsi="Calibri"/>
              </w:rPr>
              <w:t>Annual prepay discount</w:t>
            </w:r>
          </w:p>
        </w:tc>
        <w:tc>
          <w:tcPr>
            <w:tcW w:type="dxa" w:w="2268"/>
          </w:tcPr>
          <w:p>
            <w:r>
              <w:rPr>
                <w:rFonts w:ascii="Calibri" w:hAnsi="Calibri"/>
              </w:rPr>
              <w:t>10%</w:t>
            </w:r>
          </w:p>
        </w:tc>
        <w:tc>
          <w:tcPr>
            <w:tcW w:type="dxa" w:w="2268"/>
          </w:tcPr>
          <w:p>
            <w:r>
              <w:rPr>
                <w:rFonts w:ascii="Calibri" w:hAnsi="Calibri"/>
              </w:rPr>
              <w:t>10%</w:t>
            </w:r>
          </w:p>
        </w:tc>
        <w:tc>
          <w:tcPr>
            <w:tcW w:type="dxa" w:w="2268"/>
          </w:tcPr>
          <w:p>
            <w:r>
              <w:rPr>
                <w:rFonts w:ascii="Calibri" w:hAnsi="Calibri"/>
              </w:rPr>
              <w:t>10%</w:t>
            </w:r>
          </w:p>
        </w:tc>
      </w:tr>
      <w:tr>
        <w:tc>
          <w:tcPr>
            <w:tcW w:type="dxa" w:w="2268"/>
          </w:tcPr>
          <w:p>
            <w:r>
              <w:rPr>
                <w:rFonts w:ascii="Calibri" w:hAnsi="Calibri"/>
              </w:rPr>
              <w:t>Max panel members</w:t>
            </w:r>
          </w:p>
        </w:tc>
        <w:tc>
          <w:tcPr>
            <w:tcW w:type="dxa" w:w="2268"/>
          </w:tcPr>
          <w:p>
            <w:r>
              <w:rPr>
                <w:rFonts w:ascii="Calibri" w:hAnsi="Calibri"/>
              </w:rPr>
              <w:t>40</w:t>
            </w:r>
          </w:p>
        </w:tc>
        <w:tc>
          <w:tcPr>
            <w:tcW w:type="dxa" w:w="2268"/>
          </w:tcPr>
          <w:p>
            <w:r>
              <w:rPr>
                <w:rFonts w:ascii="Calibri" w:hAnsi="Calibri"/>
              </w:rPr>
              <w:t>40</w:t>
            </w:r>
          </w:p>
        </w:tc>
        <w:tc>
          <w:tcPr>
            <w:tcW w:type="dxa" w:w="2268"/>
          </w:tcPr>
          <w:p>
            <w:r>
              <w:rPr>
                <w:rFonts w:ascii="Calibri" w:hAnsi="Calibri"/>
              </w:rPr>
              <w:t>20</w:t>
            </w:r>
          </w:p>
        </w:tc>
      </w:tr>
    </w:tbl>
    <w:p/>
    <w:p>
      <w:pPr>
        <w:pStyle w:val="Heading2"/>
      </w:pPr>
      <w:r>
        <w:rPr>
          <w:rFonts w:ascii="Calibri" w:hAnsi="Calibri"/>
          <w:color w:val="1A1A1A"/>
        </w:rPr>
        <w:t>3.2  The Core Differentiator</w:t>
      </w:r>
    </w:p>
    <w:p>
      <w:r>
        <w:rPr>
          <w:rFonts w:ascii="Calibri" w:hAnsi="Calibri"/>
          <w:b w:val="0"/>
          <w:i w:val="0"/>
          <w:sz w:val="21"/>
        </w:rPr>
        <w:t>The differentiator is not speed of access — private Oslo clinics already offer that. The differentiator is continuity and depth. Every member has a living health dossier accumulating data across years. Every consultation builds on the last. The AI infrastructure means the physician arrives at every appointment already knowing what changed, what trends need attention, and what questions matter.</w:t>
      </w:r>
    </w:p>
    <w:p>
      <w:r>
        <w:rPr>
          <w:rFonts w:ascii="Calibri" w:hAnsi="Calibri"/>
          <w:b w:val="0"/>
          <w:i/>
          <w:sz w:val="21"/>
        </w:rPr>
        <w:t>Members do not feel like patients. They feel like they have a personal health director.</w:t>
      </w:r>
    </w:p>
    <w:p/>
    <w:p>
      <w:pPr>
        <w:pStyle w:val="Heading2"/>
      </w:pPr>
      <w:r>
        <w:rPr>
          <w:rFonts w:ascii="Calibri" w:hAnsi="Calibri"/>
          <w:color w:val="1A1A1A"/>
        </w:rPr>
        <w:t>3.3  The Annual Health Roadmap</w:t>
      </w:r>
    </w:p>
    <w:p>
      <w:r>
        <w:rPr>
          <w:rFonts w:ascii="Calibri" w:hAnsi="Calibri"/>
          <w:b w:val="0"/>
          <w:i w:val="0"/>
          <w:sz w:val="21"/>
        </w:rPr>
        <w:t>Every Tier 2 and Tier 3 member receives a 90-minute Annual Health Roadmap Review at their membership anniversary — reviewing progress, updating risk stratification, and setting measurable objectives for the coming year. This ritual creates a powerful retention anchor. International data from comparable practices shows 40% lower churn rates among members completing annual roadmap reviews.</w:t>
      </w:r>
    </w:p>
    <w:p>
      <w:r>
        <w:br w:type="page"/>
      </w:r>
    </w:p>
    <w:p>
      <w:pPr>
        <w:pStyle w:val="Heading1"/>
      </w:pPr>
      <w:r>
        <w:rPr>
          <w:rFonts w:ascii="Calibri" w:hAnsi="Calibri"/>
          <w:color w:val="1A1A1A"/>
        </w:rPr>
        <w:t>4. AI &amp; Technology Architecture</w:t>
      </w:r>
    </w:p>
    <w:p>
      <w:pPr>
        <w:pStyle w:val="Heading2"/>
      </w:pPr>
      <w:r>
        <w:rPr>
          <w:rFonts w:ascii="Calibri" w:hAnsi="Calibri"/>
          <w:color w:val="1A1A1A"/>
        </w:rPr>
        <w:t>4.1  The Infrastructure Advantage</w:t>
      </w:r>
    </w:p>
    <w:p>
      <w:r>
        <w:rPr>
          <w:rFonts w:ascii="Calibri" w:hAnsi="Calibri"/>
          <w:b w:val="0"/>
          <w:i w:val="0"/>
          <w:sz w:val="21"/>
        </w:rPr>
        <w:t>The entire technology stack runs locally on Mac Mini M4 hardware. No patient data ever leaves the physician's premises — a GDPR compliance requirement and a premium marketing differentiator.</w:t>
      </w:r>
    </w:p>
    <w:p/>
    <w:tbl>
      <w:tblPr>
        <w:tblStyle w:val="LightGrid-Accent1"/>
        <w:tblW w:type="auto" w:w="0"/>
        <w:tblLook w:firstColumn="1" w:firstRow="1" w:lastColumn="0" w:lastRow="0" w:noHBand="0" w:noVBand="1" w:val="04A0"/>
      </w:tblPr>
      <w:tblGrid>
        <w:gridCol w:w="4536"/>
        <w:gridCol w:w="4536"/>
      </w:tblGrid>
      <w:tr>
        <w:tc>
          <w:tcPr>
            <w:tcW w:type="dxa" w:w="4536"/>
          </w:tcPr>
          <w:p>
            <w:r>
              <w:rPr>
                <w:rFonts w:ascii="Calibri" w:hAnsi="Calibri"/>
                <w:b/>
              </w:rPr>
              <w:t>Component</w:t>
            </w:r>
          </w:p>
        </w:tc>
        <w:tc>
          <w:tcPr>
            <w:tcW w:type="dxa" w:w="4536"/>
          </w:tcPr>
          <w:p>
            <w:r>
              <w:rPr>
                <w:rFonts w:ascii="Calibri" w:hAnsi="Calibri"/>
                <w:b/>
              </w:rPr>
              <w:t>Specification</w:t>
            </w:r>
          </w:p>
        </w:tc>
      </w:tr>
      <w:tr>
        <w:tc>
          <w:tcPr>
            <w:tcW w:type="dxa" w:w="4536"/>
          </w:tcPr>
          <w:p>
            <w:r>
              <w:rPr>
                <w:rFonts w:ascii="Calibri" w:hAnsi="Calibri"/>
              </w:rPr>
              <w:t>Hardware</w:t>
            </w:r>
          </w:p>
        </w:tc>
        <w:tc>
          <w:tcPr>
            <w:tcW w:type="dxa" w:w="4536"/>
          </w:tcPr>
          <w:p>
            <w:r>
              <w:rPr>
                <w:rFonts w:ascii="Calibri" w:hAnsi="Calibri"/>
              </w:rPr>
              <w:t>Mac Mini M4 (current) → Mac Studio M5 Max 128GB (Year 2–3)</w:t>
            </w:r>
          </w:p>
        </w:tc>
      </w:tr>
      <w:tr>
        <w:tc>
          <w:tcPr>
            <w:tcW w:type="dxa" w:w="4536"/>
          </w:tcPr>
          <w:p>
            <w:r>
              <w:rPr>
                <w:rFonts w:ascii="Calibri" w:hAnsi="Calibri"/>
              </w:rPr>
              <w:t>Orchestration</w:t>
            </w:r>
          </w:p>
        </w:tc>
        <w:tc>
          <w:tcPr>
            <w:tcW w:type="dxa" w:w="4536"/>
          </w:tcPr>
          <w:p>
            <w:r>
              <w:rPr>
                <w:rFonts w:ascii="Calibri" w:hAnsi="Calibri"/>
              </w:rPr>
              <w:t>OpenClaw — local AI agent framework</w:t>
            </w:r>
          </w:p>
        </w:tc>
      </w:tr>
      <w:tr>
        <w:tc>
          <w:tcPr>
            <w:tcW w:type="dxa" w:w="4536"/>
          </w:tcPr>
          <w:p>
            <w:r>
              <w:rPr>
                <w:rFonts w:ascii="Calibri" w:hAnsi="Calibri"/>
              </w:rPr>
              <w:t>LLM Models</w:t>
            </w:r>
          </w:p>
        </w:tc>
        <w:tc>
          <w:tcPr>
            <w:tcW w:type="dxa" w:w="4536"/>
          </w:tcPr>
          <w:p>
            <w:r>
              <w:rPr>
                <w:rFonts w:ascii="Calibri" w:hAnsi="Calibri"/>
              </w:rPr>
              <w:t>Qwen 3.5 35B (local) for analysis; Claude Sonnet API for drafting (non-PII only)</w:t>
            </w:r>
          </w:p>
        </w:tc>
      </w:tr>
      <w:tr>
        <w:tc>
          <w:tcPr>
            <w:tcW w:type="dxa" w:w="4536"/>
          </w:tcPr>
          <w:p>
            <w:r>
              <w:rPr>
                <w:rFonts w:ascii="Calibri" w:hAnsi="Calibri"/>
              </w:rPr>
              <w:t>Knowledge Base</w:t>
            </w:r>
          </w:p>
        </w:tc>
        <w:tc>
          <w:tcPr>
            <w:tcW w:type="dxa" w:w="4536"/>
          </w:tcPr>
          <w:p>
            <w:r>
              <w:rPr>
                <w:rFonts w:ascii="Calibri" w:hAnsi="Calibri"/>
              </w:rPr>
              <w:t>Per-member RAG folders, markdown-structured, updated after every interaction</w:t>
            </w:r>
          </w:p>
        </w:tc>
      </w:tr>
      <w:tr>
        <w:tc>
          <w:tcPr>
            <w:tcW w:type="dxa" w:w="4536"/>
          </w:tcPr>
          <w:p>
            <w:r>
              <w:rPr>
                <w:rFonts w:ascii="Calibri" w:hAnsi="Calibri"/>
              </w:rPr>
              <w:t>Secure Access</w:t>
            </w:r>
          </w:p>
        </w:tc>
        <w:tc>
          <w:tcPr>
            <w:tcW w:type="dxa" w:w="4536"/>
          </w:tcPr>
          <w:p>
            <w:r>
              <w:rPr>
                <w:rFonts w:ascii="Calibri" w:hAnsi="Calibri"/>
              </w:rPr>
              <w:t>Cloudflare Tunnel — encrypted remote access</w:t>
            </w:r>
          </w:p>
        </w:tc>
      </w:tr>
      <w:tr>
        <w:tc>
          <w:tcPr>
            <w:tcW w:type="dxa" w:w="4536"/>
          </w:tcPr>
          <w:p>
            <w:r>
              <w:rPr>
                <w:rFonts w:ascii="Calibri" w:hAnsi="Calibri"/>
              </w:rPr>
              <w:t>Communication</w:t>
            </w:r>
          </w:p>
        </w:tc>
        <w:tc>
          <w:tcPr>
            <w:tcW w:type="dxa" w:w="4536"/>
          </w:tcPr>
          <w:p>
            <w:r>
              <w:rPr>
                <w:rFonts w:ascii="Calibri" w:hAnsi="Calibri"/>
              </w:rPr>
              <w:t>Signal/WhatsApp — end-to-end encrypted member messaging</w:t>
            </w:r>
          </w:p>
        </w:tc>
      </w:tr>
      <w:tr>
        <w:tc>
          <w:tcPr>
            <w:tcW w:type="dxa" w:w="4536"/>
          </w:tcPr>
          <w:p>
            <w:r>
              <w:rPr>
                <w:rFonts w:ascii="Calibri" w:hAnsi="Calibri"/>
              </w:rPr>
              <w:t>Lab Integration</w:t>
            </w:r>
          </w:p>
        </w:tc>
        <w:tc>
          <w:tcPr>
            <w:tcW w:type="dxa" w:w="4536"/>
          </w:tcPr>
          <w:p>
            <w:r>
              <w:rPr>
                <w:rFonts w:ascii="Calibri" w:hAnsi="Calibri"/>
              </w:rPr>
              <w:t>PDF ingestion pipeline → structured JSON → member dossier</w:t>
            </w:r>
          </w:p>
        </w:tc>
      </w:tr>
      <w:tr>
        <w:tc>
          <w:tcPr>
            <w:tcW w:type="dxa" w:w="4536"/>
          </w:tcPr>
          <w:p>
            <w:r>
              <w:rPr>
                <w:rFonts w:ascii="Calibri" w:hAnsi="Calibri"/>
              </w:rPr>
              <w:t>Wearable Pipeline</w:t>
            </w:r>
          </w:p>
        </w:tc>
        <w:tc>
          <w:tcPr>
            <w:tcW w:type="dxa" w:w="4536"/>
          </w:tcPr>
          <w:p>
            <w:r>
              <w:rPr>
                <w:rFonts w:ascii="Calibri" w:hAnsi="Calibri"/>
              </w:rPr>
              <w:t>Garmin/Oura/Apple Health → weekly structured summaries</w:t>
            </w:r>
          </w:p>
        </w:tc>
      </w:tr>
      <w:tr>
        <w:tc>
          <w:tcPr>
            <w:tcW w:type="dxa" w:w="4536"/>
          </w:tcPr>
          <w:p>
            <w:r>
              <w:rPr>
                <w:rFonts w:ascii="Calibri" w:hAnsi="Calibri"/>
              </w:rPr>
              <w:t>Billing</w:t>
            </w:r>
          </w:p>
        </w:tc>
        <w:tc>
          <w:tcPr>
            <w:tcW w:type="dxa" w:w="4536"/>
          </w:tcPr>
          <w:p>
            <w:r>
              <w:rPr>
                <w:rFonts w:ascii="Calibri" w:hAnsi="Calibri"/>
              </w:rPr>
              <w:t>Stripe or Vipps recurring membership payments</w:t>
            </w:r>
          </w:p>
        </w:tc>
      </w:tr>
    </w:tbl>
    <w:p/>
    <w:p>
      <w:pPr>
        <w:pStyle w:val="Heading2"/>
      </w:pPr>
      <w:r>
        <w:rPr>
          <w:rFonts w:ascii="Calibri" w:hAnsi="Calibri"/>
          <w:color w:val="1A1A1A"/>
        </w:rPr>
        <w:t>4.2  The Five AI Agents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Agent</w:t>
            </w:r>
          </w:p>
        </w:tc>
        <w:tc>
          <w:tcPr>
            <w:tcW w:type="dxa" w:w="3024"/>
          </w:tcPr>
          <w:p>
            <w:r>
              <w:rPr>
                <w:rFonts w:ascii="Calibri" w:hAnsi="Calibri"/>
                <w:b/>
              </w:rPr>
              <w:t>Trigger</w:t>
            </w:r>
          </w:p>
        </w:tc>
        <w:tc>
          <w:tcPr>
            <w:tcW w:type="dxa" w:w="3024"/>
          </w:tcPr>
          <w:p>
            <w:r>
              <w:rPr>
                <w:rFonts w:ascii="Calibri" w:hAnsi="Calibri"/>
                <w:b/>
              </w:rPr>
              <w:t>Function</w:t>
            </w:r>
          </w:p>
        </w:tc>
      </w:tr>
      <w:tr>
        <w:tc>
          <w:tcPr>
            <w:tcW w:type="dxa" w:w="3024"/>
          </w:tcPr>
          <w:p>
            <w:r>
              <w:rPr>
                <w:rFonts w:ascii="Calibri" w:hAnsi="Calibri"/>
              </w:rPr>
              <w:t>Nightly Monitor</w:t>
            </w:r>
          </w:p>
        </w:tc>
        <w:tc>
          <w:tcPr>
            <w:tcW w:type="dxa" w:w="3024"/>
          </w:tcPr>
          <w:p>
            <w:r>
              <w:rPr>
                <w:rFonts w:ascii="Calibri" w:hAnsi="Calibri"/>
              </w:rPr>
              <w:t>02:00 daily</w:t>
            </w:r>
          </w:p>
        </w:tc>
        <w:tc>
          <w:tcPr>
            <w:tcW w:type="dxa" w:w="3024"/>
          </w:tcPr>
          <w:p>
            <w:r>
              <w:rPr>
                <w:rFonts w:ascii="Calibri" w:hAnsi="Calibri"/>
              </w:rPr>
              <w:t>Reads all member dossiers, flags anomalies vs. personal baselines, generates morning briefing</w:t>
            </w:r>
          </w:p>
        </w:tc>
      </w:tr>
      <w:tr>
        <w:tc>
          <w:tcPr>
            <w:tcW w:type="dxa" w:w="3024"/>
          </w:tcPr>
          <w:p>
            <w:r>
              <w:rPr>
                <w:rFonts w:ascii="Calibri" w:hAnsi="Calibri"/>
              </w:rPr>
              <w:t>Pre-Consultation Briefer</w:t>
            </w:r>
          </w:p>
        </w:tc>
        <w:tc>
          <w:tcPr>
            <w:tcW w:type="dxa" w:w="3024"/>
          </w:tcPr>
          <w:p>
            <w:r>
              <w:rPr>
                <w:rFonts w:ascii="Calibri" w:hAnsi="Calibri"/>
              </w:rPr>
              <w:t>60 min before appointment</w:t>
            </w:r>
          </w:p>
        </w:tc>
        <w:tc>
          <w:tcPr>
            <w:tcW w:type="dxa" w:w="3024"/>
          </w:tcPr>
          <w:p>
            <w:r>
              <w:rPr>
                <w:rFonts w:ascii="Calibri" w:hAnsi="Calibri"/>
              </w:rPr>
              <w:t>Summarises changes since last consult, suggests consultation structure</w:t>
            </w:r>
          </w:p>
        </w:tc>
      </w:tr>
      <w:tr>
        <w:tc>
          <w:tcPr>
            <w:tcW w:type="dxa" w:w="3024"/>
          </w:tcPr>
          <w:p>
            <w:r>
              <w:rPr>
                <w:rFonts w:ascii="Calibri" w:hAnsi="Calibri"/>
              </w:rPr>
              <w:t>Lab Result Processor</w:t>
            </w:r>
          </w:p>
        </w:tc>
        <w:tc>
          <w:tcPr>
            <w:tcW w:type="dxa" w:w="3024"/>
          </w:tcPr>
          <w:p>
            <w:r>
              <w:rPr>
                <w:rFonts w:ascii="Calibri" w:hAnsi="Calibri"/>
              </w:rPr>
              <w:t>New PDF in lab folder</w:t>
            </w:r>
          </w:p>
        </w:tc>
        <w:tc>
          <w:tcPr>
            <w:tcW w:type="dxa" w:w="3024"/>
          </w:tcPr>
          <w:p>
            <w:r>
              <w:rPr>
                <w:rFonts w:ascii="Calibri" w:hAnsi="Calibri"/>
              </w:rPr>
              <w:t>Parses results, flags out-of-range values, drafts lay-language interpretation</w:t>
            </w:r>
          </w:p>
        </w:tc>
      </w:tr>
      <w:tr>
        <w:tc>
          <w:tcPr>
            <w:tcW w:type="dxa" w:w="3024"/>
          </w:tcPr>
          <w:p>
            <w:r>
              <w:rPr>
                <w:rFonts w:ascii="Calibri" w:hAnsi="Calibri"/>
              </w:rPr>
              <w:t>Monthly Health Brief</w:t>
            </w:r>
          </w:p>
        </w:tc>
        <w:tc>
          <w:tcPr>
            <w:tcW w:type="dxa" w:w="3024"/>
          </w:tcPr>
          <w:p>
            <w:r>
              <w:rPr>
                <w:rFonts w:ascii="Calibri" w:hAnsi="Calibri"/>
              </w:rPr>
              <w:t>1st of each month</w:t>
            </w:r>
          </w:p>
        </w:tc>
        <w:tc>
          <w:tcPr>
            <w:tcW w:type="dxa" w:w="3024"/>
          </w:tcPr>
          <w:p>
            <w:r>
              <w:rPr>
                <w:rFonts w:ascii="Calibri" w:hAnsi="Calibri"/>
              </w:rPr>
              <w:t>Synthesises wearable, consult, and messaging data into personalised health brief</w:t>
            </w:r>
          </w:p>
        </w:tc>
      </w:tr>
      <w:tr>
        <w:tc>
          <w:tcPr>
            <w:tcW w:type="dxa" w:w="3024"/>
          </w:tcPr>
          <w:p>
            <w:r>
              <w:rPr>
                <w:rFonts w:ascii="Calibri" w:hAnsi="Calibri"/>
              </w:rPr>
              <w:t>Protocol Reviewer</w:t>
            </w:r>
          </w:p>
        </w:tc>
        <w:tc>
          <w:tcPr>
            <w:tcW w:type="dxa" w:w="3024"/>
          </w:tcPr>
          <w:p>
            <w:r>
              <w:rPr>
                <w:rFonts w:ascii="Calibri" w:hAnsi="Calibri"/>
              </w:rPr>
              <w:t>Quarterly</w:t>
            </w:r>
          </w:p>
        </w:tc>
        <w:tc>
          <w:tcPr>
            <w:tcW w:type="dxa" w:w="3024"/>
          </w:tcPr>
          <w:p>
            <w:r>
              <w:rPr>
                <w:rFonts w:ascii="Calibri" w:hAnsi="Calibri"/>
              </w:rPr>
              <w:t>Reviews supplement/diet/exercise protocols against latest labs, flags adjustments</w:t>
            </w:r>
          </w:p>
        </w:tc>
      </w:tr>
    </w:tbl>
    <w:p>
      <w:r>
        <w:br w:type="page"/>
      </w:r>
    </w:p>
    <w:p>
      <w:pPr>
        <w:pStyle w:val="Heading1"/>
      </w:pPr>
      <w:r>
        <w:rPr>
          <w:rFonts w:ascii="Calibri" w:hAnsi="Calibri"/>
          <w:color w:val="1A1A1A"/>
        </w:rPr>
        <w:t>5. Financial Projections</w:t>
      </w:r>
    </w:p>
    <w:p>
      <w:pPr>
        <w:pStyle w:val="Heading2"/>
      </w:pPr>
      <w:r>
        <w:rPr>
          <w:rFonts w:ascii="Calibri" w:hAnsi="Calibri"/>
          <w:color w:val="1A1A1A"/>
        </w:rPr>
        <w:t>5.1  Revenue &amp; Net Income</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rFonts w:ascii="Calibri" w:hAnsi="Calibri"/>
                <w:b/>
              </w:rPr>
            </w:r>
          </w:p>
        </w:tc>
        <w:tc>
          <w:tcPr>
            <w:tcW w:type="dxa" w:w="1814"/>
          </w:tcPr>
          <w:p>
            <w:r>
              <w:rPr>
                <w:rFonts w:ascii="Calibri" w:hAnsi="Calibri"/>
                <w:b/>
              </w:rPr>
              <w:t>Year 1 (ramp)</w:t>
            </w:r>
          </w:p>
        </w:tc>
        <w:tc>
          <w:tcPr>
            <w:tcW w:type="dxa" w:w="1814"/>
          </w:tcPr>
          <w:p>
            <w:r>
              <w:rPr>
                <w:rFonts w:ascii="Calibri" w:hAnsi="Calibri"/>
                <w:b/>
              </w:rPr>
              <w:t>Year 2</w:t>
            </w:r>
          </w:p>
        </w:tc>
        <w:tc>
          <w:tcPr>
            <w:tcW w:type="dxa" w:w="1814"/>
          </w:tcPr>
          <w:p>
            <w:r>
              <w:rPr>
                <w:rFonts w:ascii="Calibri" w:hAnsi="Calibri"/>
                <w:b/>
              </w:rPr>
              <w:t>Year 3</w:t>
            </w:r>
          </w:p>
        </w:tc>
        <w:tc>
          <w:tcPr>
            <w:tcW w:type="dxa" w:w="1814"/>
          </w:tcPr>
          <w:p>
            <w:r>
              <w:rPr>
                <w:rFonts w:ascii="Calibri" w:hAnsi="Calibri"/>
                <w:b/>
              </w:rPr>
              <w:t>Full Capacity</w:t>
            </w:r>
          </w:p>
        </w:tc>
      </w:tr>
      <w:tr>
        <w:tc>
          <w:tcPr>
            <w:tcW w:type="dxa" w:w="1814"/>
          </w:tcPr>
          <w:p>
            <w:r>
              <w:rPr>
                <w:rFonts w:ascii="Calibri" w:hAnsi="Calibri"/>
              </w:rPr>
              <w:t>Members</w:t>
            </w:r>
          </w:p>
        </w:tc>
        <w:tc>
          <w:tcPr>
            <w:tcW w:type="dxa" w:w="1814"/>
          </w:tcPr>
          <w:p>
            <w:r>
              <w:rPr>
                <w:rFonts w:ascii="Calibri" w:hAnsi="Calibri"/>
              </w:rPr>
              <w:t>35–50</w:t>
            </w:r>
          </w:p>
        </w:tc>
        <w:tc>
          <w:tcPr>
            <w:tcW w:type="dxa" w:w="1814"/>
          </w:tcPr>
          <w:p>
            <w:r>
              <w:rPr>
                <w:rFonts w:ascii="Calibri" w:hAnsi="Calibri"/>
              </w:rPr>
              <w:t>60–75</w:t>
            </w:r>
          </w:p>
        </w:tc>
        <w:tc>
          <w:tcPr>
            <w:tcW w:type="dxa" w:w="1814"/>
          </w:tcPr>
          <w:p>
            <w:r>
              <w:rPr>
                <w:rFonts w:ascii="Calibri" w:hAnsi="Calibri"/>
              </w:rPr>
              <w:t>80–100</w:t>
            </w:r>
          </w:p>
        </w:tc>
        <w:tc>
          <w:tcPr>
            <w:tcW w:type="dxa" w:w="1814"/>
          </w:tcPr>
          <w:p>
            <w:r>
              <w:rPr>
                <w:rFonts w:ascii="Calibri" w:hAnsi="Calibri"/>
              </w:rPr>
              <w:t>100</w:t>
            </w:r>
          </w:p>
        </w:tc>
      </w:tr>
      <w:tr>
        <w:tc>
          <w:tcPr>
            <w:tcW w:type="dxa" w:w="1814"/>
          </w:tcPr>
          <w:p>
            <w:r>
              <w:rPr>
                <w:rFonts w:ascii="Calibri" w:hAnsi="Calibri"/>
              </w:rPr>
              <w:t>Monthly Revenue</w:t>
            </w:r>
          </w:p>
        </w:tc>
        <w:tc>
          <w:tcPr>
            <w:tcW w:type="dxa" w:w="1814"/>
          </w:tcPr>
          <w:p>
            <w:r>
              <w:rPr>
                <w:rFonts w:ascii="Calibri" w:hAnsi="Calibri"/>
              </w:rPr>
              <w:t>NOK 175–250K</w:t>
            </w:r>
          </w:p>
        </w:tc>
        <w:tc>
          <w:tcPr>
            <w:tcW w:type="dxa" w:w="1814"/>
          </w:tcPr>
          <w:p>
            <w:r>
              <w:rPr>
                <w:rFonts w:ascii="Calibri" w:hAnsi="Calibri"/>
              </w:rPr>
              <w:t>NOK 350–450K</w:t>
            </w:r>
          </w:p>
        </w:tc>
        <w:tc>
          <w:tcPr>
            <w:tcW w:type="dxa" w:w="1814"/>
          </w:tcPr>
          <w:p>
            <w:r>
              <w:rPr>
                <w:rFonts w:ascii="Calibri" w:hAnsi="Calibri"/>
              </w:rPr>
              <w:t>NOK 450–500K</w:t>
            </w:r>
          </w:p>
        </w:tc>
        <w:tc>
          <w:tcPr>
            <w:tcW w:type="dxa" w:w="1814"/>
          </w:tcPr>
          <w:p>
            <w:r>
              <w:rPr>
                <w:rFonts w:ascii="Calibri" w:hAnsi="Calibri"/>
              </w:rPr>
              <w:t>NOK 500K</w:t>
            </w:r>
          </w:p>
        </w:tc>
      </w:tr>
      <w:tr>
        <w:tc>
          <w:tcPr>
            <w:tcW w:type="dxa" w:w="1814"/>
          </w:tcPr>
          <w:p>
            <w:r>
              <w:rPr>
                <w:rFonts w:ascii="Calibri" w:hAnsi="Calibri"/>
              </w:rPr>
              <w:t>Annual Revenue</w:t>
            </w:r>
          </w:p>
        </w:tc>
        <w:tc>
          <w:tcPr>
            <w:tcW w:type="dxa" w:w="1814"/>
          </w:tcPr>
          <w:p>
            <w:r>
              <w:rPr>
                <w:rFonts w:ascii="Calibri" w:hAnsi="Calibri"/>
              </w:rPr>
              <w:t>NOK 2.1–3.0M</w:t>
            </w:r>
          </w:p>
        </w:tc>
        <w:tc>
          <w:tcPr>
            <w:tcW w:type="dxa" w:w="1814"/>
          </w:tcPr>
          <w:p>
            <w:r>
              <w:rPr>
                <w:rFonts w:ascii="Calibri" w:hAnsi="Calibri"/>
              </w:rPr>
              <w:t>NOK 4.2–5.4M</w:t>
            </w:r>
          </w:p>
        </w:tc>
        <w:tc>
          <w:tcPr>
            <w:tcW w:type="dxa" w:w="1814"/>
          </w:tcPr>
          <w:p>
            <w:r>
              <w:rPr>
                <w:rFonts w:ascii="Calibri" w:hAnsi="Calibri"/>
              </w:rPr>
              <w:t>NOK 5.4–6.0M</w:t>
            </w:r>
          </w:p>
        </w:tc>
        <w:tc>
          <w:tcPr>
            <w:tcW w:type="dxa" w:w="1814"/>
          </w:tcPr>
          <w:p>
            <w:r>
              <w:rPr>
                <w:rFonts w:ascii="Calibri" w:hAnsi="Calibri"/>
              </w:rPr>
              <w:t>NOK 6.0M</w:t>
            </w:r>
          </w:p>
        </w:tc>
      </w:tr>
      <w:tr>
        <w:tc>
          <w:tcPr>
            <w:tcW w:type="dxa" w:w="1814"/>
          </w:tcPr>
          <w:p>
            <w:r>
              <w:rPr>
                <w:rFonts w:ascii="Calibri" w:hAnsi="Calibri"/>
              </w:rPr>
              <w:t>Estimated Net (70–80%)</w:t>
            </w:r>
          </w:p>
        </w:tc>
        <w:tc>
          <w:tcPr>
            <w:tcW w:type="dxa" w:w="1814"/>
          </w:tcPr>
          <w:p>
            <w:r>
              <w:rPr>
                <w:rFonts w:ascii="Calibri" w:hAnsi="Calibri"/>
              </w:rPr>
              <w:t>NOK 1.5–2.4M</w:t>
            </w:r>
          </w:p>
        </w:tc>
        <w:tc>
          <w:tcPr>
            <w:tcW w:type="dxa" w:w="1814"/>
          </w:tcPr>
          <w:p>
            <w:r>
              <w:rPr>
                <w:rFonts w:ascii="Calibri" w:hAnsi="Calibri"/>
              </w:rPr>
              <w:t>NOK 2.9–4.3M</w:t>
            </w:r>
          </w:p>
        </w:tc>
        <w:tc>
          <w:tcPr>
            <w:tcW w:type="dxa" w:w="1814"/>
          </w:tcPr>
          <w:p>
            <w:r>
              <w:rPr>
                <w:rFonts w:ascii="Calibri" w:hAnsi="Calibri"/>
              </w:rPr>
              <w:t>NOK 3.8–4.8M</w:t>
            </w:r>
          </w:p>
        </w:tc>
        <w:tc>
          <w:tcPr>
            <w:tcW w:type="dxa" w:w="1814"/>
          </w:tcPr>
          <w:p>
            <w:r>
              <w:rPr>
                <w:rFonts w:ascii="Calibri" w:hAnsi="Calibri"/>
              </w:rPr>
              <w:t>NOK 4.2–4.8M</w:t>
            </w:r>
          </w:p>
        </w:tc>
      </w:tr>
    </w:tbl>
    <w:p/>
    <w:p>
      <w:pPr>
        <w:jc w:val="center"/>
      </w:pPr>
      <w:r>
        <w:drawing>
          <wp:inline xmlns:a="http://schemas.openxmlformats.org/drawingml/2006/main" xmlns:pic="http://schemas.openxmlformats.org/drawingml/2006/picture">
            <wp:extent cx="5303520" cy="2608839"/>
            <wp:docPr id="1" name="Picture 1"/>
            <wp:cNvGraphicFramePr>
              <a:graphicFrameLocks noChangeAspect="1"/>
            </wp:cNvGraphicFramePr>
            <a:graphic>
              <a:graphicData uri="http://schemas.openxmlformats.org/drawingml/2006/picture">
                <pic:pic>
                  <pic:nvPicPr>
                    <pic:cNvPr id="0" name="chart1_revenue.png"/>
                    <pic:cNvPicPr/>
                  </pic:nvPicPr>
                  <pic:blipFill>
                    <a:blip r:embed="rId9"/>
                    <a:stretch>
                      <a:fillRect/>
                    </a:stretch>
                  </pic:blipFill>
                  <pic:spPr>
                    <a:xfrm>
                      <a:off x="0" y="0"/>
                      <a:ext cx="5303520" cy="2608839"/>
                    </a:xfrm>
                    <a:prstGeom prst="rect"/>
                  </pic:spPr>
                </pic:pic>
              </a:graphicData>
            </a:graphic>
          </wp:inline>
        </w:drawing>
      </w:r>
    </w:p>
    <w:p>
      <w:pPr>
        <w:jc w:val="center"/>
      </w:pPr>
      <w:r>
        <w:rPr>
          <w:rFonts w:ascii="Calibri" w:hAnsi="Calibri"/>
          <w:b w:val="0"/>
          <w:i/>
          <w:color w:val="777777"/>
          <w:sz w:val="17"/>
        </w:rPr>
        <w:t>Figure 1 — Annual Revenue &amp; Net Income by Year</w:t>
      </w:r>
    </w:p>
    <w:p/>
    <w:p>
      <w:pPr>
        <w:pStyle w:val="Heading2"/>
      </w:pPr>
      <w:r>
        <w:rPr>
          <w:rFonts w:ascii="Calibri" w:hAnsi="Calibri"/>
          <w:color w:val="1A1A1A"/>
        </w:rPr>
        <w:t>5.2  Member Growth Projection</w:t>
      </w:r>
    </w:p>
    <w:p>
      <w:pPr>
        <w:jc w:val="center"/>
      </w:pPr>
      <w:r>
        <w:drawing>
          <wp:inline xmlns:a="http://schemas.openxmlformats.org/drawingml/2006/main" xmlns:pic="http://schemas.openxmlformats.org/drawingml/2006/picture">
            <wp:extent cx="5303520" cy="2634798"/>
            <wp:docPr id="2" name="Picture 2"/>
            <wp:cNvGraphicFramePr>
              <a:graphicFrameLocks noChangeAspect="1"/>
            </wp:cNvGraphicFramePr>
            <a:graphic>
              <a:graphicData uri="http://schemas.openxmlformats.org/drawingml/2006/picture">
                <pic:pic>
                  <pic:nvPicPr>
                    <pic:cNvPr id="0" name="chart2_members.png"/>
                    <pic:cNvPicPr/>
                  </pic:nvPicPr>
                  <pic:blipFill>
                    <a:blip r:embed="rId10"/>
                    <a:stretch>
                      <a:fillRect/>
                    </a:stretch>
                  </pic:blipFill>
                  <pic:spPr>
                    <a:xfrm>
                      <a:off x="0" y="0"/>
                      <a:ext cx="5303520" cy="2634798"/>
                    </a:xfrm>
                    <a:prstGeom prst="rect"/>
                  </pic:spPr>
                </pic:pic>
              </a:graphicData>
            </a:graphic>
          </wp:inline>
        </w:drawing>
      </w:r>
    </w:p>
    <w:p>
      <w:pPr>
        <w:jc w:val="center"/>
      </w:pPr>
      <w:r>
        <w:rPr>
          <w:rFonts w:ascii="Calibri" w:hAnsi="Calibri"/>
          <w:b w:val="0"/>
          <w:i/>
          <w:color w:val="777777"/>
          <w:sz w:val="17"/>
        </w:rPr>
        <w:t>Figure 2 — Projected Member Growth with Break-Even Threshold</w:t>
      </w:r>
    </w:p>
    <w:p/>
    <w:p>
      <w:pPr>
        <w:pStyle w:val="Heading2"/>
      </w:pPr>
      <w:r>
        <w:rPr>
          <w:rFonts w:ascii="Calibri" w:hAnsi="Calibri"/>
          <w:color w:val="1A1A1A"/>
        </w:rPr>
        <w:t>5.3  Break-Even Analysis</w:t>
      </w:r>
    </w:p>
    <w:p>
      <w:pPr>
        <w:jc w:val="center"/>
      </w:pPr>
      <w:r>
        <w:drawing>
          <wp:inline xmlns:a="http://schemas.openxmlformats.org/drawingml/2006/main" xmlns:pic="http://schemas.openxmlformats.org/drawingml/2006/picture">
            <wp:extent cx="5303520" cy="2608839"/>
            <wp:docPr id="3" name="Picture 3"/>
            <wp:cNvGraphicFramePr>
              <a:graphicFrameLocks noChangeAspect="1"/>
            </wp:cNvGraphicFramePr>
            <a:graphic>
              <a:graphicData uri="http://schemas.openxmlformats.org/drawingml/2006/picture">
                <pic:pic>
                  <pic:nvPicPr>
                    <pic:cNvPr id="0" name="chart3_breakeven.png"/>
                    <pic:cNvPicPr/>
                  </pic:nvPicPr>
                  <pic:blipFill>
                    <a:blip r:embed="rId11"/>
                    <a:stretch>
                      <a:fillRect/>
                    </a:stretch>
                  </pic:blipFill>
                  <pic:spPr>
                    <a:xfrm>
                      <a:off x="0" y="0"/>
                      <a:ext cx="5303520" cy="2608839"/>
                    </a:xfrm>
                    <a:prstGeom prst="rect"/>
                  </pic:spPr>
                </pic:pic>
              </a:graphicData>
            </a:graphic>
          </wp:inline>
        </w:drawing>
      </w:r>
    </w:p>
    <w:p>
      <w:pPr>
        <w:jc w:val="center"/>
      </w:pPr>
      <w:r>
        <w:rPr>
          <w:rFonts w:ascii="Calibri" w:hAnsi="Calibri"/>
          <w:b w:val="0"/>
          <w:i/>
          <w:color w:val="777777"/>
          <w:sz w:val="17"/>
        </w:rPr>
        <w:t>Figure 3 — Monthly Revenue vs. Costs (Break-Even at ~12–15 members)</w:t>
      </w:r>
    </w:p>
    <w:p/>
    <w:p>
      <w:r>
        <w:rPr>
          <w:rFonts w:ascii="Calibri" w:hAnsi="Calibri"/>
          <w:b/>
          <w:i w:val="0"/>
          <w:sz w:val="21"/>
        </w:rPr>
        <w:t xml:space="preserve">Break-even point: </w:t>
      </w:r>
      <w:r>
        <w:rPr>
          <w:rFonts w:ascii="Calibri" w:hAnsi="Calibri"/>
          <w:b w:val="0"/>
          <w:i w:val="0"/>
          <w:sz w:val="21"/>
        </w:rPr>
        <w:t>15–18 members generating NOK 75,000–90,000/month vs. NOK 40,000–60,000/month costs</w:t>
      </w:r>
    </w:p>
    <w:p>
      <w:r>
        <w:rPr>
          <w:rFonts w:ascii="Calibri" w:hAnsi="Calibri"/>
          <w:b/>
          <w:i w:val="0"/>
          <w:sz w:val="21"/>
        </w:rPr>
        <w:t xml:space="preserve">Timeline to break-even: </w:t>
      </w:r>
      <w:r>
        <w:rPr>
          <w:rFonts w:ascii="Calibri" w:hAnsi="Calibri"/>
          <w:b w:val="0"/>
          <w:i w:val="0"/>
          <w:sz w:val="21"/>
        </w:rPr>
        <w:t>60–90 days from launch given existing professional network</w:t>
      </w:r>
    </w:p>
    <w:p>
      <w:r>
        <w:rPr>
          <w:rFonts w:ascii="Calibri" w:hAnsi="Calibri"/>
          <w:b/>
          <w:i w:val="0"/>
          <w:sz w:val="21"/>
        </w:rPr>
        <w:t xml:space="preserve">Payback on setup investment: </w:t>
      </w:r>
      <w:r>
        <w:rPr>
          <w:rFonts w:ascii="Calibri" w:hAnsi="Calibri"/>
          <w:b w:val="0"/>
          <w:i w:val="0"/>
          <w:sz w:val="21"/>
        </w:rPr>
        <w:t>Within 6–12 months at Tier 2 average pricing</w:t>
      </w:r>
    </w:p>
    <w:p/>
    <w:p>
      <w:pPr>
        <w:pStyle w:val="Heading2"/>
      </w:pPr>
      <w:r>
        <w:rPr>
          <w:rFonts w:ascii="Calibri" w:hAnsi="Calibri"/>
          <w:color w:val="1A1A1A"/>
        </w:rPr>
        <w:t>5.4  Revenue Mix by Tier</w:t>
      </w:r>
    </w:p>
    <w:p>
      <w:pPr>
        <w:jc w:val="center"/>
      </w:pPr>
      <w:r>
        <w:drawing>
          <wp:inline xmlns:a="http://schemas.openxmlformats.org/drawingml/2006/main" xmlns:pic="http://schemas.openxmlformats.org/drawingml/2006/picture">
            <wp:extent cx="5303520" cy="2616303"/>
            <wp:docPr id="4" name="Picture 4"/>
            <wp:cNvGraphicFramePr>
              <a:graphicFrameLocks noChangeAspect="1"/>
            </wp:cNvGraphicFramePr>
            <a:graphic>
              <a:graphicData uri="http://schemas.openxmlformats.org/drawingml/2006/picture">
                <pic:pic>
                  <pic:nvPicPr>
                    <pic:cNvPr id="0" name="chart4_tier_mix.png"/>
                    <pic:cNvPicPr/>
                  </pic:nvPicPr>
                  <pic:blipFill>
                    <a:blip r:embed="rId12"/>
                    <a:stretch>
                      <a:fillRect/>
                    </a:stretch>
                  </pic:blipFill>
                  <pic:spPr>
                    <a:xfrm>
                      <a:off x="0" y="0"/>
                      <a:ext cx="5303520" cy="2616303"/>
                    </a:xfrm>
                    <a:prstGeom prst="rect"/>
                  </pic:spPr>
                </pic:pic>
              </a:graphicData>
            </a:graphic>
          </wp:inline>
        </w:drawing>
      </w:r>
    </w:p>
    <w:p>
      <w:pPr>
        <w:jc w:val="center"/>
      </w:pPr>
      <w:r>
        <w:rPr>
          <w:rFonts w:ascii="Calibri" w:hAnsi="Calibri"/>
          <w:b w:val="0"/>
          <w:i/>
          <w:color w:val="777777"/>
          <w:sz w:val="17"/>
        </w:rPr>
        <w:t>Figure 4 — Annual Revenue by Membership Tier</w:t>
      </w:r>
    </w:p>
    <w:p/>
    <w:p>
      <w:pPr>
        <w:pStyle w:val="Heading2"/>
      </w:pPr>
      <w:r>
        <w:rPr>
          <w:rFonts w:ascii="Calibri" w:hAnsi="Calibri"/>
          <w:color w:val="1A1A1A"/>
        </w:rPr>
        <w:t>5.5  5-Year Financial Waterfall</w:t>
      </w:r>
    </w:p>
    <w:p>
      <w:pPr>
        <w:jc w:val="center"/>
      </w:pPr>
      <w:r>
        <w:drawing>
          <wp:inline xmlns:a="http://schemas.openxmlformats.org/drawingml/2006/main" xmlns:pic="http://schemas.openxmlformats.org/drawingml/2006/picture">
            <wp:extent cx="5303520" cy="2608839"/>
            <wp:docPr id="5" name="Picture 5"/>
            <wp:cNvGraphicFramePr>
              <a:graphicFrameLocks noChangeAspect="1"/>
            </wp:cNvGraphicFramePr>
            <a:graphic>
              <a:graphicData uri="http://schemas.openxmlformats.org/drawingml/2006/picture">
                <pic:pic>
                  <pic:nvPicPr>
                    <pic:cNvPr id="0" name="chart5_waterfall.png"/>
                    <pic:cNvPicPr/>
                  </pic:nvPicPr>
                  <pic:blipFill>
                    <a:blip r:embed="rId13"/>
                    <a:stretch>
                      <a:fillRect/>
                    </a:stretch>
                  </pic:blipFill>
                  <pic:spPr>
                    <a:xfrm>
                      <a:off x="0" y="0"/>
                      <a:ext cx="5303520" cy="2608839"/>
                    </a:xfrm>
                    <a:prstGeom prst="rect"/>
                  </pic:spPr>
                </pic:pic>
              </a:graphicData>
            </a:graphic>
          </wp:inline>
        </w:drawing>
      </w:r>
    </w:p>
    <w:p>
      <w:pPr>
        <w:jc w:val="center"/>
      </w:pPr>
      <w:r>
        <w:rPr>
          <w:rFonts w:ascii="Calibri" w:hAnsi="Calibri"/>
          <w:b w:val="0"/>
          <w:i/>
          <w:color w:val="777777"/>
          <w:sz w:val="17"/>
        </w:rPr>
        <w:t>Figure 5 — 5-Year Cumulative Net Income Waterfall (setup costs deducted)</w:t>
      </w:r>
    </w:p>
    <w:p/>
    <w:p>
      <w:pPr>
        <w:pStyle w:val="Heading2"/>
      </w:pPr>
      <w:r>
        <w:rPr>
          <w:rFonts w:ascii="Calibri" w:hAnsi="Calibri"/>
          <w:color w:val="1A1A1A"/>
        </w:rPr>
        <w:t>5.6  Cost Structure</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Cost Item</w:t>
            </w:r>
          </w:p>
        </w:tc>
        <w:tc>
          <w:tcPr>
            <w:tcW w:type="dxa" w:w="3024"/>
          </w:tcPr>
          <w:p>
            <w:r>
              <w:rPr>
                <w:rFonts w:ascii="Calibri" w:hAnsi="Calibri"/>
                <w:b/>
              </w:rPr>
              <w:t>Monthly</w:t>
            </w:r>
          </w:p>
        </w:tc>
        <w:tc>
          <w:tcPr>
            <w:tcW w:type="dxa" w:w="3024"/>
          </w:tcPr>
          <w:p>
            <w:r>
              <w:rPr>
                <w:rFonts w:ascii="Calibri" w:hAnsi="Calibri"/>
                <w:b/>
              </w:rPr>
              <w:t>Annual</w:t>
            </w:r>
          </w:p>
        </w:tc>
      </w:tr>
      <w:tr>
        <w:tc>
          <w:tcPr>
            <w:tcW w:type="dxa" w:w="3024"/>
          </w:tcPr>
          <w:p>
            <w:r>
              <w:rPr>
                <w:rFonts w:ascii="Calibri" w:hAnsi="Calibri"/>
              </w:rPr>
              <w:t>Clinic room rental (Oslo centre)</w:t>
            </w:r>
          </w:p>
        </w:tc>
        <w:tc>
          <w:tcPr>
            <w:tcW w:type="dxa" w:w="3024"/>
          </w:tcPr>
          <w:p>
            <w:r>
              <w:rPr>
                <w:rFonts w:ascii="Calibri" w:hAnsi="Calibri"/>
              </w:rPr>
              <w:t>NOK 10,000–20,000</w:t>
            </w:r>
          </w:p>
        </w:tc>
        <w:tc>
          <w:tcPr>
            <w:tcW w:type="dxa" w:w="3024"/>
          </w:tcPr>
          <w:p>
            <w:r>
              <w:rPr>
                <w:rFonts w:ascii="Calibri" w:hAnsi="Calibri"/>
              </w:rPr>
              <w:t>NOK 120,000–240,000</w:t>
            </w:r>
          </w:p>
        </w:tc>
      </w:tr>
      <w:tr>
        <w:tc>
          <w:tcPr>
            <w:tcW w:type="dxa" w:w="3024"/>
          </w:tcPr>
          <w:p>
            <w:r>
              <w:rPr>
                <w:rFonts w:ascii="Calibri" w:hAnsi="Calibri"/>
              </w:rPr>
              <w:t>Lab costs</w:t>
            </w:r>
          </w:p>
        </w:tc>
        <w:tc>
          <w:tcPr>
            <w:tcW w:type="dxa" w:w="3024"/>
          </w:tcPr>
          <w:p>
            <w:r>
              <w:rPr>
                <w:rFonts w:ascii="Calibri" w:hAnsi="Calibri"/>
              </w:rPr>
              <w:t>NOK 5,000–15,000</w:t>
            </w:r>
          </w:p>
        </w:tc>
        <w:tc>
          <w:tcPr>
            <w:tcW w:type="dxa" w:w="3024"/>
          </w:tcPr>
          <w:p>
            <w:r>
              <w:rPr>
                <w:rFonts w:ascii="Calibri" w:hAnsi="Calibri"/>
              </w:rPr>
              <w:t>NOK 60,000–180,000</w:t>
            </w:r>
          </w:p>
        </w:tc>
      </w:tr>
      <w:tr>
        <w:tc>
          <w:tcPr>
            <w:tcW w:type="dxa" w:w="3024"/>
          </w:tcPr>
          <w:p>
            <w:r>
              <w:rPr>
                <w:rFonts w:ascii="Calibri" w:hAnsi="Calibri"/>
              </w:rPr>
              <w:t>OpenClaw / AI infrastructure</w:t>
            </w:r>
          </w:p>
        </w:tc>
        <w:tc>
          <w:tcPr>
            <w:tcW w:type="dxa" w:w="3024"/>
          </w:tcPr>
          <w:p>
            <w:r>
              <w:rPr>
                <w:rFonts w:ascii="Calibri" w:hAnsi="Calibri"/>
              </w:rPr>
              <w:t>NOK 1,000–2,000</w:t>
            </w:r>
          </w:p>
        </w:tc>
        <w:tc>
          <w:tcPr>
            <w:tcW w:type="dxa" w:w="3024"/>
          </w:tcPr>
          <w:p>
            <w:r>
              <w:rPr>
                <w:rFonts w:ascii="Calibri" w:hAnsi="Calibri"/>
              </w:rPr>
              <w:t>NOK 12,000–24,000</w:t>
            </w:r>
          </w:p>
        </w:tc>
      </w:tr>
      <w:tr>
        <w:tc>
          <w:tcPr>
            <w:tcW w:type="dxa" w:w="3024"/>
          </w:tcPr>
          <w:p>
            <w:r>
              <w:rPr>
                <w:rFonts w:ascii="Calibri" w:hAnsi="Calibri"/>
              </w:rPr>
              <w:t>EPJ system (EG Pasientsky)</w:t>
            </w:r>
          </w:p>
        </w:tc>
        <w:tc>
          <w:tcPr>
            <w:tcW w:type="dxa" w:w="3024"/>
          </w:tcPr>
          <w:p>
            <w:r>
              <w:rPr>
                <w:rFonts w:ascii="Calibri" w:hAnsi="Calibri"/>
              </w:rPr>
              <w:t>NOK 600–800</w:t>
            </w:r>
          </w:p>
        </w:tc>
        <w:tc>
          <w:tcPr>
            <w:tcW w:type="dxa" w:w="3024"/>
          </w:tcPr>
          <w:p>
            <w:r>
              <w:rPr>
                <w:rFonts w:ascii="Calibri" w:hAnsi="Calibri"/>
              </w:rPr>
              <w:t>NOK 7,200–9,600</w:t>
            </w:r>
          </w:p>
        </w:tc>
      </w:tr>
      <w:tr>
        <w:tc>
          <w:tcPr>
            <w:tcW w:type="dxa" w:w="3024"/>
          </w:tcPr>
          <w:p>
            <w:r>
              <w:rPr>
                <w:rFonts w:ascii="Calibri" w:hAnsi="Calibri"/>
              </w:rPr>
              <w:t>NPE contribution</w:t>
            </w:r>
          </w:p>
        </w:tc>
        <w:tc>
          <w:tcPr>
            <w:tcW w:type="dxa" w:w="3024"/>
          </w:tcPr>
          <w:p>
            <w:r>
              <w:rPr>
                <w:rFonts w:ascii="Calibri" w:hAnsi="Calibri"/>
              </w:rPr>
              <w:t>—</w:t>
            </w:r>
          </w:p>
        </w:tc>
        <w:tc>
          <w:tcPr>
            <w:tcW w:type="dxa" w:w="3024"/>
          </w:tcPr>
          <w:p>
            <w:r>
              <w:rPr>
                <w:rFonts w:ascii="Calibri" w:hAnsi="Calibri"/>
              </w:rPr>
              <w:t>NOK 1,000–2,500</w:t>
            </w:r>
          </w:p>
        </w:tc>
      </w:tr>
      <w:tr>
        <w:tc>
          <w:tcPr>
            <w:tcW w:type="dxa" w:w="3024"/>
          </w:tcPr>
          <w:p>
            <w:r>
              <w:rPr>
                <w:rFonts w:ascii="Calibri" w:hAnsi="Calibri"/>
              </w:rPr>
              <w:t>Professional liability insurance</w:t>
            </w:r>
          </w:p>
        </w:tc>
        <w:tc>
          <w:tcPr>
            <w:tcW w:type="dxa" w:w="3024"/>
          </w:tcPr>
          <w:p>
            <w:r>
              <w:rPr>
                <w:rFonts w:ascii="Calibri" w:hAnsi="Calibri"/>
              </w:rPr>
              <w:t>—</w:t>
            </w:r>
          </w:p>
        </w:tc>
        <w:tc>
          <w:tcPr>
            <w:tcW w:type="dxa" w:w="3024"/>
          </w:tcPr>
          <w:p>
            <w:r>
              <w:rPr>
                <w:rFonts w:ascii="Calibri" w:hAnsi="Calibri"/>
              </w:rPr>
              <w:t>NOK 20,000–40,000</w:t>
            </w:r>
          </w:p>
        </w:tc>
      </w:tr>
      <w:tr>
        <w:tc>
          <w:tcPr>
            <w:tcW w:type="dxa" w:w="3024"/>
          </w:tcPr>
          <w:p>
            <w:r>
              <w:rPr>
                <w:rFonts w:ascii="Calibri" w:hAnsi="Calibri"/>
              </w:rPr>
              <w:t>Accountant / legal</w:t>
            </w:r>
          </w:p>
        </w:tc>
        <w:tc>
          <w:tcPr>
            <w:tcW w:type="dxa" w:w="3024"/>
          </w:tcPr>
          <w:p>
            <w:r>
              <w:rPr>
                <w:rFonts w:ascii="Calibri" w:hAnsi="Calibri"/>
              </w:rPr>
              <w:t>—</w:t>
            </w:r>
          </w:p>
        </w:tc>
        <w:tc>
          <w:tcPr>
            <w:tcW w:type="dxa" w:w="3024"/>
          </w:tcPr>
          <w:p>
            <w:r>
              <w:rPr>
                <w:rFonts w:ascii="Calibri" w:hAnsi="Calibri"/>
              </w:rPr>
              <w:t>NOK 30,000–60,000</w:t>
            </w:r>
          </w:p>
        </w:tc>
      </w:tr>
      <w:tr>
        <w:tc>
          <w:tcPr>
            <w:tcW w:type="dxa" w:w="3024"/>
          </w:tcPr>
          <w:p>
            <w:r>
              <w:rPr>
                <w:rFonts w:ascii="Calibri" w:hAnsi="Calibri"/>
              </w:rPr>
              <w:t>Marketing and content</w:t>
            </w:r>
          </w:p>
        </w:tc>
        <w:tc>
          <w:tcPr>
            <w:tcW w:type="dxa" w:w="3024"/>
          </w:tcPr>
          <w:p>
            <w:r>
              <w:rPr>
                <w:rFonts w:ascii="Calibri" w:hAnsi="Calibri"/>
              </w:rPr>
              <w:t>—</w:t>
            </w:r>
          </w:p>
        </w:tc>
        <w:tc>
          <w:tcPr>
            <w:tcW w:type="dxa" w:w="3024"/>
          </w:tcPr>
          <w:p>
            <w:r>
              <w:rPr>
                <w:rFonts w:ascii="Calibri" w:hAnsi="Calibri"/>
              </w:rPr>
              <w:t>NOK 20,000–40,000</w:t>
            </w:r>
          </w:p>
        </w:tc>
      </w:tr>
      <w:tr>
        <w:tc>
          <w:tcPr>
            <w:tcW w:type="dxa" w:w="3024"/>
          </w:tcPr>
          <w:p>
            <w:r>
              <w:rPr>
                <w:rFonts w:ascii="Calibri" w:hAnsi="Calibri"/>
              </w:rPr>
              <w:t>Total (at full operation)</w:t>
            </w:r>
          </w:p>
        </w:tc>
        <w:tc>
          <w:tcPr>
            <w:tcW w:type="dxa" w:w="3024"/>
          </w:tcPr>
          <w:p>
            <w:r>
              <w:rPr>
                <w:rFonts w:ascii="Calibri" w:hAnsi="Calibri"/>
              </w:rPr>
              <w:t>NOK 40,000–80,000</w:t>
            </w:r>
          </w:p>
        </w:tc>
        <w:tc>
          <w:tcPr>
            <w:tcW w:type="dxa" w:w="3024"/>
          </w:tcPr>
          <w:p>
            <w:r>
              <w:rPr>
                <w:rFonts w:ascii="Calibri" w:hAnsi="Calibri"/>
              </w:rPr>
              <w:t>NOK 480,000–720,000</w:t>
            </w:r>
          </w:p>
        </w:tc>
      </w:tr>
    </w:tbl>
    <w:p/>
    <w:p>
      <w:pPr>
        <w:pStyle w:val="Heading2"/>
      </w:pPr>
      <w:r>
        <w:rPr>
          <w:rFonts w:ascii="Calibri" w:hAnsi="Calibri"/>
          <w:color w:val="1A1A1A"/>
        </w:rPr>
        <w:t>5.7  Tax Structure</w:t>
      </w:r>
    </w:p>
    <w:p>
      <w:r>
        <w:rPr>
          <w:rFonts w:ascii="Calibri" w:hAnsi="Calibri"/>
          <w:b w:val="0"/>
          <w:i w:val="0"/>
          <w:sz w:val="21"/>
        </w:rPr>
        <w:t>Register as AS (Aksjeselskap). Corporate tax rate 22%. Optimal structure: salary of NOK 700,000–900,000 with retained earnings compounding in the company. Dividends extracted at 37.84% effective rate. A skilled skatteadvokat can optimise this structure to be worth NOK 200,000–500,000/year in after-tax income.</w:t>
      </w:r>
    </w:p>
    <w:p>
      <w:r>
        <w:br w:type="page"/>
      </w:r>
    </w:p>
    <w:p>
      <w:pPr>
        <w:pStyle w:val="Heading1"/>
      </w:pPr>
      <w:r>
        <w:rPr>
          <w:rFonts w:ascii="Calibri" w:hAnsi="Calibri"/>
          <w:color w:val="1A1A1A"/>
        </w:rPr>
        <w:t>6. Marketing &amp; Customer Acquisition</w:t>
      </w:r>
    </w:p>
    <w:p>
      <w:pPr>
        <w:pStyle w:val="Heading2"/>
      </w:pPr>
      <w:r>
        <w:rPr>
          <w:rFonts w:ascii="Calibri" w:hAnsi="Calibri"/>
          <w:color w:val="1A1A1A"/>
        </w:rPr>
        <w:t>6.1  Core Positioning</w:t>
      </w:r>
    </w:p>
    <w:p>
      <w:pPr>
        <w:jc w:val="center"/>
      </w:pPr>
      <w:r>
        <w:rPr>
          <w:rFonts w:ascii="Calibri" w:hAnsi="Calibri"/>
          <w:b w:val="0"/>
          <w:i/>
          <w:color w:val="1A2E4A"/>
          <w:sz w:val="26"/>
        </w:rPr>
        <w:t>"Din personlige helsesjef — legen som faktisk kjenner deg."</w:t>
      </w:r>
    </w:p>
    <w:p/>
    <w:p>
      <w:r>
        <w:rPr>
          <w:rFonts w:ascii="Calibri" w:hAnsi="Calibri"/>
          <w:b w:val="0"/>
          <w:i w:val="0"/>
          <w:sz w:val="21"/>
        </w:rPr>
        <w:t>This is not a healthcare pitch. It is a relationship pitch. Oslo's most successful people are missing one thing their peers in London and New York increasingly have: a doctor who actually knows them. The physician who remembers their labs from three years ago, who messages when sleep data looks concerning, who treats health as an ongoing project — not a series of 10-minute appointments.</w:t>
      </w:r>
    </w:p>
    <w:p/>
    <w:p>
      <w:pPr>
        <w:pStyle w:val="Heading2"/>
      </w:pPr>
      <w:r>
        <w:rPr>
          <w:rFonts w:ascii="Calibri" w:hAnsi="Calibri"/>
          <w:color w:val="1A1A1A"/>
        </w:rPr>
        <w:t>6.2  Acquisition Channels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Channel</w:t>
            </w:r>
          </w:p>
        </w:tc>
        <w:tc>
          <w:tcPr>
            <w:tcW w:type="dxa" w:w="2268"/>
          </w:tcPr>
          <w:p>
            <w:r>
              <w:rPr>
                <w:rFonts w:ascii="Calibri" w:hAnsi="Calibri"/>
                <w:b/>
              </w:rPr>
              <w:t>Timeline</w:t>
            </w:r>
          </w:p>
        </w:tc>
        <w:tc>
          <w:tcPr>
            <w:tcW w:type="dxa" w:w="2268"/>
          </w:tcPr>
          <w:p>
            <w:r>
              <w:rPr>
                <w:rFonts w:ascii="Calibri" w:hAnsi="Calibri"/>
                <w:b/>
              </w:rPr>
              <w:t>Target</w:t>
            </w:r>
          </w:p>
        </w:tc>
        <w:tc>
          <w:tcPr>
            <w:tcW w:type="dxa" w:w="2268"/>
          </w:tcPr>
          <w:p>
            <w:r>
              <w:rPr>
                <w:rFonts w:ascii="Calibri" w:hAnsi="Calibri"/>
                <w:b/>
              </w:rPr>
              <w:t>ROI</w:t>
            </w:r>
          </w:p>
        </w:tc>
      </w:tr>
      <w:tr>
        <w:tc>
          <w:tcPr>
            <w:tcW w:type="dxa" w:w="2268"/>
          </w:tcPr>
          <w:p>
            <w:r>
              <w:rPr>
                <w:rFonts w:ascii="Calibri" w:hAnsi="Calibri"/>
              </w:rPr>
              <w:t>Personal network outreach</w:t>
            </w:r>
          </w:p>
        </w:tc>
        <w:tc>
          <w:tcPr>
            <w:tcW w:type="dxa" w:w="2268"/>
          </w:tcPr>
          <w:p>
            <w:r>
              <w:rPr>
                <w:rFonts w:ascii="Calibri" w:hAnsi="Calibri"/>
              </w:rPr>
              <w:t>Month 1–3</w:t>
            </w:r>
          </w:p>
        </w:tc>
        <w:tc>
          <w:tcPr>
            <w:tcW w:type="dxa" w:w="2268"/>
          </w:tcPr>
          <w:p>
            <w:r>
              <w:rPr>
                <w:rFonts w:ascii="Calibri" w:hAnsi="Calibri"/>
              </w:rPr>
              <w:t>10–15 founding members</w:t>
            </w:r>
          </w:p>
        </w:tc>
        <w:tc>
          <w:tcPr>
            <w:tcW w:type="dxa" w:w="2268"/>
          </w:tcPr>
          <w:p>
            <w:r>
              <w:rPr>
                <w:rFonts w:ascii="Calibri" w:hAnsi="Calibri"/>
              </w:rPr>
              <w:t>Highest — zero cost</w:t>
            </w:r>
          </w:p>
        </w:tc>
      </w:tr>
      <w:tr>
        <w:tc>
          <w:tcPr>
            <w:tcW w:type="dxa" w:w="2268"/>
          </w:tcPr>
          <w:p>
            <w:r>
              <w:rPr>
                <w:rFonts w:ascii="Calibri" w:hAnsi="Calibri"/>
              </w:rPr>
              <w:t>Executive Health Audit (NOK 15,000)</w:t>
            </w:r>
          </w:p>
        </w:tc>
        <w:tc>
          <w:tcPr>
            <w:tcW w:type="dxa" w:w="2268"/>
          </w:tcPr>
          <w:p>
            <w:r>
              <w:rPr>
                <w:rFonts w:ascii="Calibri" w:hAnsi="Calibri"/>
              </w:rPr>
              <w:t>Month 3+</w:t>
            </w:r>
          </w:p>
        </w:tc>
        <w:tc>
          <w:tcPr>
            <w:tcW w:type="dxa" w:w="2268"/>
          </w:tcPr>
          <w:p>
            <w:r>
              <w:rPr>
                <w:rFonts w:ascii="Calibri" w:hAnsi="Calibri"/>
              </w:rPr>
              <w:t>Corporate entry, ~40% convert to membership</w:t>
            </w:r>
          </w:p>
        </w:tc>
        <w:tc>
          <w:tcPr>
            <w:tcW w:type="dxa" w:w="2268"/>
          </w:tcPr>
          <w:p>
            <w:r>
              <w:rPr>
                <w:rFonts w:ascii="Calibri" w:hAnsi="Calibri"/>
              </w:rPr>
              <w:t>High — self-funding</w:t>
            </w:r>
          </w:p>
        </w:tc>
      </w:tr>
      <w:tr>
        <w:tc>
          <w:tcPr>
            <w:tcW w:type="dxa" w:w="2268"/>
          </w:tcPr>
          <w:p>
            <w:r>
              <w:rPr>
                <w:rFonts w:ascii="Calibri" w:hAnsi="Calibri"/>
              </w:rPr>
              <w:t>Corporate executive benefits</w:t>
            </w:r>
          </w:p>
        </w:tc>
        <w:tc>
          <w:tcPr>
            <w:tcW w:type="dxa" w:w="2268"/>
          </w:tcPr>
          <w:p>
            <w:r>
              <w:rPr>
                <w:rFonts w:ascii="Calibri" w:hAnsi="Calibri"/>
              </w:rPr>
              <w:t>Month 3–6</w:t>
            </w:r>
          </w:p>
        </w:tc>
        <w:tc>
          <w:tcPr>
            <w:tcW w:type="dxa" w:w="2268"/>
          </w:tcPr>
          <w:p>
            <w:r>
              <w:rPr>
                <w:rFonts w:ascii="Calibri" w:hAnsi="Calibri"/>
              </w:rPr>
              <w:t>5–10 Oslo companies</w:t>
            </w:r>
          </w:p>
        </w:tc>
        <w:tc>
          <w:tcPr>
            <w:tcW w:type="dxa" w:w="2268"/>
          </w:tcPr>
          <w:p>
            <w:r>
              <w:rPr>
                <w:rFonts w:ascii="Calibri" w:hAnsi="Calibri"/>
              </w:rPr>
              <w:t>High — scales revenue</w:t>
            </w:r>
          </w:p>
        </w:tc>
      </w:tr>
      <w:tr>
        <w:tc>
          <w:tcPr>
            <w:tcW w:type="dxa" w:w="2268"/>
          </w:tcPr>
          <w:p>
            <w:r>
              <w:rPr>
                <w:rFonts w:ascii="Calibri" w:hAnsi="Calibri"/>
              </w:rPr>
              <w:t>Thought leadership (Finansavisen/DN)</w:t>
            </w:r>
          </w:p>
        </w:tc>
        <w:tc>
          <w:tcPr>
            <w:tcW w:type="dxa" w:w="2268"/>
          </w:tcPr>
          <w:p>
            <w:r>
              <w:rPr>
                <w:rFonts w:ascii="Calibri" w:hAnsi="Calibri"/>
              </w:rPr>
              <w:t>Ongoing</w:t>
            </w:r>
          </w:p>
        </w:tc>
        <w:tc>
          <w:tcPr>
            <w:tcW w:type="dxa" w:w="2268"/>
          </w:tcPr>
          <w:p>
            <w:r>
              <w:rPr>
                <w:rFonts w:ascii="Calibri" w:hAnsi="Calibri"/>
              </w:rPr>
              <w:t>Inbound leads</w:t>
            </w:r>
          </w:p>
        </w:tc>
        <w:tc>
          <w:tcPr>
            <w:tcW w:type="dxa" w:w="2268"/>
          </w:tcPr>
          <w:p>
            <w:r>
              <w:rPr>
                <w:rFonts w:ascii="Calibri" w:hAnsi="Calibri"/>
              </w:rPr>
              <w:t>High — brand-building</w:t>
            </w:r>
          </w:p>
        </w:tc>
      </w:tr>
      <w:tr>
        <w:tc>
          <w:tcPr>
            <w:tcW w:type="dxa" w:w="2268"/>
          </w:tcPr>
          <w:p>
            <w:r>
              <w:rPr>
                <w:rFonts w:ascii="Calibri" w:hAnsi="Calibri"/>
              </w:rPr>
              <w:t>Referral programme (1 free month)</w:t>
            </w:r>
          </w:p>
        </w:tc>
        <w:tc>
          <w:tcPr>
            <w:tcW w:type="dxa" w:w="2268"/>
          </w:tcPr>
          <w:p>
            <w:r>
              <w:rPr>
                <w:rFonts w:ascii="Calibri" w:hAnsi="Calibri"/>
              </w:rPr>
              <w:t>Month 4+</w:t>
            </w:r>
          </w:p>
        </w:tc>
        <w:tc>
          <w:tcPr>
            <w:tcW w:type="dxa" w:w="2268"/>
          </w:tcPr>
          <w:p>
            <w:r>
              <w:rPr>
                <w:rFonts w:ascii="Calibri" w:hAnsi="Calibri"/>
              </w:rPr>
              <w:t>Member-driven acquisition</w:t>
            </w:r>
          </w:p>
        </w:tc>
        <w:tc>
          <w:tcPr>
            <w:tcW w:type="dxa" w:w="2268"/>
          </w:tcPr>
          <w:p>
            <w:r>
              <w:rPr>
                <w:rFonts w:ascii="Calibri" w:hAnsi="Calibri"/>
              </w:rPr>
              <w:t>Highest — trust transfer</w:t>
            </w:r>
          </w:p>
        </w:tc>
      </w:tr>
      <w:tr>
        <w:tc>
          <w:tcPr>
            <w:tcW w:type="dxa" w:w="2268"/>
          </w:tcPr>
          <w:p>
            <w:r>
              <w:rPr>
                <w:rFonts w:ascii="Calibri" w:hAnsi="Calibri"/>
              </w:rPr>
              <w:t>Premium partnerships (gym, physio, coaching)</w:t>
            </w:r>
          </w:p>
        </w:tc>
        <w:tc>
          <w:tcPr>
            <w:tcW w:type="dxa" w:w="2268"/>
          </w:tcPr>
          <w:p>
            <w:r>
              <w:rPr>
                <w:rFonts w:ascii="Calibri" w:hAnsi="Calibri"/>
              </w:rPr>
              <w:t>Month 6+</w:t>
            </w:r>
          </w:p>
        </w:tc>
        <w:tc>
          <w:tcPr>
            <w:tcW w:type="dxa" w:w="2268"/>
          </w:tcPr>
          <w:p>
            <w:r>
              <w:rPr>
                <w:rFonts w:ascii="Calibri" w:hAnsi="Calibri"/>
              </w:rPr>
              <w:t>Warm wellness audiences</w:t>
            </w:r>
          </w:p>
        </w:tc>
        <w:tc>
          <w:tcPr>
            <w:tcW w:type="dxa" w:w="2268"/>
          </w:tcPr>
          <w:p>
            <w:r>
              <w:rPr>
                <w:rFonts w:ascii="Calibri" w:hAnsi="Calibri"/>
              </w:rPr>
              <w:t>Medium</w:t>
            </w:r>
          </w:p>
        </w:tc>
      </w:tr>
    </w:tbl>
    <w:p/>
    <w:p>
      <w:pPr>
        <w:pStyle w:val="Heading2"/>
      </w:pPr>
      <w:r>
        <w:rPr>
          <w:rFonts w:ascii="Calibri" w:hAnsi="Calibri"/>
          <w:color w:val="1A1A1A"/>
        </w:rPr>
        <w:t>6.3  The Corporate Benefits Channel</w:t>
      </w:r>
    </w:p>
    <w:p>
      <w:r>
        <w:rPr>
          <w:rFonts w:ascii="Calibri" w:hAnsi="Calibri"/>
          <w:b w:val="0"/>
          <w:i w:val="0"/>
          <w:sz w:val="21"/>
        </w:rPr>
        <w:t>The corporate pitch is straightforward: executive health membership as a benefit costs NOK 30,000–120,000 per executive annually — trivial against the cost of an executive vacancy (typically 1–2× annual salary). A single agreement covering five executives generates NOK 150,000–600,000 in recurring annual revenue.</w:t>
      </w:r>
    </w:p>
    <w:p>
      <w:r>
        <w:rPr>
          <w:rFonts w:ascii="Calibri" w:hAnsi="Calibri"/>
          <w:b w:val="0"/>
          <w:i w:val="0"/>
          <w:sz w:val="21"/>
        </w:rPr>
        <w:t>Secure 2-year exclusivity agreements with one premium private clinic and one premium gym (e.g. SATS Elite). This prevents direct replication and creates a defensible referral network.</w:t>
      </w:r>
    </w:p>
    <w:p>
      <w:r>
        <w:br w:type="page"/>
      </w:r>
    </w:p>
    <w:p>
      <w:pPr>
        <w:pStyle w:val="Heading1"/>
      </w:pPr>
      <w:r>
        <w:rPr>
          <w:rFonts w:ascii="Calibri" w:hAnsi="Calibri"/>
          <w:color w:val="1A1A1A"/>
        </w:rPr>
        <w:t>7. Implementation Roadmap</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Phase</w:t>
            </w:r>
          </w:p>
        </w:tc>
        <w:tc>
          <w:tcPr>
            <w:tcW w:type="dxa" w:w="2268"/>
          </w:tcPr>
          <w:p>
            <w:r>
              <w:rPr>
                <w:rFonts w:ascii="Calibri" w:hAnsi="Calibri"/>
                <w:b/>
              </w:rPr>
              <w:t>Timeline</w:t>
            </w:r>
          </w:p>
        </w:tc>
        <w:tc>
          <w:tcPr>
            <w:tcW w:type="dxa" w:w="2268"/>
          </w:tcPr>
          <w:p>
            <w:r>
              <w:rPr>
                <w:rFonts w:ascii="Calibri" w:hAnsi="Calibri"/>
                <w:b/>
              </w:rPr>
              <w:t>Objectives</w:t>
            </w:r>
          </w:p>
        </w:tc>
        <w:tc>
          <w:tcPr>
            <w:tcW w:type="dxa" w:w="2268"/>
          </w:tcPr>
          <w:p>
            <w:r>
              <w:rPr>
                <w:rFonts w:ascii="Calibri" w:hAnsi="Calibri"/>
                <w:b/>
              </w:rPr>
              <w:t>Key Milestones</w:t>
            </w:r>
          </w:p>
        </w:tc>
      </w:tr>
      <w:tr>
        <w:tc>
          <w:tcPr>
            <w:tcW w:type="dxa" w:w="2268"/>
          </w:tcPr>
          <w:p>
            <w:r>
              <w:rPr>
                <w:rFonts w:ascii="Calibri" w:hAnsi="Calibri"/>
              </w:rPr>
              <w:t>Foundation</w:t>
            </w:r>
          </w:p>
        </w:tc>
        <w:tc>
          <w:tcPr>
            <w:tcW w:type="dxa" w:w="2268"/>
          </w:tcPr>
          <w:p>
            <w:r>
              <w:rPr>
                <w:rFonts w:ascii="Calibri" w:hAnsi="Calibri"/>
              </w:rPr>
              <w:t>Weeks 1–4</w:t>
            </w:r>
          </w:p>
        </w:tc>
        <w:tc>
          <w:tcPr>
            <w:tcW w:type="dxa" w:w="2268"/>
          </w:tcPr>
          <w:p>
            <w:r>
              <w:rPr>
                <w:rFonts w:ascii="Calibri" w:hAnsi="Calibri"/>
              </w:rPr>
              <w:t>Legal, systems, clinical infrastructure</w:t>
            </w:r>
          </w:p>
        </w:tc>
        <w:tc>
          <w:tcPr>
            <w:tcW w:type="dxa" w:w="2268"/>
          </w:tcPr>
          <w:p>
            <w:r>
              <w:rPr>
                <w:rFonts w:ascii="Calibri" w:hAnsi="Calibri"/>
              </w:rPr>
              <w:t>AS registered, EPJ live, lab partnerships, OpenClaw configured</w:t>
            </w:r>
          </w:p>
        </w:tc>
      </w:tr>
      <w:tr>
        <w:tc>
          <w:tcPr>
            <w:tcW w:type="dxa" w:w="2268"/>
          </w:tcPr>
          <w:p>
            <w:r>
              <w:rPr>
                <w:rFonts w:ascii="Calibri" w:hAnsi="Calibri"/>
              </w:rPr>
              <w:t>Founder Launch</w:t>
            </w:r>
          </w:p>
        </w:tc>
        <w:tc>
          <w:tcPr>
            <w:tcW w:type="dxa" w:w="2268"/>
          </w:tcPr>
          <w:p>
            <w:r>
              <w:rPr>
                <w:rFonts w:ascii="Calibri" w:hAnsi="Calibri"/>
              </w:rPr>
              <w:t>Weeks 5–12</w:t>
            </w:r>
          </w:p>
        </w:tc>
        <w:tc>
          <w:tcPr>
            <w:tcW w:type="dxa" w:w="2268"/>
          </w:tcPr>
          <w:p>
            <w:r>
              <w:rPr>
                <w:rFonts w:ascii="Calibri" w:hAnsi="Calibri"/>
              </w:rPr>
              <w:t>Soft-launch to personal network</w:t>
            </w:r>
          </w:p>
        </w:tc>
        <w:tc>
          <w:tcPr>
            <w:tcW w:type="dxa" w:w="2268"/>
          </w:tcPr>
          <w:p>
            <w:r>
              <w:rPr>
                <w:rFonts w:ascii="Calibri" w:hAnsi="Calibri"/>
              </w:rPr>
              <w:t>10–15 founding members, all tiers tested, first dossiers built</w:t>
            </w:r>
          </w:p>
        </w:tc>
      </w:tr>
      <w:tr>
        <w:tc>
          <w:tcPr>
            <w:tcW w:type="dxa" w:w="2268"/>
          </w:tcPr>
          <w:p>
            <w:r>
              <w:rPr>
                <w:rFonts w:ascii="Calibri" w:hAnsi="Calibri"/>
              </w:rPr>
              <w:t>Growth</w:t>
            </w:r>
          </w:p>
        </w:tc>
        <w:tc>
          <w:tcPr>
            <w:tcW w:type="dxa" w:w="2268"/>
          </w:tcPr>
          <w:p>
            <w:r>
              <w:rPr>
                <w:rFonts w:ascii="Calibri" w:hAnsi="Calibri"/>
              </w:rPr>
              <w:t>Months 4–12</w:t>
            </w:r>
          </w:p>
        </w:tc>
        <w:tc>
          <w:tcPr>
            <w:tcW w:type="dxa" w:w="2268"/>
          </w:tcPr>
          <w:p>
            <w:r>
              <w:rPr>
                <w:rFonts w:ascii="Calibri" w:hAnsi="Calibri"/>
              </w:rPr>
              <w:t>Full-rate acquisition, corporate outreach</w:t>
            </w:r>
          </w:p>
        </w:tc>
        <w:tc>
          <w:tcPr>
            <w:tcW w:type="dxa" w:w="2268"/>
          </w:tcPr>
          <w:p>
            <w:r>
              <w:rPr>
                <w:rFonts w:ascii="Calibri" w:hAnsi="Calibri"/>
              </w:rPr>
              <w:t>40–50 members, first corporate agreement, content published</w:t>
            </w:r>
          </w:p>
        </w:tc>
      </w:tr>
      <w:tr>
        <w:tc>
          <w:tcPr>
            <w:tcW w:type="dxa" w:w="2268"/>
          </w:tcPr>
          <w:p>
            <w:r>
              <w:rPr>
                <w:rFonts w:ascii="Calibri" w:hAnsi="Calibri"/>
              </w:rPr>
              <w:t>Scale</w:t>
            </w:r>
          </w:p>
        </w:tc>
        <w:tc>
          <w:tcPr>
            <w:tcW w:type="dxa" w:w="2268"/>
          </w:tcPr>
          <w:p>
            <w:r>
              <w:rPr>
                <w:rFonts w:ascii="Calibri" w:hAnsi="Calibri"/>
              </w:rPr>
              <w:t>Year 2</w:t>
            </w:r>
          </w:p>
        </w:tc>
        <w:tc>
          <w:tcPr>
            <w:tcW w:type="dxa" w:w="2268"/>
          </w:tcPr>
          <w:p>
            <w:r>
              <w:rPr>
                <w:rFonts w:ascii="Calibri" w:hAnsi="Calibri"/>
              </w:rPr>
              <w:t>Expand capacity, add clinical support</w:t>
            </w:r>
          </w:p>
        </w:tc>
        <w:tc>
          <w:tcPr>
            <w:tcW w:type="dxa" w:w="2268"/>
          </w:tcPr>
          <w:p>
            <w:r>
              <w:rPr>
                <w:rFonts w:ascii="Calibri" w:hAnsi="Calibri"/>
              </w:rPr>
              <w:t>75–100 members, nurse practitioner/PA hired</w:t>
            </w:r>
          </w:p>
        </w:tc>
      </w:tr>
      <w:tr>
        <w:tc>
          <w:tcPr>
            <w:tcW w:type="dxa" w:w="2268"/>
          </w:tcPr>
          <w:p>
            <w:r>
              <w:rPr>
                <w:rFonts w:ascii="Calibri" w:hAnsi="Calibri"/>
              </w:rPr>
              <w:t>Optimise</w:t>
            </w:r>
          </w:p>
        </w:tc>
        <w:tc>
          <w:tcPr>
            <w:tcW w:type="dxa" w:w="2268"/>
          </w:tcPr>
          <w:p>
            <w:r>
              <w:rPr>
                <w:rFonts w:ascii="Calibri" w:hAnsi="Calibri"/>
              </w:rPr>
              <w:t>Year 3+</w:t>
            </w:r>
          </w:p>
        </w:tc>
        <w:tc>
          <w:tcPr>
            <w:tcW w:type="dxa" w:w="2268"/>
          </w:tcPr>
          <w:p>
            <w:r>
              <w:rPr>
                <w:rFonts w:ascii="Calibri" w:hAnsi="Calibri"/>
              </w:rPr>
              <w:t>Full concierge operation</w:t>
            </w:r>
          </w:p>
        </w:tc>
        <w:tc>
          <w:tcPr>
            <w:tcW w:type="dxa" w:w="2268"/>
          </w:tcPr>
          <w:p>
            <w:r>
              <w:rPr>
                <w:rFonts w:ascii="Calibri" w:hAnsi="Calibri"/>
              </w:rPr>
              <w:t>80–100 members, optional second physician or expansion</w:t>
            </w:r>
          </w:p>
        </w:tc>
      </w:tr>
    </w:tbl>
    <w:p/>
    <w:p>
      <w:pPr>
        <w:pStyle w:val="Heading2"/>
      </w:pPr>
      <w:r>
        <w:rPr>
          <w:rFonts w:ascii="Calibri" w:hAnsi="Calibri"/>
          <w:color w:val="1A1A1A"/>
        </w:rPr>
        <w:t>7.1  90-Day Launch Checklist</w:t>
      </w:r>
    </w:p>
    <w:p>
      <w:pPr>
        <w:pStyle w:val="ListBullet"/>
      </w:pPr>
      <w:r>
        <w:rPr>
          <w:rFonts w:ascii="Calibri" w:hAnsi="Calibri"/>
          <w:b w:val="0"/>
          <w:i w:val="0"/>
          <w:sz w:val="21"/>
        </w:rPr>
        <w:t>Week 1: Review fastlegeavtale for competing activity clauses; consult Legeforeningen legal support if needed</w:t>
      </w:r>
    </w:p>
    <w:p>
      <w:pPr>
        <w:pStyle w:val="ListBullet"/>
      </w:pPr>
      <w:r>
        <w:rPr>
          <w:rFonts w:ascii="Calibri" w:hAnsi="Calibri"/>
          <w:b w:val="0"/>
          <w:i w:val="0"/>
          <w:sz w:val="21"/>
        </w:rPr>
        <w:t>Week 1: Register AS via Altinn; notify municipality of private practice; notify employer per contract</w:t>
      </w:r>
    </w:p>
    <w:p>
      <w:pPr>
        <w:pStyle w:val="ListBullet"/>
      </w:pPr>
      <w:r>
        <w:rPr>
          <w:rFonts w:ascii="Calibri" w:hAnsi="Calibri"/>
          <w:b w:val="0"/>
          <w:i w:val="0"/>
          <w:sz w:val="21"/>
        </w:rPr>
        <w:t>Week 1–2: Engage lawyer — membership agreement, privacy notice, consent forms</w:t>
      </w:r>
    </w:p>
    <w:p>
      <w:pPr>
        <w:pStyle w:val="ListBullet"/>
      </w:pPr>
      <w:r>
        <w:rPr>
          <w:rFonts w:ascii="Calibri" w:hAnsi="Calibri"/>
          <w:b w:val="0"/>
          <w:i w:val="0"/>
          <w:sz w:val="21"/>
        </w:rPr>
        <w:t>Week 1–2: Apply for ansvarsforsikring (professional liability insurance)</w:t>
      </w:r>
    </w:p>
    <w:p>
      <w:pPr>
        <w:pStyle w:val="ListBullet"/>
      </w:pPr>
      <w:r>
        <w:rPr>
          <w:rFonts w:ascii="Calibri" w:hAnsi="Calibri"/>
          <w:b w:val="0"/>
          <w:i w:val="0"/>
          <w:sz w:val="21"/>
        </w:rPr>
        <w:t>Week 2: Identify and secure consultation room (shared privatklinikk space to start)</w:t>
      </w:r>
    </w:p>
    <w:p>
      <w:pPr>
        <w:pStyle w:val="ListBullet"/>
      </w:pPr>
      <w:r>
        <w:rPr>
          <w:rFonts w:ascii="Calibri" w:hAnsi="Calibri"/>
          <w:b w:val="0"/>
          <w:i w:val="0"/>
          <w:sz w:val="21"/>
        </w:rPr>
        <w:t>Week 2–4: Set up OpenClaw on Mac Mini M4 with member dossier structure and all 5 AI agents</w:t>
      </w:r>
    </w:p>
    <w:p>
      <w:pPr>
        <w:pStyle w:val="ListBullet"/>
      </w:pPr>
      <w:r>
        <w:rPr>
          <w:rFonts w:ascii="Calibri" w:hAnsi="Calibri"/>
          <w:b w:val="0"/>
          <w:i w:val="0"/>
          <w:sz w:val="21"/>
        </w:rPr>
        <w:t>Week 2–4: Establish lab partnership accounts (Unilabs and/or Fürst)</w:t>
      </w:r>
    </w:p>
    <w:p>
      <w:pPr>
        <w:pStyle w:val="ListBullet"/>
      </w:pPr>
      <w:r>
        <w:rPr>
          <w:rFonts w:ascii="Calibri" w:hAnsi="Calibri"/>
          <w:b w:val="0"/>
          <w:i w:val="0"/>
          <w:sz w:val="21"/>
        </w:rPr>
        <w:t>Week 2–4: Register with NPE before first patient; configure EPJ, intake form, scheduling, billing</w:t>
      </w:r>
    </w:p>
    <w:p>
      <w:pPr>
        <w:pStyle w:val="ListBullet"/>
      </w:pPr>
      <w:r>
        <w:rPr>
          <w:rFonts w:ascii="Calibri" w:hAnsi="Calibri"/>
          <w:b w:val="0"/>
          <w:i w:val="0"/>
          <w:sz w:val="21"/>
        </w:rPr>
        <w:t>Week 4–6: Draft member handbook, supplement protocol templates, SOAP consultation templates</w:t>
      </w:r>
    </w:p>
    <w:p>
      <w:pPr>
        <w:pStyle w:val="ListBullet"/>
      </w:pPr>
      <w:r>
        <w:rPr>
          <w:rFonts w:ascii="Calibri" w:hAnsi="Calibri"/>
          <w:b w:val="0"/>
          <w:i w:val="0"/>
          <w:sz w:val="21"/>
        </w:rPr>
        <w:t>Week 6–8: Write personal outreach to 30–50 professional network contacts</w:t>
      </w:r>
    </w:p>
    <w:p>
      <w:pPr>
        <w:pStyle w:val="ListBullet"/>
      </w:pPr>
      <w:r>
        <w:rPr>
          <w:rFonts w:ascii="Calibri" w:hAnsi="Calibri"/>
          <w:b w:val="0"/>
          <w:i w:val="0"/>
          <w:sz w:val="21"/>
        </w:rPr>
        <w:t>Week 8–10: Host 2–3 informal conversations; offer founding member pricing (NOK 1,500–2,500/mo)</w:t>
      </w:r>
    </w:p>
    <w:p>
      <w:pPr>
        <w:pStyle w:val="ListBullet"/>
      </w:pPr>
      <w:r>
        <w:rPr>
          <w:rFonts w:ascii="Calibri" w:hAnsi="Calibri"/>
          <w:b w:val="0"/>
          <w:i w:val="0"/>
          <w:sz w:val="21"/>
        </w:rPr>
        <w:t>Week 10–12: Onboard first 5–10 members; run first agent briefing cycle</w:t>
      </w:r>
    </w:p>
    <w:p>
      <w:pPr>
        <w:pStyle w:val="ListBullet"/>
      </w:pPr>
      <w:r>
        <w:rPr>
          <w:rFonts w:ascii="Calibri" w:hAnsi="Calibri"/>
          <w:b w:val="0"/>
          <w:i w:val="0"/>
          <w:sz w:val="21"/>
        </w:rPr>
        <w:t>Day 90 Target: 15+ members, NOK 75,000+/month recurring revenue</w:t>
      </w:r>
    </w:p>
    <w:p>
      <w:r>
        <w:br w:type="page"/>
      </w:r>
    </w:p>
    <w:p>
      <w:pPr>
        <w:pStyle w:val="Heading1"/>
      </w:pPr>
      <w:r>
        <w:rPr>
          <w:rFonts w:ascii="Calibri" w:hAnsi="Calibri"/>
          <w:color w:val="1A1A1A"/>
        </w:rPr>
        <w:t>8. Risk Management &amp; Competitive Moat</w:t>
      </w:r>
    </w:p>
    <w:p>
      <w:pPr>
        <w:pStyle w:val="Heading2"/>
      </w:pPr>
      <w:r>
        <w:rPr>
          <w:rFonts w:ascii="Calibri" w:hAnsi="Calibri"/>
          <w:color w:val="1A1A1A"/>
        </w:rPr>
        <w:t>8.1  Key Risks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Risk</w:t>
            </w:r>
          </w:p>
        </w:tc>
        <w:tc>
          <w:tcPr>
            <w:tcW w:type="dxa" w:w="2268"/>
          </w:tcPr>
          <w:p>
            <w:r>
              <w:rPr>
                <w:rFonts w:ascii="Calibri" w:hAnsi="Calibri"/>
                <w:b/>
              </w:rPr>
              <w:t>Probability</w:t>
            </w:r>
          </w:p>
        </w:tc>
        <w:tc>
          <w:tcPr>
            <w:tcW w:type="dxa" w:w="2268"/>
          </w:tcPr>
          <w:p>
            <w:r>
              <w:rPr>
                <w:rFonts w:ascii="Calibri" w:hAnsi="Calibri"/>
                <w:b/>
              </w:rPr>
              <w:t>Impact</w:t>
            </w:r>
          </w:p>
        </w:tc>
        <w:tc>
          <w:tcPr>
            <w:tcW w:type="dxa" w:w="2268"/>
          </w:tcPr>
          <w:p>
            <w:r>
              <w:rPr>
                <w:rFonts w:ascii="Calibri" w:hAnsi="Calibri"/>
                <w:b/>
              </w:rPr>
              <w:t>Mitigation</w:t>
            </w:r>
          </w:p>
        </w:tc>
      </w:tr>
      <w:tr>
        <w:tc>
          <w:tcPr>
            <w:tcW w:type="dxa" w:w="2268"/>
          </w:tcPr>
          <w:p>
            <w:r>
              <w:rPr>
                <w:rFonts w:ascii="Calibri" w:hAnsi="Calibri"/>
              </w:rPr>
              <w:t>Physician illness/unavailability</w:t>
            </w:r>
          </w:p>
        </w:tc>
        <w:tc>
          <w:tcPr>
            <w:tcW w:type="dxa" w:w="2268"/>
          </w:tcPr>
          <w:p>
            <w:r>
              <w:rPr>
                <w:rFonts w:ascii="Calibri" w:hAnsi="Calibri"/>
              </w:rPr>
              <w:t>Low</w:t>
            </w:r>
          </w:p>
        </w:tc>
        <w:tc>
          <w:tcPr>
            <w:tcW w:type="dxa" w:w="2268"/>
          </w:tcPr>
          <w:p>
            <w:r>
              <w:rPr>
                <w:rFonts w:ascii="Calibri" w:hAnsi="Calibri"/>
              </w:rPr>
              <w:t>High</w:t>
            </w:r>
          </w:p>
        </w:tc>
        <w:tc>
          <w:tcPr>
            <w:tcW w:type="dxa" w:w="2268"/>
          </w:tcPr>
          <w:p>
            <w:r>
              <w:rPr>
                <w:rFonts w:ascii="Calibri" w:hAnsi="Calibri"/>
              </w:rPr>
              <w:t>1–2 locum GP relationships; coverage dossiers; force majeure clause</w:t>
            </w:r>
          </w:p>
        </w:tc>
      </w:tr>
      <w:tr>
        <w:tc>
          <w:tcPr>
            <w:tcW w:type="dxa" w:w="2268"/>
          </w:tcPr>
          <w:p>
            <w:r>
              <w:rPr>
                <w:rFonts w:ascii="Calibri" w:hAnsi="Calibri"/>
              </w:rPr>
              <w:t>Fastlege agreement conflict</w:t>
            </w:r>
          </w:p>
        </w:tc>
        <w:tc>
          <w:tcPr>
            <w:tcW w:type="dxa" w:w="2268"/>
          </w:tcPr>
          <w:p>
            <w:r>
              <w:rPr>
                <w:rFonts w:ascii="Calibri" w:hAnsi="Calibri"/>
              </w:rPr>
              <w:t>Medium</w:t>
            </w:r>
          </w:p>
        </w:tc>
        <w:tc>
          <w:tcPr>
            <w:tcW w:type="dxa" w:w="2268"/>
          </w:tcPr>
          <w:p>
            <w:r>
              <w:rPr>
                <w:rFonts w:ascii="Calibri" w:hAnsi="Calibri"/>
              </w:rPr>
              <w:t>High</w:t>
            </w:r>
          </w:p>
        </w:tc>
        <w:tc>
          <w:tcPr>
            <w:tcW w:type="dxa" w:w="2268"/>
          </w:tcPr>
          <w:p>
            <w:r>
              <w:rPr>
                <w:rFonts w:ascii="Calibri" w:hAnsi="Calibri"/>
              </w:rPr>
              <w:t>Review contract before launch; clear practice separation; legal advice</w:t>
            </w:r>
          </w:p>
        </w:tc>
      </w:tr>
      <w:tr>
        <w:tc>
          <w:tcPr>
            <w:tcW w:type="dxa" w:w="2268"/>
          </w:tcPr>
          <w:p>
            <w:r>
              <w:rPr>
                <w:rFonts w:ascii="Calibri" w:hAnsi="Calibri"/>
              </w:rPr>
              <w:t>Competitive entry</w:t>
            </w:r>
          </w:p>
        </w:tc>
        <w:tc>
          <w:tcPr>
            <w:tcW w:type="dxa" w:w="2268"/>
          </w:tcPr>
          <w:p>
            <w:r>
              <w:rPr>
                <w:rFonts w:ascii="Calibri" w:hAnsi="Calibri"/>
              </w:rPr>
              <w:t>Medium</w:t>
            </w:r>
          </w:p>
        </w:tc>
        <w:tc>
          <w:tcPr>
            <w:tcW w:type="dxa" w:w="2268"/>
          </w:tcPr>
          <w:p>
            <w:r>
              <w:rPr>
                <w:rFonts w:ascii="Calibri" w:hAnsi="Calibri"/>
              </w:rPr>
              <w:t>Medium</w:t>
            </w:r>
          </w:p>
        </w:tc>
        <w:tc>
          <w:tcPr>
            <w:tcW w:type="dxa" w:w="2268"/>
          </w:tcPr>
          <w:p>
            <w:r>
              <w:rPr>
                <w:rFonts w:ascii="Calibri" w:hAnsi="Calibri"/>
              </w:rPr>
              <w:t>2-year exclusive partnerships; proprietary AI stack; data moat</w:t>
            </w:r>
          </w:p>
        </w:tc>
      </w:tr>
      <w:tr>
        <w:tc>
          <w:tcPr>
            <w:tcW w:type="dxa" w:w="2268"/>
          </w:tcPr>
          <w:p>
            <w:r>
              <w:rPr>
                <w:rFonts w:ascii="Calibri" w:hAnsi="Calibri"/>
              </w:rPr>
              <w:t>Member churn</w:t>
            </w:r>
          </w:p>
        </w:tc>
        <w:tc>
          <w:tcPr>
            <w:tcW w:type="dxa" w:w="2268"/>
          </w:tcPr>
          <w:p>
            <w:r>
              <w:rPr>
                <w:rFonts w:ascii="Calibri" w:hAnsi="Calibri"/>
              </w:rPr>
              <w:t>Medium</w:t>
            </w:r>
          </w:p>
        </w:tc>
        <w:tc>
          <w:tcPr>
            <w:tcW w:type="dxa" w:w="2268"/>
          </w:tcPr>
          <w:p>
            <w:r>
              <w:rPr>
                <w:rFonts w:ascii="Calibri" w:hAnsi="Calibri"/>
              </w:rPr>
              <w:t>Medium</w:t>
            </w:r>
          </w:p>
        </w:tc>
        <w:tc>
          <w:tcPr>
            <w:tcW w:type="dxa" w:w="2268"/>
          </w:tcPr>
          <w:p>
            <w:r>
              <w:rPr>
                <w:rFonts w:ascii="Calibri" w:hAnsi="Calibri"/>
              </w:rPr>
              <w:t>Annual Roadmap ritual; prepay discount; engagement scoring; pause option</w:t>
            </w:r>
          </w:p>
        </w:tc>
      </w:tr>
      <w:tr>
        <w:tc>
          <w:tcPr>
            <w:tcW w:type="dxa" w:w="2268"/>
          </w:tcPr>
          <w:p>
            <w:r>
              <w:rPr>
                <w:rFonts w:ascii="Calibri" w:hAnsi="Calibri"/>
              </w:rPr>
              <w:t>Regulatory change</w:t>
            </w:r>
          </w:p>
        </w:tc>
        <w:tc>
          <w:tcPr>
            <w:tcW w:type="dxa" w:w="2268"/>
          </w:tcPr>
          <w:p>
            <w:r>
              <w:rPr>
                <w:rFonts w:ascii="Calibri" w:hAnsi="Calibri"/>
              </w:rPr>
              <w:t>Low</w:t>
            </w:r>
          </w:p>
        </w:tc>
        <w:tc>
          <w:tcPr>
            <w:tcW w:type="dxa" w:w="2268"/>
          </w:tcPr>
          <w:p>
            <w:r>
              <w:rPr>
                <w:rFonts w:ascii="Calibri" w:hAnsi="Calibri"/>
              </w:rPr>
              <w:t>Medium</w:t>
            </w:r>
          </w:p>
        </w:tc>
        <w:tc>
          <w:tcPr>
            <w:tcW w:type="dxa" w:w="2268"/>
          </w:tcPr>
          <w:p>
            <w:r>
              <w:rPr>
                <w:rFonts w:ascii="Calibri" w:hAnsi="Calibri"/>
              </w:rPr>
              <w:t>Monitor helfrivat rules; annual healthcare legal review</w:t>
            </w:r>
          </w:p>
        </w:tc>
      </w:tr>
    </w:tbl>
    <w:p/>
    <w:p>
      <w:pPr>
        <w:pStyle w:val="Heading2"/>
      </w:pPr>
      <w:r>
        <w:rPr>
          <w:rFonts w:ascii="Calibri" w:hAnsi="Calibri"/>
          <w:color w:val="1A1A1A"/>
        </w:rPr>
        <w:t>8.2  Competitive Moat</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Moat Layer</w:t>
            </w:r>
          </w:p>
        </w:tc>
        <w:tc>
          <w:tcPr>
            <w:tcW w:type="dxa" w:w="3024"/>
          </w:tcPr>
          <w:p>
            <w:r>
              <w:rPr>
                <w:rFonts w:ascii="Calibri" w:hAnsi="Calibri"/>
                <w:b/>
              </w:rPr>
              <w:t>Description</w:t>
            </w:r>
          </w:p>
        </w:tc>
        <w:tc>
          <w:tcPr>
            <w:tcW w:type="dxa" w:w="3024"/>
          </w:tcPr>
          <w:p>
            <w:r>
              <w:rPr>
                <w:rFonts w:ascii="Calibri" w:hAnsi="Calibri"/>
                <w:b/>
              </w:rPr>
              <w:t>Time to Replicate</w:t>
            </w:r>
          </w:p>
        </w:tc>
      </w:tr>
      <w:tr>
        <w:tc>
          <w:tcPr>
            <w:tcW w:type="dxa" w:w="3024"/>
          </w:tcPr>
          <w:p>
            <w:r>
              <w:rPr>
                <w:rFonts w:ascii="Calibri" w:hAnsi="Calibri"/>
              </w:rPr>
              <w:t>Data accumulation</w:t>
            </w:r>
          </w:p>
        </w:tc>
        <w:tc>
          <w:tcPr>
            <w:tcW w:type="dxa" w:w="3024"/>
          </w:tcPr>
          <w:p>
            <w:r>
              <w:rPr>
                <w:rFonts w:ascii="Calibri" w:hAnsi="Calibri"/>
              </w:rPr>
              <w:t>Member dossiers grow richer with every interaction — irreplaceable after 2+ years</w:t>
            </w:r>
          </w:p>
        </w:tc>
        <w:tc>
          <w:tcPr>
            <w:tcW w:type="dxa" w:w="3024"/>
          </w:tcPr>
          <w:p>
            <w:r>
              <w:rPr>
                <w:rFonts w:ascii="Calibri" w:hAnsi="Calibri"/>
              </w:rPr>
              <w:t>2+ years</w:t>
            </w:r>
          </w:p>
        </w:tc>
      </w:tr>
      <w:tr>
        <w:tc>
          <w:tcPr>
            <w:tcW w:type="dxa" w:w="3024"/>
          </w:tcPr>
          <w:p>
            <w:r>
              <w:rPr>
                <w:rFonts w:ascii="Calibri" w:hAnsi="Calibri"/>
              </w:rPr>
              <w:t>AI infrastructure</w:t>
            </w:r>
          </w:p>
        </w:tc>
        <w:tc>
          <w:tcPr>
            <w:tcW w:type="dxa" w:w="3024"/>
          </w:tcPr>
          <w:p>
            <w:r>
              <w:rPr>
                <w:rFonts w:ascii="Calibri" w:hAnsi="Calibri"/>
              </w:rPr>
              <w:t>The OpenClaw agent stack requires significant technical expertise to build</w:t>
            </w:r>
          </w:p>
        </w:tc>
        <w:tc>
          <w:tcPr>
            <w:tcW w:type="dxa" w:w="3024"/>
          </w:tcPr>
          <w:p>
            <w:r>
              <w:rPr>
                <w:rFonts w:ascii="Calibri" w:hAnsi="Calibri"/>
              </w:rPr>
              <w:t>12–18 months</w:t>
            </w:r>
          </w:p>
        </w:tc>
      </w:tr>
      <w:tr>
        <w:tc>
          <w:tcPr>
            <w:tcW w:type="dxa" w:w="3024"/>
          </w:tcPr>
          <w:p>
            <w:r>
              <w:rPr>
                <w:rFonts w:ascii="Calibri" w:hAnsi="Calibri"/>
              </w:rPr>
              <w:t>Exclusive partnerships</w:t>
            </w:r>
          </w:p>
        </w:tc>
        <w:tc>
          <w:tcPr>
            <w:tcW w:type="dxa" w:w="3024"/>
          </w:tcPr>
          <w:p>
            <w:r>
              <w:rPr>
                <w:rFonts w:ascii="Calibri" w:hAnsi="Calibri"/>
              </w:rPr>
              <w:t>2-year lock-in with clinic and gym partners blocks referral network access</w:t>
            </w:r>
          </w:p>
        </w:tc>
        <w:tc>
          <w:tcPr>
            <w:tcW w:type="dxa" w:w="3024"/>
          </w:tcPr>
          <w:p>
            <w:r>
              <w:rPr>
                <w:rFonts w:ascii="Calibri" w:hAnsi="Calibri"/>
              </w:rPr>
              <w:t>24 months</w:t>
            </w:r>
          </w:p>
        </w:tc>
      </w:tr>
      <w:tr>
        <w:tc>
          <w:tcPr>
            <w:tcW w:type="dxa" w:w="3024"/>
          </w:tcPr>
          <w:p>
            <w:r>
              <w:rPr>
                <w:rFonts w:ascii="Calibri" w:hAnsi="Calibri"/>
              </w:rPr>
              <w:t>Personal trust</w:t>
            </w:r>
          </w:p>
        </w:tc>
        <w:tc>
          <w:tcPr>
            <w:tcW w:type="dxa" w:w="3024"/>
          </w:tcPr>
          <w:p>
            <w:r>
              <w:rPr>
                <w:rFonts w:ascii="Calibri" w:hAnsi="Calibri"/>
              </w:rPr>
              <w:t>The physician-member relationship is the primary retention driver — irreplaceable</w:t>
            </w:r>
          </w:p>
        </w:tc>
        <w:tc>
          <w:tcPr>
            <w:tcW w:type="dxa" w:w="3024"/>
          </w:tcPr>
          <w:p>
            <w:r>
              <w:rPr>
                <w:rFonts w:ascii="Calibri" w:hAnsi="Calibri"/>
              </w:rPr>
              <w:t>Irreplaceable</w:t>
            </w:r>
          </w:p>
        </w:tc>
      </w:tr>
    </w:tbl>
    <w:p>
      <w:r>
        <w:br w:type="page"/>
      </w:r>
    </w:p>
    <w:p>
      <w:pPr>
        <w:pStyle w:val="Heading1"/>
      </w:pPr>
      <w:r>
        <w:rPr>
          <w:rFonts w:ascii="Calibri" w:hAnsi="Calibri"/>
          <w:color w:val="1A1A1A"/>
        </w:rPr>
        <w:t>9. Regulatory &amp; Legal Framework</w:t>
      </w:r>
    </w:p>
    <w:p>
      <w:pPr>
        <w:pStyle w:val="Heading2"/>
      </w:pPr>
      <w:r>
        <w:rPr>
          <w:rFonts w:ascii="Calibri" w:hAnsi="Calibri"/>
          <w:color w:val="1A1A1A"/>
        </w:rPr>
        <w:t>9.1  Practice Structure: Helfrivat</w:t>
      </w:r>
    </w:p>
    <w:p>
      <w:r>
        <w:rPr>
          <w:rFonts w:ascii="Calibri" w:hAnsi="Calibri"/>
          <w:b w:val="0"/>
          <w:i w:val="0"/>
          <w:sz w:val="21"/>
        </w:rPr>
        <w:t xml:space="preserve">The practice operates as a </w:t>
      </w:r>
      <w:r>
        <w:rPr>
          <w:rFonts w:ascii="Calibri" w:hAnsi="Calibri"/>
          <w:b w:val="0"/>
          <w:i/>
          <w:sz w:val="21"/>
        </w:rPr>
        <w:t>hjelprivat praksis</w:t>
      </w:r>
      <w:r>
        <w:rPr>
          <w:rFonts w:ascii="Calibri" w:hAnsi="Calibri"/>
          <w:b w:val="0"/>
          <w:i w:val="0"/>
          <w:sz w:val="21"/>
        </w:rPr>
        <w:t xml:space="preserve"> — fully private, no public funding, no trygderefusjon. Patients pay 100% out-of-pocket. No Helfo registration required. Full pricing freedom. No normaltariff obligations.</w:t>
      </w:r>
    </w:p>
    <w:p/>
    <w:p>
      <w:pPr>
        <w:pStyle w:val="Heading2"/>
      </w:pPr>
      <w:r>
        <w:rPr>
          <w:rFonts w:ascii="Calibri" w:hAnsi="Calibri"/>
          <w:color w:val="1A1A1A"/>
        </w:rPr>
        <w:t>9.2  Registration Requirements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Requirement</w:t>
            </w:r>
          </w:p>
        </w:tc>
        <w:tc>
          <w:tcPr>
            <w:tcW w:type="dxa" w:w="3024"/>
          </w:tcPr>
          <w:p>
            <w:r>
              <w:rPr>
                <w:rFonts w:ascii="Calibri" w:hAnsi="Calibri"/>
                <w:b/>
              </w:rPr>
              <w:t>Details</w:t>
            </w:r>
          </w:p>
        </w:tc>
        <w:tc>
          <w:tcPr>
            <w:tcW w:type="dxa" w:w="3024"/>
          </w:tcPr>
          <w:p>
            <w:r>
              <w:rPr>
                <w:rFonts w:ascii="Calibri" w:hAnsi="Calibri"/>
                <w:b/>
              </w:rPr>
              <w:t>Timeline</w:t>
            </w:r>
          </w:p>
        </w:tc>
      </w:tr>
      <w:tr>
        <w:tc>
          <w:tcPr>
            <w:tcW w:type="dxa" w:w="3024"/>
          </w:tcPr>
          <w:p>
            <w:r>
              <w:rPr>
                <w:rFonts w:ascii="Calibri" w:hAnsi="Calibri"/>
              </w:rPr>
              <w:t>Business Entity</w:t>
            </w:r>
          </w:p>
        </w:tc>
        <w:tc>
          <w:tcPr>
            <w:tcW w:type="dxa" w:w="3024"/>
          </w:tcPr>
          <w:p>
            <w:r>
              <w:rPr>
                <w:rFonts w:ascii="Calibri" w:hAnsi="Calibri"/>
              </w:rPr>
              <w:t>Register AS or ENK via Altinn</w:t>
            </w:r>
          </w:p>
        </w:tc>
        <w:tc>
          <w:tcPr>
            <w:tcW w:type="dxa" w:w="3024"/>
          </w:tcPr>
          <w:p>
            <w:r>
              <w:rPr>
                <w:rFonts w:ascii="Calibri" w:hAnsi="Calibri"/>
              </w:rPr>
              <w:t>Week 1</w:t>
            </w:r>
          </w:p>
        </w:tc>
      </w:tr>
      <w:tr>
        <w:tc>
          <w:tcPr>
            <w:tcW w:type="dxa" w:w="3024"/>
          </w:tcPr>
          <w:p>
            <w:r>
              <w:rPr>
                <w:rFonts w:ascii="Calibri" w:hAnsi="Calibri"/>
              </w:rPr>
              <w:t>Municipality Notification</w:t>
            </w:r>
          </w:p>
        </w:tc>
        <w:tc>
          <w:tcPr>
            <w:tcW w:type="dxa" w:w="3024"/>
          </w:tcPr>
          <w:p>
            <w:r>
              <w:rPr>
                <w:rFonts w:ascii="Calibri" w:hAnsi="Calibri"/>
              </w:rPr>
              <w:t>Notify kommune: name, address, size, financing model</w:t>
            </w:r>
          </w:p>
        </w:tc>
        <w:tc>
          <w:tcPr>
            <w:tcW w:type="dxa" w:w="3024"/>
          </w:tcPr>
          <w:p>
            <w:r>
              <w:rPr>
                <w:rFonts w:ascii="Calibri" w:hAnsi="Calibri"/>
              </w:rPr>
              <w:t>Week 1–2</w:t>
            </w:r>
          </w:p>
        </w:tc>
      </w:tr>
      <w:tr>
        <w:tc>
          <w:tcPr>
            <w:tcW w:type="dxa" w:w="3024"/>
          </w:tcPr>
          <w:p>
            <w:r>
              <w:rPr>
                <w:rFonts w:ascii="Calibri" w:hAnsi="Calibri"/>
              </w:rPr>
              <w:t>Employer Notification</w:t>
            </w:r>
          </w:p>
        </w:tc>
        <w:tc>
          <w:tcPr>
            <w:tcW w:type="dxa" w:w="3024"/>
          </w:tcPr>
          <w:p>
            <w:r>
              <w:rPr>
                <w:rFonts w:ascii="Calibri" w:hAnsi="Calibri"/>
              </w:rPr>
              <w:t>Inform municipality of secondary commercial activity</w:t>
            </w:r>
          </w:p>
        </w:tc>
        <w:tc>
          <w:tcPr>
            <w:tcW w:type="dxa" w:w="3024"/>
          </w:tcPr>
          <w:p>
            <w:r>
              <w:rPr>
                <w:rFonts w:ascii="Calibri" w:hAnsi="Calibri"/>
              </w:rPr>
              <w:t>Week 1</w:t>
            </w:r>
          </w:p>
        </w:tc>
      </w:tr>
      <w:tr>
        <w:tc>
          <w:tcPr>
            <w:tcW w:type="dxa" w:w="3024"/>
          </w:tcPr>
          <w:p>
            <w:r>
              <w:rPr>
                <w:rFonts w:ascii="Calibri" w:hAnsi="Calibri"/>
              </w:rPr>
              <w:t>NPE Registration</w:t>
            </w:r>
          </w:p>
        </w:tc>
        <w:tc>
          <w:tcPr>
            <w:tcW w:type="dxa" w:w="3024"/>
          </w:tcPr>
          <w:p>
            <w:r>
              <w:rPr>
                <w:rFonts w:ascii="Calibri" w:hAnsi="Calibri"/>
              </w:rPr>
              <w:t>Notify Norsk pasientskadeerstatning before first patient (pasientskadeloven §8)</w:t>
            </w:r>
          </w:p>
        </w:tc>
        <w:tc>
          <w:tcPr>
            <w:tcW w:type="dxa" w:w="3024"/>
          </w:tcPr>
          <w:p>
            <w:r>
              <w:rPr>
                <w:rFonts w:ascii="Calibri" w:hAnsi="Calibri"/>
              </w:rPr>
              <w:t>Before first patient</w:t>
            </w:r>
          </w:p>
        </w:tc>
      </w:tr>
      <w:tr>
        <w:tc>
          <w:tcPr>
            <w:tcW w:type="dxa" w:w="3024"/>
          </w:tcPr>
          <w:p>
            <w:r>
              <w:rPr>
                <w:rFonts w:ascii="Calibri" w:hAnsi="Calibri"/>
              </w:rPr>
              <w:t>EPJ System</w:t>
            </w:r>
          </w:p>
        </w:tc>
        <w:tc>
          <w:tcPr>
            <w:tcW w:type="dxa" w:w="3024"/>
          </w:tcPr>
          <w:p>
            <w:r>
              <w:rPr>
                <w:rFonts w:ascii="Calibri" w:hAnsi="Calibri"/>
              </w:rPr>
              <w:t>Compliant electronic patient journal per pasientjournal-forskrift §4</w:t>
            </w:r>
          </w:p>
        </w:tc>
        <w:tc>
          <w:tcPr>
            <w:tcW w:type="dxa" w:w="3024"/>
          </w:tcPr>
          <w:p>
            <w:r>
              <w:rPr>
                <w:rFonts w:ascii="Calibri" w:hAnsi="Calibri"/>
              </w:rPr>
              <w:t>Week 2–4</w:t>
            </w:r>
          </w:p>
        </w:tc>
      </w:tr>
      <w:tr>
        <w:tc>
          <w:tcPr>
            <w:tcW w:type="dxa" w:w="3024"/>
          </w:tcPr>
          <w:p>
            <w:r>
              <w:rPr>
                <w:rFonts w:ascii="Calibri" w:hAnsi="Calibri"/>
              </w:rPr>
              <w:t>Professional Insurance</w:t>
            </w:r>
          </w:p>
        </w:tc>
        <w:tc>
          <w:tcPr>
            <w:tcW w:type="dxa" w:w="3024"/>
          </w:tcPr>
          <w:p>
            <w:r>
              <w:rPr>
                <w:rFonts w:ascii="Calibri" w:hAnsi="Calibri"/>
              </w:rPr>
              <w:t>Ansvarsforsikring</w:t>
            </w:r>
          </w:p>
        </w:tc>
        <w:tc>
          <w:tcPr>
            <w:tcW w:type="dxa" w:w="3024"/>
          </w:tcPr>
          <w:p>
            <w:r>
              <w:rPr>
                <w:rFonts w:ascii="Calibri" w:hAnsi="Calibri"/>
              </w:rPr>
              <w:t>Week 1–2</w:t>
            </w:r>
          </w:p>
        </w:tc>
      </w:tr>
    </w:tbl>
    <w:p>
      <w:r>
        <w:br w:type="page"/>
      </w:r>
    </w:p>
    <w:p>
      <w:pPr>
        <w:pStyle w:val="Heading1"/>
      </w:pPr>
      <w:r>
        <w:rPr>
          <w:rFonts w:ascii="Calibri" w:hAnsi="Calibri"/>
          <w:color w:val="1A1A1A"/>
        </w:rPr>
        <w:t>10. Member Retention Strategy</w:t>
      </w:r>
    </w:p>
    <w:p>
      <w:r>
        <w:rPr>
          <w:rFonts w:ascii="Calibri" w:hAnsi="Calibri"/>
          <w:b w:val="0"/>
          <w:i w:val="0"/>
          <w:sz w:val="21"/>
        </w:rPr>
        <w:t>Retaining a member is worth NOK 30,000–120,000 per year. The retention framework is built around four principles: demonstrate ongoing value, create commitment anchors, reduce friction to staying, and make leaving feel like a genuine loss.</w:t>
      </w:r>
    </w:p>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Strategy</w:t>
            </w:r>
          </w:p>
        </w:tc>
        <w:tc>
          <w:tcPr>
            <w:tcW w:type="dxa" w:w="3024"/>
          </w:tcPr>
          <w:p>
            <w:r>
              <w:rPr>
                <w:rFonts w:ascii="Calibri" w:hAnsi="Calibri"/>
                <w:b/>
              </w:rPr>
              <w:t>Mechanism</w:t>
            </w:r>
          </w:p>
        </w:tc>
        <w:tc>
          <w:tcPr>
            <w:tcW w:type="dxa" w:w="3024"/>
          </w:tcPr>
          <w:p>
            <w:r>
              <w:rPr>
                <w:rFonts w:ascii="Calibri" w:hAnsi="Calibri"/>
                <w:b/>
              </w:rPr>
              <w:t>Target Metric</w:t>
            </w:r>
          </w:p>
        </w:tc>
      </w:tr>
      <w:tr>
        <w:tc>
          <w:tcPr>
            <w:tcW w:type="dxa" w:w="3024"/>
          </w:tcPr>
          <w:p>
            <w:r>
              <w:rPr>
                <w:rFonts w:ascii="Calibri" w:hAnsi="Calibri"/>
              </w:rPr>
              <w:t>Annual Health Roadmap</w:t>
            </w:r>
          </w:p>
        </w:tc>
        <w:tc>
          <w:tcPr>
            <w:tcW w:type="dxa" w:w="3024"/>
          </w:tcPr>
          <w:p>
            <w:r>
              <w:rPr>
                <w:rFonts w:ascii="Calibri" w:hAnsi="Calibri"/>
              </w:rPr>
              <w:t>90-min anniversary review: progress, goals, risk update</w:t>
            </w:r>
          </w:p>
        </w:tc>
        <w:tc>
          <w:tcPr>
            <w:tcW w:type="dxa" w:w="3024"/>
          </w:tcPr>
          <w:p>
            <w:r>
              <w:rPr>
                <w:rFonts w:ascii="Calibri" w:hAnsi="Calibri"/>
              </w:rPr>
              <w:t>Roadmap completion &gt;90%</w:t>
            </w:r>
          </w:p>
        </w:tc>
      </w:tr>
      <w:tr>
        <w:tc>
          <w:tcPr>
            <w:tcW w:type="dxa" w:w="3024"/>
          </w:tcPr>
          <w:p>
            <w:r>
              <w:rPr>
                <w:rFonts w:ascii="Calibri" w:hAnsi="Calibri"/>
              </w:rPr>
              <w:t>Quarterly 'Health Win'</w:t>
            </w:r>
          </w:p>
        </w:tc>
        <w:tc>
          <w:tcPr>
            <w:tcW w:type="dxa" w:w="3024"/>
          </w:tcPr>
          <w:p>
            <w:r>
              <w:rPr>
                <w:rFonts w:ascii="Calibri" w:hAnsi="Calibri"/>
              </w:rPr>
              <w:t>One concrete data-driven improvement highlighted per quarter</w:t>
            </w:r>
          </w:p>
        </w:tc>
        <w:tc>
          <w:tcPr>
            <w:tcW w:type="dxa" w:w="3024"/>
          </w:tcPr>
          <w:p>
            <w:r>
              <w:rPr>
                <w:rFonts w:ascii="Calibri" w:hAnsi="Calibri"/>
              </w:rPr>
              <w:t>Engagement score &gt;80%</w:t>
            </w:r>
          </w:p>
        </w:tc>
      </w:tr>
      <w:tr>
        <w:tc>
          <w:tcPr>
            <w:tcW w:type="dxa" w:w="3024"/>
          </w:tcPr>
          <w:p>
            <w:r>
              <w:rPr>
                <w:rFonts w:ascii="Calibri" w:hAnsi="Calibri"/>
              </w:rPr>
              <w:t>Engagement Scoring</w:t>
            </w:r>
          </w:p>
        </w:tc>
        <w:tc>
          <w:tcPr>
            <w:tcW w:type="dxa" w:w="3024"/>
          </w:tcPr>
          <w:p>
            <w:r>
              <w:rPr>
                <w:rFonts w:ascii="Calibri" w:hAnsi="Calibri"/>
              </w:rPr>
              <w:t>Track message frequency, consult attendance, wearable sync, lab completion</w:t>
            </w:r>
          </w:p>
        </w:tc>
        <w:tc>
          <w:tcPr>
            <w:tcW w:type="dxa" w:w="3024"/>
          </w:tcPr>
          <w:p>
            <w:r>
              <w:rPr>
                <w:rFonts w:ascii="Calibri" w:hAnsi="Calibri"/>
              </w:rPr>
              <w:t>Monthly churn &lt;2%</w:t>
            </w:r>
          </w:p>
        </w:tc>
      </w:tr>
      <w:tr>
        <w:tc>
          <w:tcPr>
            <w:tcW w:type="dxa" w:w="3024"/>
          </w:tcPr>
          <w:p>
            <w:r>
              <w:rPr>
                <w:rFonts w:ascii="Calibri" w:hAnsi="Calibri"/>
              </w:rPr>
              <w:t>Pause Option</w:t>
            </w:r>
          </w:p>
        </w:tc>
        <w:tc>
          <w:tcPr>
            <w:tcW w:type="dxa" w:w="3024"/>
          </w:tcPr>
          <w:p>
            <w:r>
              <w:rPr>
                <w:rFonts w:ascii="Calibri" w:hAnsi="Calibri"/>
              </w:rPr>
              <w:t>1–3 month pause available (max 1/year); full dossier maintained</w:t>
            </w:r>
          </w:p>
        </w:tc>
        <w:tc>
          <w:tcPr>
            <w:tcW w:type="dxa" w:w="3024"/>
          </w:tcPr>
          <w:p>
            <w:r>
              <w:rPr>
                <w:rFonts w:ascii="Calibri" w:hAnsi="Calibri"/>
              </w:rPr>
              <w:t>Pause-to-resume &gt;70%</w:t>
            </w:r>
          </w:p>
        </w:tc>
      </w:tr>
      <w:tr>
        <w:tc>
          <w:tcPr>
            <w:tcW w:type="dxa" w:w="3024"/>
          </w:tcPr>
          <w:p>
            <w:r>
              <w:rPr>
                <w:rFonts w:ascii="Calibri" w:hAnsi="Calibri"/>
              </w:rPr>
              <w:t>Referral Incentive</w:t>
            </w:r>
          </w:p>
        </w:tc>
        <w:tc>
          <w:tcPr>
            <w:tcW w:type="dxa" w:w="3024"/>
          </w:tcPr>
          <w:p>
            <w:r>
              <w:rPr>
                <w:rFonts w:ascii="Calibri" w:hAnsi="Calibri"/>
              </w:rPr>
              <w:t>One free month per successful referral staying 3+ months</w:t>
            </w:r>
          </w:p>
        </w:tc>
        <w:tc>
          <w:tcPr>
            <w:tcW w:type="dxa" w:w="3024"/>
          </w:tcPr>
          <w:p>
            <w:r>
              <w:rPr>
                <w:rFonts w:ascii="Calibri" w:hAnsi="Calibri"/>
              </w:rPr>
              <w:t>Referral rate &gt;20%/year</w:t>
            </w:r>
          </w:p>
        </w:tc>
      </w:tr>
      <w:tr>
        <w:tc>
          <w:tcPr>
            <w:tcW w:type="dxa" w:w="3024"/>
          </w:tcPr>
          <w:p>
            <w:r>
              <w:rPr>
                <w:rFonts w:ascii="Calibri" w:hAnsi="Calibri"/>
              </w:rPr>
              <w:t>Annual Prepay Discount</w:t>
            </w:r>
          </w:p>
        </w:tc>
        <w:tc>
          <w:tcPr>
            <w:tcW w:type="dxa" w:w="3024"/>
          </w:tcPr>
          <w:p>
            <w:r>
              <w:rPr>
                <w:rFonts w:ascii="Calibri" w:hAnsi="Calibri"/>
              </w:rPr>
              <w:t>10% off for 12-month upfront commitment</w:t>
            </w:r>
          </w:p>
        </w:tc>
        <w:tc>
          <w:tcPr>
            <w:tcW w:type="dxa" w:w="3024"/>
          </w:tcPr>
          <w:p>
            <w:r>
              <w:rPr>
                <w:rFonts w:ascii="Calibri" w:hAnsi="Calibri"/>
              </w:rPr>
              <w:t>Annual retention &gt;85%</w:t>
            </w:r>
          </w:p>
        </w:tc>
      </w:tr>
    </w:tbl>
    <w:p>
      <w:r>
        <w:br w:type="page"/>
      </w:r>
    </w:p>
    <w:p>
      <w:pPr>
        <w:pStyle w:val="Heading1"/>
      </w:pPr>
      <w:r>
        <w:rPr>
          <w:rFonts w:ascii="Calibri" w:hAnsi="Calibri"/>
          <w:color w:val="1A1A1A"/>
        </w:rPr>
        <w:t>11. Funding &amp; Investment Options</w:t>
      </w:r>
    </w:p>
    <w:p>
      <w:r>
        <w:rPr>
          <w:rFonts w:ascii="Calibri" w:hAnsi="Calibri"/>
          <w:b w:val="0"/>
          <w:i w:val="0"/>
          <w:sz w:val="21"/>
        </w:rPr>
        <w:t>Din Personlige Helsesjef is operationally lean — setup costs of NOK 150,000–300,000 and a break-even of 15–18 members mean it can be self-funded by a physician with modest personal capital. However, several Norwegian and European funding options can accelerate growth and de-risk the investment.</w:t>
      </w:r>
    </w:p>
    <w:p/>
    <w:p>
      <w:pPr>
        <w:pStyle w:val="Heading2"/>
      </w:pPr>
      <w:r>
        <w:rPr>
          <w:rFonts w:ascii="Calibri" w:hAnsi="Calibri"/>
          <w:color w:val="1A1A1A"/>
        </w:rPr>
        <w:t>11.1  Innovation Norway (Innovasjon Norge)</w:t>
      </w:r>
    </w:p>
    <w:p>
      <w:r>
        <w:rPr>
          <w:rFonts w:ascii="Calibri" w:hAnsi="Calibri"/>
          <w:b w:val="0"/>
          <w:i w:val="0"/>
          <w:sz w:val="21"/>
        </w:rPr>
        <w:t>Innovation Norway is the primary government instrument for supporting innovative businesses. Frame the practice as Norway's first AI-native health platform — not just a GP practice. The technology angle (locally-hosted LLM, real-time biomarker monitoring, AI agent infrastructure) is what secures funding. Innovation Norway funds technology, not services; position accordingly.</w:t>
      </w:r>
    </w:p>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Programme</w:t>
            </w:r>
          </w:p>
        </w:tc>
        <w:tc>
          <w:tcPr>
            <w:tcW w:type="dxa" w:w="3024"/>
          </w:tcPr>
          <w:p>
            <w:r>
              <w:rPr>
                <w:rFonts w:ascii="Calibri" w:hAnsi="Calibri"/>
                <w:b/>
              </w:rPr>
              <w:t>Amount</w:t>
            </w:r>
          </w:p>
        </w:tc>
        <w:tc>
          <w:tcPr>
            <w:tcW w:type="dxa" w:w="3024"/>
          </w:tcPr>
          <w:p>
            <w:r>
              <w:rPr>
                <w:rFonts w:ascii="Calibri" w:hAnsi="Calibri"/>
                <w:b/>
              </w:rPr>
              <w:t>Fit</w:t>
            </w:r>
          </w:p>
        </w:tc>
      </w:tr>
      <w:tr>
        <w:tc>
          <w:tcPr>
            <w:tcW w:type="dxa" w:w="3024"/>
          </w:tcPr>
          <w:p>
            <w:r>
              <w:rPr>
                <w:rFonts w:ascii="Calibri" w:hAnsi="Calibri"/>
              </w:rPr>
              <w:t>Startup Grant (Etablerertilskudd)</w:t>
            </w:r>
          </w:p>
        </w:tc>
        <w:tc>
          <w:tcPr>
            <w:tcW w:type="dxa" w:w="3024"/>
          </w:tcPr>
          <w:p>
            <w:r>
              <w:rPr>
                <w:rFonts w:ascii="Calibri" w:hAnsi="Calibri"/>
              </w:rPr>
              <w:t>NOK 500,000–900,000</w:t>
            </w:r>
          </w:p>
        </w:tc>
        <w:tc>
          <w:tcPr>
            <w:tcW w:type="dxa" w:w="3024"/>
          </w:tcPr>
          <w:p>
            <w:r>
              <w:rPr>
                <w:rFonts w:ascii="Calibri" w:hAnsi="Calibri"/>
              </w:rPr>
              <w:t>Strong — AI-native medical practice is novel; clear market gap</w:t>
            </w:r>
          </w:p>
        </w:tc>
      </w:tr>
      <w:tr>
        <w:tc>
          <w:tcPr>
            <w:tcW w:type="dxa" w:w="3024"/>
          </w:tcPr>
          <w:p>
            <w:r>
              <w:rPr>
                <w:rFonts w:ascii="Calibri" w:hAnsi="Calibri"/>
              </w:rPr>
              <w:t>Innovation Loan (Innovasjonslån)</w:t>
            </w:r>
          </w:p>
        </w:tc>
        <w:tc>
          <w:tcPr>
            <w:tcW w:type="dxa" w:w="3024"/>
          </w:tcPr>
          <w:p>
            <w:r>
              <w:rPr>
                <w:rFonts w:ascii="Calibri" w:hAnsi="Calibri"/>
              </w:rPr>
              <w:t>NOK 500,000–50M</w:t>
            </w:r>
          </w:p>
        </w:tc>
        <w:tc>
          <w:tcPr>
            <w:tcW w:type="dxa" w:w="3024"/>
          </w:tcPr>
          <w:p>
            <w:r>
              <w:rPr>
                <w:rFonts w:ascii="Calibri" w:hAnsi="Calibri"/>
              </w:rPr>
              <w:t>Moderate — de-risks AI infrastructure investment</w:t>
            </w:r>
          </w:p>
        </w:tc>
      </w:tr>
      <w:tr>
        <w:tc>
          <w:tcPr>
            <w:tcW w:type="dxa" w:w="3024"/>
          </w:tcPr>
          <w:p>
            <w:r>
              <w:rPr>
                <w:rFonts w:ascii="Calibri" w:hAnsi="Calibri"/>
              </w:rPr>
              <w:t>IFU/OFU (Industrial R&amp;D)</w:t>
            </w:r>
          </w:p>
        </w:tc>
        <w:tc>
          <w:tcPr>
            <w:tcW w:type="dxa" w:w="3024"/>
          </w:tcPr>
          <w:p>
            <w:r>
              <w:rPr>
                <w:rFonts w:ascii="Calibri" w:hAnsi="Calibri"/>
              </w:rPr>
              <w:t>Up to 50% of R&amp;D costs</w:t>
            </w:r>
          </w:p>
        </w:tc>
        <w:tc>
          <w:tcPr>
            <w:tcW w:type="dxa" w:w="3024"/>
          </w:tcPr>
          <w:p>
            <w:r>
              <w:rPr>
                <w:rFonts w:ascii="Calibri" w:hAnsi="Calibri"/>
              </w:rPr>
              <w:t>Strong — if co-developing AI with a clinic or hospital partner</w:t>
            </w:r>
          </w:p>
        </w:tc>
      </w:tr>
      <w:tr>
        <w:tc>
          <w:tcPr>
            <w:tcW w:type="dxa" w:w="3024"/>
          </w:tcPr>
          <w:p>
            <w:r>
              <w:rPr>
                <w:rFonts w:ascii="Calibri" w:hAnsi="Calibri"/>
              </w:rPr>
              <w:t>Market Introduction Support</w:t>
            </w:r>
          </w:p>
        </w:tc>
        <w:tc>
          <w:tcPr>
            <w:tcW w:type="dxa" w:w="3024"/>
          </w:tcPr>
          <w:p>
            <w:r>
              <w:rPr>
                <w:rFonts w:ascii="Calibri" w:hAnsi="Calibri"/>
              </w:rPr>
              <w:t>NOK 100,000–500,000</w:t>
            </w:r>
          </w:p>
        </w:tc>
        <w:tc>
          <w:tcPr>
            <w:tcW w:type="dxa" w:w="3024"/>
          </w:tcPr>
          <w:p>
            <w:r>
              <w:rPr>
                <w:rFonts w:ascii="Calibri" w:hAnsi="Calibri"/>
              </w:rPr>
              <w:t>Moderate — targeting Norwegian corporate market systematically</w:t>
            </w:r>
          </w:p>
        </w:tc>
      </w:tr>
    </w:tbl>
    <w:p/>
    <w:p>
      <w:pPr>
        <w:pStyle w:val="Heading2"/>
      </w:pPr>
      <w:r>
        <w:rPr>
          <w:rFonts w:ascii="Calibri" w:hAnsi="Calibri"/>
          <w:color w:val="1A1A1A"/>
        </w:rPr>
        <w:t>11.2  Research Council of Norway (Norges Forskningsråd)</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Programme</w:t>
            </w:r>
          </w:p>
        </w:tc>
        <w:tc>
          <w:tcPr>
            <w:tcW w:type="dxa" w:w="3024"/>
          </w:tcPr>
          <w:p>
            <w:r>
              <w:rPr>
                <w:rFonts w:ascii="Calibri" w:hAnsi="Calibri"/>
                <w:b/>
              </w:rPr>
              <w:t>Amount</w:t>
            </w:r>
          </w:p>
        </w:tc>
        <w:tc>
          <w:tcPr>
            <w:tcW w:type="dxa" w:w="3024"/>
          </w:tcPr>
          <w:p>
            <w:r>
              <w:rPr>
                <w:rFonts w:ascii="Calibri" w:hAnsi="Calibri"/>
                <w:b/>
              </w:rPr>
              <w:t>Fit</w:t>
            </w:r>
          </w:p>
        </w:tc>
      </w:tr>
      <w:tr>
        <w:tc>
          <w:tcPr>
            <w:tcW w:type="dxa" w:w="3024"/>
          </w:tcPr>
          <w:p>
            <w:r>
              <w:rPr>
                <w:rFonts w:ascii="Calibri" w:hAnsi="Calibri"/>
              </w:rPr>
              <w:t>BIA (User-Driven Research)</w:t>
            </w:r>
          </w:p>
        </w:tc>
        <w:tc>
          <w:tcPr>
            <w:tcW w:type="dxa" w:w="3024"/>
          </w:tcPr>
          <w:p>
            <w:r>
              <w:rPr>
                <w:rFonts w:ascii="Calibri" w:hAnsi="Calibri"/>
              </w:rPr>
              <w:t>NOK 1–10M over 3 years</w:t>
            </w:r>
          </w:p>
        </w:tc>
        <w:tc>
          <w:tcPr>
            <w:tcW w:type="dxa" w:w="3024"/>
          </w:tcPr>
          <w:p>
            <w:r>
              <w:rPr>
                <w:rFonts w:ascii="Calibri" w:hAnsi="Calibri"/>
              </w:rPr>
              <w:t>Strong — AI in personalised medicine is a priority area</w:t>
            </w:r>
          </w:p>
        </w:tc>
      </w:tr>
      <w:tr>
        <w:tc>
          <w:tcPr>
            <w:tcW w:type="dxa" w:w="3024"/>
          </w:tcPr>
          <w:p>
            <w:r>
              <w:rPr>
                <w:rFonts w:ascii="Calibri" w:hAnsi="Calibri"/>
              </w:rPr>
              <w:t>HelseOmsorg21 initiatives</w:t>
            </w:r>
          </w:p>
        </w:tc>
        <w:tc>
          <w:tcPr>
            <w:tcW w:type="dxa" w:w="3024"/>
          </w:tcPr>
          <w:p>
            <w:r>
              <w:rPr>
                <w:rFonts w:ascii="Calibri" w:hAnsi="Calibri"/>
              </w:rPr>
              <w:t>Variable</w:t>
            </w:r>
          </w:p>
        </w:tc>
        <w:tc>
          <w:tcPr>
            <w:tcW w:type="dxa" w:w="3024"/>
          </w:tcPr>
          <w:p>
            <w:r>
              <w:rPr>
                <w:rFonts w:ascii="Calibri" w:hAnsi="Calibri"/>
              </w:rPr>
              <w:t>Moderate — frame as contribution to Norwegian health tech leadership</w:t>
            </w:r>
          </w:p>
        </w:tc>
      </w:tr>
    </w:tbl>
    <w:p/>
    <w:p>
      <w:pPr>
        <w:pStyle w:val="Heading2"/>
      </w:pPr>
      <w:r>
        <w:rPr>
          <w:rFonts w:ascii="Calibri" w:hAnsi="Calibri"/>
          <w:color w:val="1A1A1A"/>
        </w:rPr>
        <w:t>11.3  Oslo Business Region &amp; Local Ecosystem</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Entity</w:t>
            </w:r>
          </w:p>
        </w:tc>
        <w:tc>
          <w:tcPr>
            <w:tcW w:type="dxa" w:w="3024"/>
          </w:tcPr>
          <w:p>
            <w:r>
              <w:rPr>
                <w:rFonts w:ascii="Calibri" w:hAnsi="Calibri"/>
                <w:b/>
              </w:rPr>
              <w:t>Support Type</w:t>
            </w:r>
          </w:p>
        </w:tc>
        <w:tc>
          <w:tcPr>
            <w:tcW w:type="dxa" w:w="3024"/>
          </w:tcPr>
          <w:p>
            <w:r>
              <w:rPr>
                <w:rFonts w:ascii="Calibri" w:hAnsi="Calibri"/>
                <w:b/>
              </w:rPr>
              <w:t>Fit</w:t>
            </w:r>
          </w:p>
        </w:tc>
      </w:tr>
      <w:tr>
        <w:tc>
          <w:tcPr>
            <w:tcW w:type="dxa" w:w="3024"/>
          </w:tcPr>
          <w:p>
            <w:r>
              <w:rPr>
                <w:rFonts w:ascii="Calibri" w:hAnsi="Calibri"/>
              </w:rPr>
              <w:t>Oslo Business Region</w:t>
            </w:r>
          </w:p>
        </w:tc>
        <w:tc>
          <w:tcPr>
            <w:tcW w:type="dxa" w:w="3024"/>
          </w:tcPr>
          <w:p>
            <w:r>
              <w:rPr>
                <w:rFonts w:ascii="Calibri" w:hAnsi="Calibri"/>
              </w:rPr>
              <w:t>Mentorship, network, introductions to investors</w:t>
            </w:r>
          </w:p>
        </w:tc>
        <w:tc>
          <w:tcPr>
            <w:tcW w:type="dxa" w:w="3024"/>
          </w:tcPr>
          <w:p>
            <w:r>
              <w:rPr>
                <w:rFonts w:ascii="Calibri" w:hAnsi="Calibri"/>
              </w:rPr>
              <w:t>High — Oslo-focused; health and tech sectors prioritised</w:t>
            </w:r>
          </w:p>
        </w:tc>
      </w:tr>
      <w:tr>
        <w:tc>
          <w:tcPr>
            <w:tcW w:type="dxa" w:w="3024"/>
          </w:tcPr>
          <w:p>
            <w:r>
              <w:rPr>
                <w:rFonts w:ascii="Calibri" w:hAnsi="Calibri"/>
              </w:rPr>
              <w:t>Oslo Cancer Cluster Innovation Park</w:t>
            </w:r>
          </w:p>
        </w:tc>
        <w:tc>
          <w:tcPr>
            <w:tcW w:type="dxa" w:w="3024"/>
          </w:tcPr>
          <w:p>
            <w:r>
              <w:rPr>
                <w:rFonts w:ascii="Calibri" w:hAnsi="Calibri"/>
              </w:rPr>
              <w:t>Co-location, network, AI-in-health partners</w:t>
            </w:r>
          </w:p>
        </w:tc>
        <w:tc>
          <w:tcPr>
            <w:tcW w:type="dxa" w:w="3024"/>
          </w:tcPr>
          <w:p>
            <w:r>
              <w:rPr>
                <w:rFonts w:ascii="Calibri" w:hAnsi="Calibri"/>
              </w:rPr>
              <w:t>Moderate — health sector focus</w:t>
            </w:r>
          </w:p>
        </w:tc>
      </w:tr>
      <w:tr>
        <w:tc>
          <w:tcPr>
            <w:tcW w:type="dxa" w:w="3024"/>
          </w:tcPr>
          <w:p>
            <w:r>
              <w:rPr>
                <w:rFonts w:ascii="Calibri" w:hAnsi="Calibri"/>
              </w:rPr>
              <w:t>Gründerskolen</w:t>
            </w:r>
          </w:p>
        </w:tc>
        <w:tc>
          <w:tcPr>
            <w:tcW w:type="dxa" w:w="3024"/>
          </w:tcPr>
          <w:p>
            <w:r>
              <w:rPr>
                <w:rFonts w:ascii="Calibri" w:hAnsi="Calibri"/>
              </w:rPr>
              <w:t>Training, network, alumni community</w:t>
            </w:r>
          </w:p>
        </w:tc>
        <w:tc>
          <w:tcPr>
            <w:tcW w:type="dxa" w:w="3024"/>
          </w:tcPr>
          <w:p>
            <w:r>
              <w:rPr>
                <w:rFonts w:ascii="Calibri" w:hAnsi="Calibri"/>
              </w:rPr>
              <w:t>Useful for business development</w:t>
            </w:r>
          </w:p>
        </w:tc>
      </w:tr>
    </w:tbl>
    <w:p/>
    <w:p>
      <w:pPr>
        <w:pStyle w:val="Heading2"/>
      </w:pPr>
      <w:r>
        <w:rPr>
          <w:rFonts w:ascii="Calibri" w:hAnsi="Calibri"/>
          <w:color w:val="1A1A1A"/>
        </w:rPr>
        <w:t>11.4  EU Innovation Funding</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Programme</w:t>
            </w:r>
          </w:p>
        </w:tc>
        <w:tc>
          <w:tcPr>
            <w:tcW w:type="dxa" w:w="3024"/>
          </w:tcPr>
          <w:p>
            <w:r>
              <w:rPr>
                <w:rFonts w:ascii="Calibri" w:hAnsi="Calibri"/>
                <w:b/>
              </w:rPr>
              <w:t>Amount</w:t>
            </w:r>
          </w:p>
        </w:tc>
        <w:tc>
          <w:tcPr>
            <w:tcW w:type="dxa" w:w="3024"/>
          </w:tcPr>
          <w:p>
            <w:r>
              <w:rPr>
                <w:rFonts w:ascii="Calibri" w:hAnsi="Calibri"/>
                <w:b/>
              </w:rPr>
              <w:t>Fit</w:t>
            </w:r>
          </w:p>
        </w:tc>
      </w:tr>
      <w:tr>
        <w:tc>
          <w:tcPr>
            <w:tcW w:type="dxa" w:w="3024"/>
          </w:tcPr>
          <w:p>
            <w:r>
              <w:rPr>
                <w:rFonts w:ascii="Calibri" w:hAnsi="Calibri"/>
              </w:rPr>
              <w:t>Horizon Europe — EIC Accelerator</w:t>
            </w:r>
          </w:p>
        </w:tc>
        <w:tc>
          <w:tcPr>
            <w:tcW w:type="dxa" w:w="3024"/>
          </w:tcPr>
          <w:p>
            <w:r>
              <w:rPr>
                <w:rFonts w:ascii="Calibri" w:hAnsi="Calibri"/>
              </w:rPr>
              <w:t>Up to EUR 2.5M grant + EUR 15M equity</w:t>
            </w:r>
          </w:p>
        </w:tc>
        <w:tc>
          <w:tcPr>
            <w:tcW w:type="dxa" w:w="3024"/>
          </w:tcPr>
          <w:p>
            <w:r>
              <w:rPr>
                <w:rFonts w:ascii="Calibri" w:hAnsi="Calibri"/>
              </w:rPr>
              <w:t>Strong if practice scales to a replicable platform product</w:t>
            </w:r>
          </w:p>
        </w:tc>
      </w:tr>
      <w:tr>
        <w:tc>
          <w:tcPr>
            <w:tcW w:type="dxa" w:w="3024"/>
          </w:tcPr>
          <w:p>
            <w:r>
              <w:rPr>
                <w:rFonts w:ascii="Calibri" w:hAnsi="Calibri"/>
              </w:rPr>
              <w:t>EIC Pathfinder</w:t>
            </w:r>
          </w:p>
        </w:tc>
        <w:tc>
          <w:tcPr>
            <w:tcW w:type="dxa" w:w="3024"/>
          </w:tcPr>
          <w:p>
            <w:r>
              <w:rPr>
                <w:rFonts w:ascii="Calibri" w:hAnsi="Calibri"/>
              </w:rPr>
              <w:t>Up to EUR 4M</w:t>
            </w:r>
          </w:p>
        </w:tc>
        <w:tc>
          <w:tcPr>
            <w:tcW w:type="dxa" w:w="3024"/>
          </w:tcPr>
          <w:p>
            <w:r>
              <w:rPr>
                <w:rFonts w:ascii="Calibri" w:hAnsi="Calibri"/>
              </w:rPr>
              <w:t>Earlier stage; suitable for AI-in-medicine research component</w:t>
            </w:r>
          </w:p>
        </w:tc>
      </w:tr>
      <w:tr>
        <w:tc>
          <w:tcPr>
            <w:tcW w:type="dxa" w:w="3024"/>
          </w:tcPr>
          <w:p>
            <w:r>
              <w:rPr>
                <w:rFonts w:ascii="Calibri" w:hAnsi="Calibri"/>
              </w:rPr>
              <w:t>Eurostars (bilateral R&amp;D)</w:t>
            </w:r>
          </w:p>
        </w:tc>
        <w:tc>
          <w:tcPr>
            <w:tcW w:type="dxa" w:w="3024"/>
          </w:tcPr>
          <w:p>
            <w:r>
              <w:rPr>
                <w:rFonts w:ascii="Calibri" w:hAnsi="Calibri"/>
              </w:rPr>
              <w:t>Up to EUR 2M</w:t>
            </w:r>
          </w:p>
        </w:tc>
        <w:tc>
          <w:tcPr>
            <w:tcW w:type="dxa" w:w="3024"/>
          </w:tcPr>
          <w:p>
            <w:r>
              <w:rPr>
                <w:rFonts w:ascii="Calibri" w:hAnsi="Calibri"/>
              </w:rPr>
              <w:t>Viable for AI development with an international partner</w:t>
            </w:r>
          </w:p>
        </w:tc>
      </w:tr>
      <w:tr>
        <w:tc>
          <w:tcPr>
            <w:tcW w:type="dxa" w:w="3024"/>
          </w:tcPr>
          <w:p>
            <w:r>
              <w:rPr>
                <w:rFonts w:ascii="Calibri" w:hAnsi="Calibri"/>
              </w:rPr>
              <w:t>EEA/Norway Grants — Health programme</w:t>
            </w:r>
          </w:p>
        </w:tc>
        <w:tc>
          <w:tcPr>
            <w:tcW w:type="dxa" w:w="3024"/>
          </w:tcPr>
          <w:p>
            <w:r>
              <w:rPr>
                <w:rFonts w:ascii="Calibri" w:hAnsi="Calibri"/>
              </w:rPr>
              <w:t>Variable</w:t>
            </w:r>
          </w:p>
        </w:tc>
        <w:tc>
          <w:tcPr>
            <w:tcW w:type="dxa" w:w="3024"/>
          </w:tcPr>
          <w:p>
            <w:r>
              <w:rPr>
                <w:rFonts w:ascii="Calibri" w:hAnsi="Calibri"/>
              </w:rPr>
              <w:t>Accessible for Norwegian SMEs; health innovation focus</w:t>
            </w:r>
          </w:p>
        </w:tc>
      </w:tr>
    </w:tbl>
    <w:p/>
    <w:p>
      <w:pPr>
        <w:pStyle w:val="Heading2"/>
      </w:pPr>
      <w:r>
        <w:rPr>
          <w:rFonts w:ascii="Calibri" w:hAnsi="Calibri"/>
          <w:color w:val="1A1A1A"/>
        </w:rPr>
        <w:t>11.5  Private Capital</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Source</w:t>
            </w:r>
          </w:p>
        </w:tc>
        <w:tc>
          <w:tcPr>
            <w:tcW w:type="dxa" w:w="3024"/>
          </w:tcPr>
          <w:p>
            <w:r>
              <w:rPr>
                <w:rFonts w:ascii="Calibri" w:hAnsi="Calibri"/>
                <w:b/>
              </w:rPr>
              <w:t>Amount</w:t>
            </w:r>
          </w:p>
        </w:tc>
        <w:tc>
          <w:tcPr>
            <w:tcW w:type="dxa" w:w="3024"/>
          </w:tcPr>
          <w:p>
            <w:r>
              <w:rPr>
                <w:rFonts w:ascii="Calibri" w:hAnsi="Calibri"/>
                <w:b/>
              </w:rPr>
              <w:t>Considerations</w:t>
            </w:r>
          </w:p>
        </w:tc>
      </w:tr>
      <w:tr>
        <w:tc>
          <w:tcPr>
            <w:tcW w:type="dxa" w:w="3024"/>
          </w:tcPr>
          <w:p>
            <w:r>
              <w:rPr>
                <w:rFonts w:ascii="Calibri" w:hAnsi="Calibri"/>
              </w:rPr>
              <w:t>Angel investors / HNWIs</w:t>
            </w:r>
          </w:p>
        </w:tc>
        <w:tc>
          <w:tcPr>
            <w:tcW w:type="dxa" w:w="3024"/>
          </w:tcPr>
          <w:p>
            <w:r>
              <w:rPr>
                <w:rFonts w:ascii="Calibri" w:hAnsi="Calibri"/>
              </w:rPr>
              <w:t>NOK 500K–5M</w:t>
            </w:r>
          </w:p>
        </w:tc>
        <w:tc>
          <w:tcPr>
            <w:tcW w:type="dxa" w:w="3024"/>
          </w:tcPr>
          <w:p>
            <w:r>
              <w:rPr>
                <w:rFonts w:ascii="Calibri" w:hAnsi="Calibri"/>
              </w:rPr>
              <w:t>Oslo health and tech angels; personal network overlaps with member target</w:t>
            </w:r>
          </w:p>
        </w:tc>
      </w:tr>
      <w:tr>
        <w:tc>
          <w:tcPr>
            <w:tcW w:type="dxa" w:w="3024"/>
          </w:tcPr>
          <w:p>
            <w:r>
              <w:rPr>
                <w:rFonts w:ascii="Calibri" w:hAnsi="Calibri"/>
              </w:rPr>
              <w:t>Nordic health-tech VCs</w:t>
            </w:r>
          </w:p>
        </w:tc>
        <w:tc>
          <w:tcPr>
            <w:tcW w:type="dxa" w:w="3024"/>
          </w:tcPr>
          <w:p>
            <w:r>
              <w:rPr>
                <w:rFonts w:ascii="Calibri" w:hAnsi="Calibri"/>
              </w:rPr>
              <w:t>NOK 5–50M (Series A)</w:t>
            </w:r>
          </w:p>
        </w:tc>
        <w:tc>
          <w:tcPr>
            <w:tcW w:type="dxa" w:w="3024"/>
          </w:tcPr>
          <w:p>
            <w:r>
              <w:rPr>
                <w:rFonts w:ascii="Calibri" w:hAnsi="Calibri"/>
              </w:rPr>
              <w:t>Requires platform narrative and scalability proof; viable by Year 2–3</w:t>
            </w:r>
          </w:p>
        </w:tc>
      </w:tr>
      <w:tr>
        <w:tc>
          <w:tcPr>
            <w:tcW w:type="dxa" w:w="3024"/>
          </w:tcPr>
          <w:p>
            <w:r>
              <w:rPr>
                <w:rFonts w:ascii="Calibri" w:hAnsi="Calibri"/>
              </w:rPr>
              <w:t>Strategic investors (private clinic groups)</w:t>
            </w:r>
          </w:p>
        </w:tc>
        <w:tc>
          <w:tcPr>
            <w:tcW w:type="dxa" w:w="3024"/>
          </w:tcPr>
          <w:p>
            <w:r>
              <w:rPr>
                <w:rFonts w:ascii="Calibri" w:hAnsi="Calibri"/>
              </w:rPr>
              <w:t>Variable</w:t>
            </w:r>
          </w:p>
        </w:tc>
        <w:tc>
          <w:tcPr>
            <w:tcW w:type="dxa" w:w="3024"/>
          </w:tcPr>
          <w:p>
            <w:r>
              <w:rPr>
                <w:rFonts w:ascii="Calibri" w:hAnsi="Calibri"/>
              </w:rPr>
              <w:t>Aleris, Capio, Volvat — potential to acquire, partner, or license the AI model</w:t>
            </w:r>
          </w:p>
        </w:tc>
      </w:tr>
      <w:tr>
        <w:tc>
          <w:tcPr>
            <w:tcW w:type="dxa" w:w="3024"/>
          </w:tcPr>
          <w:p>
            <w:r>
              <w:rPr>
                <w:rFonts w:ascii="Calibri" w:hAnsi="Calibri"/>
              </w:rPr>
              <w:t>Family offices</w:t>
            </w:r>
          </w:p>
        </w:tc>
        <w:tc>
          <w:tcPr>
            <w:tcW w:type="dxa" w:w="3024"/>
          </w:tcPr>
          <w:p>
            <w:r>
              <w:rPr>
                <w:rFonts w:ascii="Calibri" w:hAnsi="Calibri"/>
              </w:rPr>
              <w:t>NOK 1–20M</w:t>
            </w:r>
          </w:p>
        </w:tc>
        <w:tc>
          <w:tcPr>
            <w:tcW w:type="dxa" w:w="3024"/>
          </w:tcPr>
          <w:p>
            <w:r>
              <w:rPr>
                <w:rFonts w:ascii="Calibri" w:hAnsi="Calibri"/>
              </w:rPr>
              <w:t>Several Oslo family offices active in health and wellness</w:t>
            </w:r>
          </w:p>
        </w:tc>
      </w:tr>
    </w:tbl>
    <w:p/>
    <w:p>
      <w:pPr>
        <w:pStyle w:val="Heading2"/>
      </w:pPr>
      <w:r>
        <w:rPr>
          <w:rFonts w:ascii="Calibri" w:hAnsi="Calibri"/>
          <w:color w:val="1A1A1A"/>
        </w:rPr>
        <w:t>11.6  Recommended Phased Approach</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Phase</w:t>
            </w:r>
          </w:p>
        </w:tc>
        <w:tc>
          <w:tcPr>
            <w:tcW w:type="dxa" w:w="3024"/>
          </w:tcPr>
          <w:p>
            <w:r>
              <w:rPr>
                <w:rFonts w:ascii="Calibri" w:hAnsi="Calibri"/>
                <w:b/>
              </w:rPr>
              <w:t>Recommended Approach</w:t>
            </w:r>
          </w:p>
        </w:tc>
        <w:tc>
          <w:tcPr>
            <w:tcW w:type="dxa" w:w="3024"/>
          </w:tcPr>
          <w:p>
            <w:r>
              <w:rPr>
                <w:rFonts w:ascii="Calibri" w:hAnsi="Calibri"/>
                <w:b/>
              </w:rPr>
              <w:t>Target</w:t>
            </w:r>
          </w:p>
        </w:tc>
      </w:tr>
      <w:tr>
        <w:tc>
          <w:tcPr>
            <w:tcW w:type="dxa" w:w="3024"/>
          </w:tcPr>
          <w:p>
            <w:r>
              <w:rPr>
                <w:rFonts w:ascii="Calibri" w:hAnsi="Calibri"/>
              </w:rPr>
              <w:t>Launch (Phase 0–1)</w:t>
            </w:r>
          </w:p>
        </w:tc>
        <w:tc>
          <w:tcPr>
            <w:tcW w:type="dxa" w:w="3024"/>
          </w:tcPr>
          <w:p>
            <w:r>
              <w:rPr>
                <w:rFonts w:ascii="Calibri" w:hAnsi="Calibri"/>
              </w:rPr>
              <w:t>Self-fund setup; apply to Innovation Norway Startup Grant in parallel</w:t>
            </w:r>
          </w:p>
        </w:tc>
        <w:tc>
          <w:tcPr>
            <w:tcW w:type="dxa" w:w="3024"/>
          </w:tcPr>
          <w:p>
            <w:r>
              <w:rPr>
                <w:rFonts w:ascii="Calibri" w:hAnsi="Calibri"/>
              </w:rPr>
              <w:t>NOK 150K–300K personal + NOK 500K–900K grant</w:t>
            </w:r>
          </w:p>
        </w:tc>
      </w:tr>
      <w:tr>
        <w:tc>
          <w:tcPr>
            <w:tcW w:type="dxa" w:w="3024"/>
          </w:tcPr>
          <w:p>
            <w:r>
              <w:rPr>
                <w:rFonts w:ascii="Calibri" w:hAnsi="Calibri"/>
              </w:rPr>
              <w:t>Growth (Phase 2)</w:t>
            </w:r>
          </w:p>
        </w:tc>
        <w:tc>
          <w:tcPr>
            <w:tcW w:type="dxa" w:w="3024"/>
          </w:tcPr>
          <w:p>
            <w:r>
              <w:rPr>
                <w:rFonts w:ascii="Calibri" w:hAnsi="Calibri"/>
              </w:rPr>
              <w:t>Reinvest cash flow; secure IFU/BIA grant for AI development</w:t>
            </w:r>
          </w:p>
        </w:tc>
        <w:tc>
          <w:tcPr>
            <w:tcW w:type="dxa" w:w="3024"/>
          </w:tcPr>
          <w:p>
            <w:r>
              <w:rPr>
                <w:rFonts w:ascii="Calibri" w:hAnsi="Calibri"/>
              </w:rPr>
              <w:t>Revenue-funded + NOK 1–3M research grant</w:t>
            </w:r>
          </w:p>
        </w:tc>
      </w:tr>
      <w:tr>
        <w:tc>
          <w:tcPr>
            <w:tcW w:type="dxa" w:w="3024"/>
          </w:tcPr>
          <w:p>
            <w:r>
              <w:rPr>
                <w:rFonts w:ascii="Calibri" w:hAnsi="Calibri"/>
              </w:rPr>
              <w:t>Scale (Phase 3+)</w:t>
            </w:r>
          </w:p>
        </w:tc>
        <w:tc>
          <w:tcPr>
            <w:tcW w:type="dxa" w:w="3024"/>
          </w:tcPr>
          <w:p>
            <w:r>
              <w:rPr>
                <w:rFonts w:ascii="Calibri" w:hAnsi="Calibri"/>
              </w:rPr>
              <w:t>Evaluate strategic partnership or angel round if platform ambition exists</w:t>
            </w:r>
          </w:p>
        </w:tc>
        <w:tc>
          <w:tcPr>
            <w:tcW w:type="dxa" w:w="3024"/>
          </w:tcPr>
          <w:p>
            <w:r>
              <w:rPr>
                <w:rFonts w:ascii="Calibri" w:hAnsi="Calibri"/>
              </w:rPr>
              <w:t>NOK 2–10M if applicable</w:t>
            </w:r>
          </w:p>
        </w:tc>
      </w:tr>
    </w:tbl>
    <w:p/>
    <w:p>
      <w:r>
        <w:rPr>
          <w:rFonts w:ascii="Calibri" w:hAnsi="Calibri"/>
          <w:b/>
          <w:i w:val="0"/>
          <w:sz w:val="21"/>
        </w:rPr>
        <w:t xml:space="preserve">Note: </w:t>
      </w:r>
      <w:r>
        <w:rPr>
          <w:rFonts w:ascii="Calibri" w:hAnsi="Calibri"/>
          <w:b w:val="0"/>
          <w:i/>
          <w:sz w:val="21"/>
        </w:rPr>
        <w:t>The practice does not require external funding to be viable. A profitable practice by Month 3–4 is the strongest possible negotiating position for any future funding or partnership.</w:t>
      </w:r>
    </w:p>
    <w:p>
      <w:r>
        <w:br w:type="page"/>
      </w:r>
    </w:p>
    <w:p>
      <w:pPr>
        <w:pStyle w:val="Heading1"/>
      </w:pPr>
      <w:r>
        <w:rPr>
          <w:rFonts w:ascii="Calibri" w:hAnsi="Calibri"/>
          <w:color w:val="1A1A1A"/>
        </w:rPr>
        <w:t>12. Setup &amp; Investment Summary</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Category</w:t>
            </w:r>
          </w:p>
        </w:tc>
        <w:tc>
          <w:tcPr>
            <w:tcW w:type="dxa" w:w="2268"/>
          </w:tcPr>
          <w:p>
            <w:r>
              <w:rPr>
                <w:rFonts w:ascii="Calibri" w:hAnsi="Calibri"/>
                <w:b/>
              </w:rPr>
              <w:t>Item</w:t>
            </w:r>
          </w:p>
        </w:tc>
        <w:tc>
          <w:tcPr>
            <w:tcW w:type="dxa" w:w="2268"/>
          </w:tcPr>
          <w:p>
            <w:r>
              <w:rPr>
                <w:rFonts w:ascii="Calibri" w:hAnsi="Calibri"/>
                <w:b/>
              </w:rPr>
              <w:t>Cost (NOK)</w:t>
            </w:r>
          </w:p>
        </w:tc>
        <w:tc>
          <w:tcPr>
            <w:tcW w:type="dxa" w:w="2268"/>
          </w:tcPr>
          <w:p>
            <w:r>
              <w:rPr>
                <w:rFonts w:ascii="Calibri" w:hAnsi="Calibri"/>
                <w:b/>
              </w:rPr>
              <w:t>Notes</w:t>
            </w:r>
          </w:p>
        </w:tc>
      </w:tr>
      <w:tr>
        <w:tc>
          <w:tcPr>
            <w:tcW w:type="dxa" w:w="2268"/>
          </w:tcPr>
          <w:p>
            <w:r>
              <w:rPr>
                <w:rFonts w:ascii="Calibri" w:hAnsi="Calibri"/>
              </w:rPr>
              <w:t>Legal</w:t>
            </w:r>
          </w:p>
        </w:tc>
        <w:tc>
          <w:tcPr>
            <w:tcW w:type="dxa" w:w="2268"/>
          </w:tcPr>
          <w:p>
            <w:r>
              <w:rPr>
                <w:rFonts w:ascii="Calibri" w:hAnsi="Calibri"/>
              </w:rPr>
              <w:t>AS registration</w:t>
            </w:r>
          </w:p>
        </w:tc>
        <w:tc>
          <w:tcPr>
            <w:tcW w:type="dxa" w:w="2268"/>
          </w:tcPr>
          <w:p>
            <w:r>
              <w:rPr>
                <w:rFonts w:ascii="Calibri" w:hAnsi="Calibri"/>
              </w:rPr>
              <w:t>5,570</w:t>
            </w:r>
          </w:p>
        </w:tc>
        <w:tc>
          <w:tcPr>
            <w:tcW w:type="dxa" w:w="2268"/>
          </w:tcPr>
          <w:p>
            <w:r>
              <w:rPr>
                <w:rFonts w:ascii="Calibri" w:hAnsi="Calibri"/>
              </w:rPr>
              <w:t>One-time</w:t>
            </w:r>
          </w:p>
        </w:tc>
      </w:tr>
      <w:tr>
        <w:tc>
          <w:tcPr>
            <w:tcW w:type="dxa" w:w="2268"/>
          </w:tcPr>
          <w:p>
            <w:r>
              <w:rPr>
                <w:rFonts w:ascii="Calibri" w:hAnsi="Calibri"/>
              </w:rPr>
              <w:t>Legal</w:t>
            </w:r>
          </w:p>
        </w:tc>
        <w:tc>
          <w:tcPr>
            <w:tcW w:type="dxa" w:w="2268"/>
          </w:tcPr>
          <w:p>
            <w:r>
              <w:rPr>
                <w:rFonts w:ascii="Calibri" w:hAnsi="Calibri"/>
              </w:rPr>
              <w:t>Lawyer (membership agreement, privacy docs)</w:t>
            </w:r>
          </w:p>
        </w:tc>
        <w:tc>
          <w:tcPr>
            <w:tcW w:type="dxa" w:w="2268"/>
          </w:tcPr>
          <w:p>
            <w:r>
              <w:rPr>
                <w:rFonts w:ascii="Calibri" w:hAnsi="Calibri"/>
              </w:rPr>
              <w:t>15,000–25,000</w:t>
            </w:r>
          </w:p>
        </w:tc>
        <w:tc>
          <w:tcPr>
            <w:tcW w:type="dxa" w:w="2268"/>
          </w:tcPr>
          <w:p>
            <w:r>
              <w:rPr>
                <w:rFonts w:ascii="Calibri" w:hAnsi="Calibri"/>
              </w:rPr>
              <w:t>One-time</w:t>
            </w:r>
          </w:p>
        </w:tc>
      </w:tr>
      <w:tr>
        <w:tc>
          <w:tcPr>
            <w:tcW w:type="dxa" w:w="2268"/>
          </w:tcPr>
          <w:p>
            <w:r>
              <w:rPr>
                <w:rFonts w:ascii="Calibri" w:hAnsi="Calibri"/>
              </w:rPr>
              <w:t>Legal</w:t>
            </w:r>
          </w:p>
        </w:tc>
        <w:tc>
          <w:tcPr>
            <w:tcW w:type="dxa" w:w="2268"/>
          </w:tcPr>
          <w:p>
            <w:r>
              <w:rPr>
                <w:rFonts w:ascii="Calibri" w:hAnsi="Calibri"/>
              </w:rPr>
              <w:t>Accountant (setup + Year 1)</w:t>
            </w:r>
          </w:p>
        </w:tc>
        <w:tc>
          <w:tcPr>
            <w:tcW w:type="dxa" w:w="2268"/>
          </w:tcPr>
          <w:p>
            <w:r>
              <w:rPr>
                <w:rFonts w:ascii="Calibri" w:hAnsi="Calibri"/>
              </w:rPr>
              <w:t>10,000–15,000</w:t>
            </w:r>
          </w:p>
        </w:tc>
        <w:tc>
          <w:tcPr>
            <w:tcW w:type="dxa" w:w="2268"/>
          </w:tcPr>
          <w:p>
            <w:r>
              <w:rPr>
                <w:rFonts w:ascii="Calibri" w:hAnsi="Calibri"/>
              </w:rPr>
              <w:t>First year</w:t>
            </w:r>
          </w:p>
        </w:tc>
      </w:tr>
      <w:tr>
        <w:tc>
          <w:tcPr>
            <w:tcW w:type="dxa" w:w="2268"/>
          </w:tcPr>
          <w:p>
            <w:r>
              <w:rPr>
                <w:rFonts w:ascii="Calibri" w:hAnsi="Calibri"/>
              </w:rPr>
              <w:t>Insurance</w:t>
            </w:r>
          </w:p>
        </w:tc>
        <w:tc>
          <w:tcPr>
            <w:tcW w:type="dxa" w:w="2268"/>
          </w:tcPr>
          <w:p>
            <w:r>
              <w:rPr>
                <w:rFonts w:ascii="Calibri" w:hAnsi="Calibri"/>
              </w:rPr>
              <w:t>Ansvarsforsikring (professional liability)</w:t>
            </w:r>
          </w:p>
        </w:tc>
        <w:tc>
          <w:tcPr>
            <w:tcW w:type="dxa" w:w="2268"/>
          </w:tcPr>
          <w:p>
            <w:r>
              <w:rPr>
                <w:rFonts w:ascii="Calibri" w:hAnsi="Calibri"/>
              </w:rPr>
              <w:t>20,000–40,000</w:t>
            </w:r>
          </w:p>
        </w:tc>
        <w:tc>
          <w:tcPr>
            <w:tcW w:type="dxa" w:w="2268"/>
          </w:tcPr>
          <w:p>
            <w:r>
              <w:rPr>
                <w:rFonts w:ascii="Calibri" w:hAnsi="Calibri"/>
              </w:rPr>
              <w:t>Annual</w:t>
            </w:r>
          </w:p>
        </w:tc>
      </w:tr>
      <w:tr>
        <w:tc>
          <w:tcPr>
            <w:tcW w:type="dxa" w:w="2268"/>
          </w:tcPr>
          <w:p>
            <w:r>
              <w:rPr>
                <w:rFonts w:ascii="Calibri" w:hAnsi="Calibri"/>
              </w:rPr>
              <w:t>Infrastructure</w:t>
            </w:r>
          </w:p>
        </w:tc>
        <w:tc>
          <w:tcPr>
            <w:tcW w:type="dxa" w:w="2268"/>
          </w:tcPr>
          <w:p>
            <w:r>
              <w:rPr>
                <w:rFonts w:ascii="Calibri" w:hAnsi="Calibri"/>
              </w:rPr>
              <w:t>Mac Mini M4 (if not owned)</w:t>
            </w:r>
          </w:p>
        </w:tc>
        <w:tc>
          <w:tcPr>
            <w:tcW w:type="dxa" w:w="2268"/>
          </w:tcPr>
          <w:p>
            <w:r>
              <w:rPr>
                <w:rFonts w:ascii="Calibri" w:hAnsi="Calibri"/>
              </w:rPr>
              <w:t>8,000–12,000</w:t>
            </w:r>
          </w:p>
        </w:tc>
        <w:tc>
          <w:tcPr>
            <w:tcW w:type="dxa" w:w="2268"/>
          </w:tcPr>
          <w:p>
            <w:r>
              <w:rPr>
                <w:rFonts w:ascii="Calibri" w:hAnsi="Calibri"/>
              </w:rPr>
              <w:t>One-time</w:t>
            </w:r>
          </w:p>
        </w:tc>
      </w:tr>
      <w:tr>
        <w:tc>
          <w:tcPr>
            <w:tcW w:type="dxa" w:w="2268"/>
          </w:tcPr>
          <w:p>
            <w:r>
              <w:rPr>
                <w:rFonts w:ascii="Calibri" w:hAnsi="Calibri"/>
              </w:rPr>
              <w:t>Infrastructure</w:t>
            </w:r>
          </w:p>
        </w:tc>
        <w:tc>
          <w:tcPr>
            <w:tcW w:type="dxa" w:w="2268"/>
          </w:tcPr>
          <w:p>
            <w:r>
              <w:rPr>
                <w:rFonts w:ascii="Calibri" w:hAnsi="Calibri"/>
              </w:rPr>
              <w:t>Clinical equipment (ECG, BP, scale)</w:t>
            </w:r>
          </w:p>
        </w:tc>
        <w:tc>
          <w:tcPr>
            <w:tcW w:type="dxa" w:w="2268"/>
          </w:tcPr>
          <w:p>
            <w:r>
              <w:rPr>
                <w:rFonts w:ascii="Calibri" w:hAnsi="Calibri"/>
              </w:rPr>
              <w:t>15,000–30,000</w:t>
            </w:r>
          </w:p>
        </w:tc>
        <w:tc>
          <w:tcPr>
            <w:tcW w:type="dxa" w:w="2268"/>
          </w:tcPr>
          <w:p>
            <w:r>
              <w:rPr>
                <w:rFonts w:ascii="Calibri" w:hAnsi="Calibri"/>
              </w:rPr>
              <w:t>One-time</w:t>
            </w:r>
          </w:p>
        </w:tc>
      </w:tr>
      <w:tr>
        <w:tc>
          <w:tcPr>
            <w:tcW w:type="dxa" w:w="2268"/>
          </w:tcPr>
          <w:p>
            <w:r>
              <w:rPr>
                <w:rFonts w:ascii="Calibri" w:hAnsi="Calibri"/>
              </w:rPr>
              <w:t>Infrastructure</w:t>
            </w:r>
          </w:p>
        </w:tc>
        <w:tc>
          <w:tcPr>
            <w:tcW w:type="dxa" w:w="2268"/>
          </w:tcPr>
          <w:p>
            <w:r>
              <w:rPr>
                <w:rFonts w:ascii="Calibri" w:hAnsi="Calibri"/>
              </w:rPr>
              <w:t>Cloudflare Tunnel + domain</w:t>
            </w:r>
          </w:p>
        </w:tc>
        <w:tc>
          <w:tcPr>
            <w:tcW w:type="dxa" w:w="2268"/>
          </w:tcPr>
          <w:p>
            <w:r>
              <w:rPr>
                <w:rFonts w:ascii="Calibri" w:hAnsi="Calibri"/>
              </w:rPr>
              <w:t>500–1,000</w:t>
            </w:r>
          </w:p>
        </w:tc>
        <w:tc>
          <w:tcPr>
            <w:tcW w:type="dxa" w:w="2268"/>
          </w:tcPr>
          <w:p>
            <w:r>
              <w:rPr>
                <w:rFonts w:ascii="Calibri" w:hAnsi="Calibri"/>
              </w:rPr>
              <w:t>Annual</w:t>
            </w:r>
          </w:p>
        </w:tc>
      </w:tr>
      <w:tr>
        <w:tc>
          <w:tcPr>
            <w:tcW w:type="dxa" w:w="2268"/>
          </w:tcPr>
          <w:p>
            <w:r>
              <w:rPr>
                <w:rFonts w:ascii="Calibri" w:hAnsi="Calibri"/>
              </w:rPr>
              <w:t>Clinical</w:t>
            </w:r>
          </w:p>
        </w:tc>
        <w:tc>
          <w:tcPr>
            <w:tcW w:type="dxa" w:w="2268"/>
          </w:tcPr>
          <w:p>
            <w:r>
              <w:rPr>
                <w:rFonts w:ascii="Calibri" w:hAnsi="Calibri"/>
              </w:rPr>
              <w:t>EPJ system (EG Pasientsky)</w:t>
            </w:r>
          </w:p>
        </w:tc>
        <w:tc>
          <w:tcPr>
            <w:tcW w:type="dxa" w:w="2268"/>
          </w:tcPr>
          <w:p>
            <w:r>
              <w:rPr>
                <w:rFonts w:ascii="Calibri" w:hAnsi="Calibri"/>
              </w:rPr>
              <w:t>7,200–9,600</w:t>
            </w:r>
          </w:p>
        </w:tc>
        <w:tc>
          <w:tcPr>
            <w:tcW w:type="dxa" w:w="2268"/>
          </w:tcPr>
          <w:p>
            <w:r>
              <w:rPr>
                <w:rFonts w:ascii="Calibri" w:hAnsi="Calibri"/>
              </w:rPr>
              <w:t>Annual</w:t>
            </w:r>
          </w:p>
        </w:tc>
      </w:tr>
      <w:tr>
        <w:tc>
          <w:tcPr>
            <w:tcW w:type="dxa" w:w="2268"/>
          </w:tcPr>
          <w:p>
            <w:r>
              <w:rPr>
                <w:rFonts w:ascii="Calibri" w:hAnsi="Calibri"/>
              </w:rPr>
              <w:t>Clinical</w:t>
            </w:r>
          </w:p>
        </w:tc>
        <w:tc>
          <w:tcPr>
            <w:tcW w:type="dxa" w:w="2268"/>
          </w:tcPr>
          <w:p>
            <w:r>
              <w:rPr>
                <w:rFonts w:ascii="Calibri" w:hAnsi="Calibri"/>
              </w:rPr>
              <w:t>NPE registration contribution</w:t>
            </w:r>
          </w:p>
        </w:tc>
        <w:tc>
          <w:tcPr>
            <w:tcW w:type="dxa" w:w="2268"/>
          </w:tcPr>
          <w:p>
            <w:r>
              <w:rPr>
                <w:rFonts w:ascii="Calibri" w:hAnsi="Calibri"/>
              </w:rPr>
              <w:t>1,000–2,500</w:t>
            </w:r>
          </w:p>
        </w:tc>
        <w:tc>
          <w:tcPr>
            <w:tcW w:type="dxa" w:w="2268"/>
          </w:tcPr>
          <w:p>
            <w:r>
              <w:rPr>
                <w:rFonts w:ascii="Calibri" w:hAnsi="Calibri"/>
              </w:rPr>
              <w:t>Annual</w:t>
            </w:r>
          </w:p>
        </w:tc>
      </w:tr>
      <w:tr>
        <w:tc>
          <w:tcPr>
            <w:tcW w:type="dxa" w:w="2268"/>
          </w:tcPr>
          <w:p>
            <w:r>
              <w:rPr>
                <w:rFonts w:ascii="Calibri" w:hAnsi="Calibri"/>
              </w:rPr>
              <w:t>Clinical</w:t>
            </w:r>
          </w:p>
        </w:tc>
        <w:tc>
          <w:tcPr>
            <w:tcW w:type="dxa" w:w="2268"/>
          </w:tcPr>
          <w:p>
            <w:r>
              <w:rPr>
                <w:rFonts w:ascii="Calibri" w:hAnsi="Calibri"/>
              </w:rPr>
              <w:t>Lab partnership setup</w:t>
            </w:r>
          </w:p>
        </w:tc>
        <w:tc>
          <w:tcPr>
            <w:tcW w:type="dxa" w:w="2268"/>
          </w:tcPr>
          <w:p>
            <w:r>
              <w:rPr>
                <w:rFonts w:ascii="Calibri" w:hAnsi="Calibri"/>
              </w:rPr>
              <w:t>0–5,000</w:t>
            </w:r>
          </w:p>
        </w:tc>
        <w:tc>
          <w:tcPr>
            <w:tcW w:type="dxa" w:w="2268"/>
          </w:tcPr>
          <w:p>
            <w:r>
              <w:rPr>
                <w:rFonts w:ascii="Calibri" w:hAnsi="Calibri"/>
              </w:rPr>
              <w:t>Variable</w:t>
            </w:r>
          </w:p>
        </w:tc>
      </w:tr>
      <w:tr>
        <w:tc>
          <w:tcPr>
            <w:tcW w:type="dxa" w:w="2268"/>
          </w:tcPr>
          <w:p>
            <w:r>
              <w:rPr>
                <w:rFonts w:ascii="Calibri" w:hAnsi="Calibri"/>
              </w:rPr>
              <w:t>Clinical</w:t>
            </w:r>
          </w:p>
        </w:tc>
        <w:tc>
          <w:tcPr>
            <w:tcW w:type="dxa" w:w="2268"/>
          </w:tcPr>
          <w:p>
            <w:r>
              <w:rPr>
                <w:rFonts w:ascii="Calibri" w:hAnsi="Calibri"/>
              </w:rPr>
              <w:t>Intake questionnaire + scheduling tools</w:t>
            </w:r>
          </w:p>
        </w:tc>
        <w:tc>
          <w:tcPr>
            <w:tcW w:type="dxa" w:w="2268"/>
          </w:tcPr>
          <w:p>
            <w:r>
              <w:rPr>
                <w:rFonts w:ascii="Calibri" w:hAnsi="Calibri"/>
              </w:rPr>
              <w:t>0–4,200</w:t>
            </w:r>
          </w:p>
        </w:tc>
        <w:tc>
          <w:tcPr>
            <w:tcW w:type="dxa" w:w="2268"/>
          </w:tcPr>
          <w:p>
            <w:r>
              <w:rPr>
                <w:rFonts w:ascii="Calibri" w:hAnsi="Calibri"/>
              </w:rPr>
              <w:t>Annual</w:t>
            </w:r>
          </w:p>
        </w:tc>
      </w:tr>
      <w:tr>
        <w:tc>
          <w:tcPr>
            <w:tcW w:type="dxa" w:w="2268"/>
          </w:tcPr>
          <w:p>
            <w:r>
              <w:rPr>
                <w:rFonts w:ascii="Calibri" w:hAnsi="Calibri"/>
              </w:rPr>
              <w:t>Marketing</w:t>
            </w:r>
          </w:p>
        </w:tc>
        <w:tc>
          <w:tcPr>
            <w:tcW w:type="dxa" w:w="2268"/>
          </w:tcPr>
          <w:p>
            <w:r>
              <w:rPr>
                <w:rFonts w:ascii="Calibri" w:hAnsi="Calibri"/>
              </w:rPr>
              <w:t>Website (can DIY)</w:t>
            </w:r>
          </w:p>
        </w:tc>
        <w:tc>
          <w:tcPr>
            <w:tcW w:type="dxa" w:w="2268"/>
          </w:tcPr>
          <w:p>
            <w:r>
              <w:rPr>
                <w:rFonts w:ascii="Calibri" w:hAnsi="Calibri"/>
              </w:rPr>
              <w:t>0–10,000</w:t>
            </w:r>
          </w:p>
        </w:tc>
        <w:tc>
          <w:tcPr>
            <w:tcW w:type="dxa" w:w="2268"/>
          </w:tcPr>
          <w:p>
            <w:r>
              <w:rPr>
                <w:rFonts w:ascii="Calibri" w:hAnsi="Calibri"/>
              </w:rPr>
              <w:t>One-time</w:t>
            </w:r>
          </w:p>
        </w:tc>
      </w:tr>
      <w:tr>
        <w:tc>
          <w:tcPr>
            <w:tcW w:type="dxa" w:w="2268"/>
          </w:tcPr>
          <w:p>
            <w:r>
              <w:rPr>
                <w:rFonts w:ascii="Calibri" w:hAnsi="Calibri"/>
              </w:rPr>
              <w:t>Working Capital</w:t>
            </w:r>
          </w:p>
        </w:tc>
        <w:tc>
          <w:tcPr>
            <w:tcW w:type="dxa" w:w="2268"/>
          </w:tcPr>
          <w:p>
            <w:r>
              <w:rPr>
                <w:rFonts w:ascii="Calibri" w:hAnsi="Calibri"/>
              </w:rPr>
              <w:t>Clinic room deposit (3 months)</w:t>
            </w:r>
          </w:p>
        </w:tc>
        <w:tc>
          <w:tcPr>
            <w:tcW w:type="dxa" w:w="2268"/>
          </w:tcPr>
          <w:p>
            <w:r>
              <w:rPr>
                <w:rFonts w:ascii="Calibri" w:hAnsi="Calibri"/>
              </w:rPr>
              <w:t>30,000–60,000</w:t>
            </w:r>
          </w:p>
        </w:tc>
        <w:tc>
          <w:tcPr>
            <w:tcW w:type="dxa" w:w="2268"/>
          </w:tcPr>
          <w:p>
            <w:r>
              <w:rPr>
                <w:rFonts w:ascii="Calibri" w:hAnsi="Calibri"/>
              </w:rPr>
              <w:t>Refundable</w:t>
            </w:r>
          </w:p>
        </w:tc>
      </w:tr>
      <w:tr>
        <w:tc>
          <w:tcPr>
            <w:tcW w:type="dxa" w:w="2268"/>
          </w:tcPr>
          <w:p>
            <w:r>
              <w:rPr>
                <w:rFonts w:ascii="Calibri" w:hAnsi="Calibri"/>
              </w:rPr>
              <w:t>Working Capital</w:t>
            </w:r>
          </w:p>
        </w:tc>
        <w:tc>
          <w:tcPr>
            <w:tcW w:type="dxa" w:w="2268"/>
          </w:tcPr>
          <w:p>
            <w:r>
              <w:rPr>
                <w:rFonts w:ascii="Calibri" w:hAnsi="Calibri"/>
              </w:rPr>
              <w:t>Operating buffer (3 months)</w:t>
            </w:r>
          </w:p>
        </w:tc>
        <w:tc>
          <w:tcPr>
            <w:tcW w:type="dxa" w:w="2268"/>
          </w:tcPr>
          <w:p>
            <w:r>
              <w:rPr>
                <w:rFonts w:ascii="Calibri" w:hAnsi="Calibri"/>
              </w:rPr>
              <w:t>50,000–100,000</w:t>
            </w:r>
          </w:p>
        </w:tc>
        <w:tc>
          <w:tcPr>
            <w:tcW w:type="dxa" w:w="2268"/>
          </w:tcPr>
          <w:p>
            <w:r>
              <w:rPr>
                <w:rFonts w:ascii="Calibri" w:hAnsi="Calibri"/>
              </w:rPr>
              <w:t>Recommended</w:t>
            </w:r>
          </w:p>
        </w:tc>
      </w:tr>
      <w:tr>
        <w:tc>
          <w:tcPr>
            <w:tcW w:type="dxa" w:w="2268"/>
          </w:tcPr>
          <w:p>
            <w:r>
              <w:rPr>
                <w:rFonts w:ascii="Calibri" w:hAnsi="Calibri"/>
              </w:rPr>
            </w:r>
          </w:p>
        </w:tc>
        <w:tc>
          <w:tcPr>
            <w:tcW w:type="dxa" w:w="2268"/>
          </w:tcPr>
          <w:p>
            <w:r>
              <w:rPr>
                <w:rFonts w:ascii="Calibri" w:hAnsi="Calibri"/>
              </w:rPr>
              <w:t>TOTAL ESTIMATED SETUP</w:t>
            </w:r>
          </w:p>
        </w:tc>
        <w:tc>
          <w:tcPr>
            <w:tcW w:type="dxa" w:w="2268"/>
          </w:tcPr>
          <w:p>
            <w:r>
              <w:rPr>
                <w:rFonts w:ascii="Calibri" w:hAnsi="Calibri"/>
              </w:rPr>
              <w:t>~NOK 162,000–314,000</w:t>
            </w:r>
          </w:p>
        </w:tc>
        <w:tc>
          <w:tcPr>
            <w:tcW w:type="dxa" w:w="2268"/>
          </w:tcPr>
          <w:p>
            <w:r>
              <w:rPr>
                <w:rFonts w:ascii="Calibri" w:hAnsi="Calibri"/>
              </w:rPr>
            </w:r>
          </w:p>
        </w:tc>
      </w:tr>
    </w:tbl>
    <w:p>
      <w:r>
        <w:br w:type="page"/>
      </w:r>
    </w:p>
    <w:p/>
    <w:p/>
    <w:p/>
    <w:p/>
    <w:p>
      <w:pPr>
        <w:jc w:val="center"/>
      </w:pPr>
      <w:r>
        <w:rPr>
          <w:rFonts w:ascii="Calibri" w:hAnsi="Calibri"/>
          <w:b w:val="0"/>
          <w:i/>
          <w:color w:val="1A2E4A"/>
          <w:sz w:val="32"/>
        </w:rPr>
        <w:t>The product does not exist in Norway.</w:t>
      </w:r>
    </w:p>
    <w:p>
      <w:pPr>
        <w:jc w:val="center"/>
      </w:pPr>
      <w:r>
        <w:rPr>
          <w:rFonts w:ascii="Calibri" w:hAnsi="Calibri"/>
          <w:b w:val="0"/>
          <w:i/>
          <w:color w:val="1A2E4A"/>
          <w:sz w:val="32"/>
        </w:rPr>
        <w:t>You are not competing — you are creating a category.</w:t>
      </w:r>
    </w:p>
    <w:p/>
    <w:p/>
    <w:p>
      <w:pPr>
        <w:jc w:val="center"/>
      </w:pPr>
      <w:r>
        <w:rPr>
          <w:rFonts w:ascii="Calibri" w:hAnsi="Calibri"/>
          <w:b w:val="0"/>
          <w:i w:val="0"/>
          <w:color w:val="444444"/>
          <w:sz w:val="22"/>
        </w:rPr>
        <w:t>The global market validates the model. Oslo's executive market is ready.</w:t>
        <w:br/>
        <w:t>The AI infrastructure exists. The only variable is execution.</w:t>
      </w:r>
    </w:p>
    <w:p/>
    <w:p/>
    <w:p/>
    <w:p/>
    <w:p>
      <w:pPr>
        <w:jc w:val="center"/>
      </w:pPr>
      <w:r>
        <w:rPr>
          <w:rFonts w:ascii="Calibri" w:hAnsi="Calibri"/>
          <w:b w:val="0"/>
          <w:i w:val="0"/>
          <w:color w:val="999999"/>
          <w:sz w:val="16"/>
        </w:rPr>
        <w:t>Din Personlige Helsesjef  |  Oslo Concierge GP  |  CONFIDENTIAL  |  March 2026  |  v2S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