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2147"/>
          <w:sz w:val="56"/>
        </w:rPr>
        <w:t>MANU FORTI INTELLIGENCE</w:t>
      </w:r>
    </w:p>
    <w:p>
      <w:pPr>
        <w:jc w:val="center"/>
      </w:pPr>
      <w:r>
        <w:rPr>
          <w:color w:val="002147"/>
          <w:sz w:val="36"/>
        </w:rPr>
        <w:t>SALES LEADS &amp; PROSPECT SUMMARY</w:t>
      </w:r>
    </w:p>
    <w:p/>
    <w:p>
      <w:pPr>
        <w:jc w:val="center"/>
      </w:pPr>
      <w:r>
        <w:rPr>
          <w:i/>
          <w:sz w:val="22"/>
        </w:rPr>
        <w:t>Prepared: April 02, 2026</w:t>
      </w:r>
    </w:p>
    <w:p>
      <w:r>
        <w:br w:type="page"/>
      </w:r>
    </w:p>
    <w:p>
      <w:pPr>
        <w:pStyle w:val="Heading1"/>
      </w:pPr>
      <w:r>
        <w:rPr>
          <w:color w:val="002147"/>
        </w:rPr>
        <w:t>TARGET PROSPECT PROFILE</w:t>
      </w:r>
    </w:p>
    <w:p>
      <w:r>
        <w:rPr>
          <w:b/>
        </w:rPr>
        <w:t>Ideal Customer Profile (ICP)</w:t>
        <w:br/>
      </w:r>
    </w:p>
    <w:tbl>
      <w:tblPr>
        <w:tblStyle w:val="LightGrid-Accent1"/>
        <w:tblW w:type="auto" w:w="0"/>
        <w:tblLook w:firstColumn="1" w:firstRow="1" w:lastColumn="0" w:lastRow="0" w:noHBand="0" w:noVBand="1" w:val="04A0"/>
      </w:tblPr>
      <w:tblGrid>
        <w:gridCol w:w="4514"/>
        <w:gridCol w:w="4514"/>
      </w:tblGrid>
      <w:tr>
        <w:tc>
          <w:tcPr>
            <w:tcW w:type="dxa" w:w="4514"/>
            <w:shd w:fill="e9ecef"/>
          </w:tcPr>
          <w:p>
            <w:r>
              <w:rPr>
                <w:b/>
              </w:rPr>
              <w:t>Title</w:t>
            </w:r>
          </w:p>
        </w:tc>
        <w:tc>
          <w:tcPr>
            <w:tcW w:type="dxa" w:w="4514"/>
          </w:tcPr>
          <w:p>
            <w:r>
              <w:t>CPO, VP Procurement, Head of Sourcing, Procurement Director, Category Manager</w:t>
            </w:r>
          </w:p>
        </w:tc>
      </w:tr>
      <w:tr>
        <w:tc>
          <w:tcPr>
            <w:tcW w:type="dxa" w:w="4514"/>
            <w:shd w:fill="e9ecef"/>
          </w:tcPr>
          <w:p>
            <w:r>
              <w:rPr>
                <w:b/>
              </w:rPr>
              <w:t>Company Size</w:t>
            </w:r>
          </w:p>
        </w:tc>
        <w:tc>
          <w:tcPr>
            <w:tcW w:type="dxa" w:w="4514"/>
          </w:tcPr>
          <w:p>
            <w:r>
              <w:t>100–2,000 employees</w:t>
            </w:r>
          </w:p>
        </w:tc>
      </w:tr>
      <w:tr>
        <w:tc>
          <w:tcPr>
            <w:tcW w:type="dxa" w:w="4514"/>
            <w:shd w:fill="e9ecef"/>
          </w:tcPr>
          <w:p>
            <w:r>
              <w:rPr>
                <w:b/>
              </w:rPr>
              <w:t>Industries</w:t>
            </w:r>
          </w:p>
        </w:tc>
        <w:tc>
          <w:tcPr>
            <w:tcW w:type="dxa" w:w="4514"/>
          </w:tcPr>
          <w:p>
            <w:r>
              <w:t>Energy, Renewable Energy, Manufacturing, Industrial, Infrastructure</w:t>
            </w:r>
          </w:p>
        </w:tc>
      </w:tr>
      <w:tr>
        <w:tc>
          <w:tcPr>
            <w:tcW w:type="dxa" w:w="4514"/>
            <w:shd w:fill="e9ecef"/>
          </w:tcPr>
          <w:p>
            <w:r>
              <w:rPr>
                <w:b/>
              </w:rPr>
              <w:t>Geography</w:t>
            </w:r>
          </w:p>
        </w:tc>
        <w:tc>
          <w:tcPr>
            <w:tcW w:type="dxa" w:w="4514"/>
          </w:tcPr>
          <w:p>
            <w:r>
              <w:t>Norway, Sweden, Denmark, Finland, Germany, Netherlands, UK</w:t>
            </w:r>
          </w:p>
        </w:tc>
      </w:tr>
      <w:tr>
        <w:tc>
          <w:tcPr>
            <w:tcW w:type="dxa" w:w="4514"/>
            <w:shd w:fill="e9ecef"/>
          </w:tcPr>
          <w:p>
            <w:r>
              <w:rPr>
                <w:b/>
              </w:rPr>
              <w:t>Budget Signal</w:t>
            </w:r>
          </w:p>
        </w:tc>
        <w:tc>
          <w:tcPr>
            <w:tcW w:type="dxa" w:w="4514"/>
          </w:tcPr>
          <w:p>
            <w:r>
              <w:t>€150M+ annual procurement spend; active supplier base</w:t>
            </w:r>
          </w:p>
        </w:tc>
      </w:tr>
    </w:tbl>
    <w:p>
      <w:r>
        <w:br w:type="page"/>
      </w:r>
    </w:p>
    <w:p>
      <w:pPr>
        <w:pStyle w:val="Heading1"/>
      </w:pPr>
      <w:r>
        <w:rPr>
          <w:color w:val="002147"/>
        </w:rPr>
        <w:t>PRIORITY TARGET COMPANIES</w:t>
      </w:r>
    </w:p>
    <w:p>
      <w:pPr>
        <w:pStyle w:val="Heading2"/>
      </w:pPr>
      <w:r>
        <w:t>Tier 1 — Norwegian Energy &amp; Industrial</w:t>
      </w:r>
    </w:p>
    <w:tbl>
      <w:tblPr>
        <w:tblStyle w:val="LightGrid-Accent1"/>
        <w:tblW w:type="auto" w:w="0"/>
        <w:tblLook w:firstColumn="1" w:firstRow="1" w:lastColumn="0" w:lastRow="0" w:noHBand="0" w:noVBand="1" w:val="04A0"/>
      </w:tblPr>
      <w:tblGrid>
        <w:gridCol w:w="1806"/>
        <w:gridCol w:w="1806"/>
        <w:gridCol w:w="1806"/>
        <w:gridCol w:w="1806"/>
        <w:gridCol w:w="1806"/>
      </w:tblGrid>
      <w:tr>
        <w:tc>
          <w:tcPr>
            <w:tcW w:type="dxa" w:w="1806"/>
            <w:shd w:fill="002147"/>
          </w:tcPr>
          <w:p>
            <w:r>
              <w:rPr>
                <w:b/>
                <w:color w:val="FFFFFF"/>
              </w:rPr>
              <w:t>Company</w:t>
            </w:r>
          </w:p>
        </w:tc>
        <w:tc>
          <w:tcPr>
            <w:tcW w:type="dxa" w:w="1806"/>
            <w:shd w:fill="002147"/>
          </w:tcPr>
          <w:p>
            <w:r>
              <w:rPr>
                <w:b/>
                <w:color w:val="FFFFFF"/>
              </w:rPr>
              <w:t>Title Target</w:t>
            </w:r>
          </w:p>
        </w:tc>
        <w:tc>
          <w:tcPr>
            <w:tcW w:type="dxa" w:w="1806"/>
            <w:shd w:fill="002147"/>
          </w:tcPr>
          <w:p>
            <w:r>
              <w:rPr>
                <w:b/>
                <w:color w:val="FFFFFF"/>
              </w:rPr>
              <w:t>Industry</w:t>
            </w:r>
          </w:p>
        </w:tc>
        <w:tc>
          <w:tcPr>
            <w:tcW w:type="dxa" w:w="1806"/>
            <w:shd w:fill="002147"/>
          </w:tcPr>
          <w:p>
            <w:r>
              <w:rPr>
                <w:b/>
                <w:color w:val="FFFFFF"/>
              </w:rPr>
              <w:t>Spend Est.</w:t>
            </w:r>
          </w:p>
        </w:tc>
        <w:tc>
          <w:tcPr>
            <w:tcW w:type="dxa" w:w="1806"/>
            <w:shd w:fill="002147"/>
          </w:tcPr>
          <w:p>
            <w:r>
              <w:rPr>
                <w:b/>
                <w:color w:val="FFFFFF"/>
              </w:rPr>
              <w:t>Status</w:t>
            </w:r>
          </w:p>
        </w:tc>
      </w:tr>
      <w:tr>
        <w:tc>
          <w:tcPr>
            <w:tcW w:type="dxa" w:w="1806"/>
          </w:tcPr>
          <w:p>
            <w:r>
              <w:t>Aker Solutions</w:t>
            </w:r>
          </w:p>
        </w:tc>
        <w:tc>
          <w:tcPr>
            <w:tcW w:type="dxa" w:w="1806"/>
          </w:tcPr>
          <w:p>
            <w:r>
              <w:t>VP Procurement</w:t>
            </w:r>
          </w:p>
        </w:tc>
        <w:tc>
          <w:tcPr>
            <w:tcW w:type="dxa" w:w="1806"/>
          </w:tcPr>
          <w:p>
            <w:r>
              <w:t>Energy/Oil &amp; Gas</w:t>
            </w:r>
          </w:p>
        </w:tc>
        <w:tc>
          <w:tcPr>
            <w:tcW w:type="dxa" w:w="1806"/>
          </w:tcPr>
          <w:p>
            <w:r>
              <w:t>€500M+</w:t>
            </w:r>
          </w:p>
        </w:tc>
        <w:tc>
          <w:tcPr>
            <w:tcW w:type="dxa" w:w="1806"/>
            <w:shd w:fill="fff3cd"/>
          </w:tcPr>
          <w:p>
            <w:r>
              <w:t>Not contacted</w:t>
            </w:r>
          </w:p>
        </w:tc>
      </w:tr>
      <w:tr>
        <w:tc>
          <w:tcPr>
            <w:tcW w:type="dxa" w:w="1806"/>
          </w:tcPr>
          <w:p>
            <w:r>
              <w:t>Equinor</w:t>
            </w:r>
          </w:p>
        </w:tc>
        <w:tc>
          <w:tcPr>
            <w:tcW w:type="dxa" w:w="1806"/>
          </w:tcPr>
          <w:p>
            <w:r>
              <w:t>Category Manager</w:t>
            </w:r>
          </w:p>
        </w:tc>
        <w:tc>
          <w:tcPr>
            <w:tcW w:type="dxa" w:w="1806"/>
          </w:tcPr>
          <w:p>
            <w:r>
              <w:t>Energy</w:t>
            </w:r>
          </w:p>
        </w:tc>
        <w:tc>
          <w:tcPr>
            <w:tcW w:type="dxa" w:w="1806"/>
          </w:tcPr>
          <w:p>
            <w:r>
              <w:t>€2B+</w:t>
            </w:r>
          </w:p>
        </w:tc>
        <w:tc>
          <w:tcPr>
            <w:tcW w:type="dxa" w:w="1806"/>
            <w:shd w:fill="fff3cd"/>
          </w:tcPr>
          <w:p>
            <w:r>
              <w:t>Not contacted</w:t>
            </w:r>
          </w:p>
        </w:tc>
      </w:tr>
      <w:tr>
        <w:tc>
          <w:tcPr>
            <w:tcW w:type="dxa" w:w="1806"/>
          </w:tcPr>
          <w:p>
            <w:r>
              <w:t>Scatec</w:t>
            </w:r>
          </w:p>
        </w:tc>
        <w:tc>
          <w:tcPr>
            <w:tcW w:type="dxa" w:w="1806"/>
          </w:tcPr>
          <w:p>
            <w:r>
              <w:t>Head of Procurement</w:t>
            </w:r>
          </w:p>
        </w:tc>
        <w:tc>
          <w:tcPr>
            <w:tcW w:type="dxa" w:w="1806"/>
          </w:tcPr>
          <w:p>
            <w:r>
              <w:t>Renewable Energy</w:t>
            </w:r>
          </w:p>
        </w:tc>
        <w:tc>
          <w:tcPr>
            <w:tcW w:type="dxa" w:w="1806"/>
          </w:tcPr>
          <w:p>
            <w:r>
              <w:t>€200M+</w:t>
            </w:r>
          </w:p>
        </w:tc>
        <w:tc>
          <w:tcPr>
            <w:tcW w:type="dxa" w:w="1806"/>
            <w:shd w:fill="fff3cd"/>
          </w:tcPr>
          <w:p>
            <w:r>
              <w:t>Not contacted</w:t>
            </w:r>
          </w:p>
        </w:tc>
      </w:tr>
      <w:tr>
        <w:tc>
          <w:tcPr>
            <w:tcW w:type="dxa" w:w="1806"/>
          </w:tcPr>
          <w:p>
            <w:r>
              <w:t>OX2</w:t>
            </w:r>
          </w:p>
        </w:tc>
        <w:tc>
          <w:tcPr>
            <w:tcW w:type="dxa" w:w="1806"/>
          </w:tcPr>
          <w:p>
            <w:r>
              <w:t>Procurement Director</w:t>
            </w:r>
          </w:p>
        </w:tc>
        <w:tc>
          <w:tcPr>
            <w:tcW w:type="dxa" w:w="1806"/>
          </w:tcPr>
          <w:p>
            <w:r>
              <w:t>Renewable Energy</w:t>
            </w:r>
          </w:p>
        </w:tc>
        <w:tc>
          <w:tcPr>
            <w:tcW w:type="dxa" w:w="1806"/>
          </w:tcPr>
          <w:p>
            <w:r>
              <w:t>€150M+</w:t>
            </w:r>
          </w:p>
        </w:tc>
        <w:tc>
          <w:tcPr>
            <w:tcW w:type="dxa" w:w="1806"/>
            <w:shd w:fill="fff3cd"/>
          </w:tcPr>
          <w:p>
            <w:r>
              <w:t>Not contacted</w:t>
            </w:r>
          </w:p>
        </w:tc>
      </w:tr>
      <w:tr>
        <w:tc>
          <w:tcPr>
            <w:tcW w:type="dxa" w:w="1806"/>
          </w:tcPr>
          <w:p>
            <w:r>
              <w:t>Norsk Hydro</w:t>
            </w:r>
          </w:p>
        </w:tc>
        <w:tc>
          <w:tcPr>
            <w:tcW w:type="dxa" w:w="1806"/>
          </w:tcPr>
          <w:p>
            <w:r>
              <w:t>CPO / Category Manager</w:t>
            </w:r>
          </w:p>
        </w:tc>
        <w:tc>
          <w:tcPr>
            <w:tcW w:type="dxa" w:w="1806"/>
          </w:tcPr>
          <w:p>
            <w:r>
              <w:t>Aluminium/Industrial</w:t>
            </w:r>
          </w:p>
        </w:tc>
        <w:tc>
          <w:tcPr>
            <w:tcW w:type="dxa" w:w="1806"/>
          </w:tcPr>
          <w:p>
            <w:r>
              <w:t>€1B+</w:t>
            </w:r>
          </w:p>
        </w:tc>
        <w:tc>
          <w:tcPr>
            <w:tcW w:type="dxa" w:w="1806"/>
            <w:shd w:fill="fff3cd"/>
          </w:tcPr>
          <w:p>
            <w:r>
              <w:t>Not contacted</w:t>
            </w:r>
          </w:p>
        </w:tc>
      </w:tr>
    </w:tbl>
    <w:p/>
    <w:p>
      <w:pPr>
        <w:pStyle w:val="Heading2"/>
      </w:pPr>
      <w:r>
        <w:t>Tier 2 — Nordic Industrial &amp; Wind</w:t>
      </w:r>
    </w:p>
    <w:tbl>
      <w:tblPr>
        <w:tblStyle w:val="LightGrid-Accent1"/>
        <w:tblW w:type="auto" w:w="0"/>
        <w:tblLook w:firstColumn="1" w:firstRow="1" w:lastColumn="0" w:lastRow="0" w:noHBand="0" w:noVBand="1" w:val="04A0"/>
      </w:tblPr>
      <w:tblGrid>
        <w:gridCol w:w="1806"/>
        <w:gridCol w:w="1806"/>
        <w:gridCol w:w="1806"/>
        <w:gridCol w:w="1806"/>
        <w:gridCol w:w="1806"/>
      </w:tblGrid>
      <w:tr>
        <w:tc>
          <w:tcPr>
            <w:tcW w:type="dxa" w:w="1806"/>
            <w:shd w:fill="1a3a5c"/>
          </w:tcPr>
          <w:p>
            <w:r>
              <w:rPr>
                <w:b/>
                <w:color w:val="FFFFFF"/>
              </w:rPr>
              <w:t>Company</w:t>
            </w:r>
          </w:p>
        </w:tc>
        <w:tc>
          <w:tcPr>
            <w:tcW w:type="dxa" w:w="1806"/>
            <w:shd w:fill="1a3a5c"/>
          </w:tcPr>
          <w:p>
            <w:r>
              <w:rPr>
                <w:b/>
                <w:color w:val="FFFFFF"/>
              </w:rPr>
              <w:t>Title Target</w:t>
            </w:r>
          </w:p>
        </w:tc>
        <w:tc>
          <w:tcPr>
            <w:tcW w:type="dxa" w:w="1806"/>
            <w:shd w:fill="1a3a5c"/>
          </w:tcPr>
          <w:p>
            <w:r>
              <w:rPr>
                <w:b/>
                <w:color w:val="FFFFFF"/>
              </w:rPr>
              <w:t>Industry</w:t>
            </w:r>
          </w:p>
        </w:tc>
        <w:tc>
          <w:tcPr>
            <w:tcW w:type="dxa" w:w="1806"/>
            <w:shd w:fill="1a3a5c"/>
          </w:tcPr>
          <w:p>
            <w:r>
              <w:rPr>
                <w:b/>
                <w:color w:val="FFFFFF"/>
              </w:rPr>
              <w:t>Spend Est.</w:t>
            </w:r>
          </w:p>
        </w:tc>
        <w:tc>
          <w:tcPr>
            <w:tcW w:type="dxa" w:w="1806"/>
            <w:shd w:fill="1a3a5c"/>
          </w:tcPr>
          <w:p>
            <w:r>
              <w:rPr>
                <w:b/>
                <w:color w:val="FFFFFF"/>
              </w:rPr>
              <w:t>Status</w:t>
            </w:r>
          </w:p>
        </w:tc>
      </w:tr>
      <w:tr>
        <w:tc>
          <w:tcPr>
            <w:tcW w:type="dxa" w:w="1806"/>
          </w:tcPr>
          <w:p>
            <w:r>
              <w:t>Atlas Copco (division)</w:t>
            </w:r>
          </w:p>
        </w:tc>
        <w:tc>
          <w:tcPr>
            <w:tcW w:type="dxa" w:w="1806"/>
          </w:tcPr>
          <w:p>
            <w:r>
              <w:t>Procurement Director</w:t>
            </w:r>
          </w:p>
        </w:tc>
        <w:tc>
          <w:tcPr>
            <w:tcW w:type="dxa" w:w="1806"/>
          </w:tcPr>
          <w:p>
            <w:r>
              <w:t>Manufacturing</w:t>
            </w:r>
          </w:p>
        </w:tc>
        <w:tc>
          <w:tcPr>
            <w:tcW w:type="dxa" w:w="1806"/>
          </w:tcPr>
          <w:p>
            <w:r>
              <w:t>€300M+</w:t>
            </w:r>
          </w:p>
        </w:tc>
        <w:tc>
          <w:tcPr>
            <w:tcW w:type="dxa" w:w="1806"/>
            <w:shd w:fill="fff3cd"/>
          </w:tcPr>
          <w:p>
            <w:r>
              <w:t>Not contacted</w:t>
            </w:r>
          </w:p>
        </w:tc>
      </w:tr>
      <w:tr>
        <w:tc>
          <w:tcPr>
            <w:tcW w:type="dxa" w:w="1806"/>
          </w:tcPr>
          <w:p>
            <w:r>
              <w:t>SKF</w:t>
            </w:r>
          </w:p>
        </w:tc>
        <w:tc>
          <w:tcPr>
            <w:tcW w:type="dxa" w:w="1806"/>
          </w:tcPr>
          <w:p>
            <w:r>
              <w:t>Category Manager</w:t>
            </w:r>
          </w:p>
        </w:tc>
        <w:tc>
          <w:tcPr>
            <w:tcW w:type="dxa" w:w="1806"/>
          </w:tcPr>
          <w:p>
            <w:r>
              <w:t>Industrial/Bearings</w:t>
            </w:r>
          </w:p>
        </w:tc>
        <w:tc>
          <w:tcPr>
            <w:tcW w:type="dxa" w:w="1806"/>
          </w:tcPr>
          <w:p>
            <w:r>
              <w:t>€400M+</w:t>
            </w:r>
          </w:p>
        </w:tc>
        <w:tc>
          <w:tcPr>
            <w:tcW w:type="dxa" w:w="1806"/>
            <w:shd w:fill="fff3cd"/>
          </w:tcPr>
          <w:p>
            <w:r>
              <w:t>Not contacted</w:t>
            </w:r>
          </w:p>
        </w:tc>
      </w:tr>
      <w:tr>
        <w:tc>
          <w:tcPr>
            <w:tcW w:type="dxa" w:w="1806"/>
          </w:tcPr>
          <w:p>
            <w:r>
              <w:t>Vestas</w:t>
            </w:r>
          </w:p>
        </w:tc>
        <w:tc>
          <w:tcPr>
            <w:tcW w:type="dxa" w:w="1806"/>
          </w:tcPr>
          <w:p>
            <w:r>
              <w:t>Head of Sourcing</w:t>
            </w:r>
          </w:p>
        </w:tc>
        <w:tc>
          <w:tcPr>
            <w:tcW w:type="dxa" w:w="1806"/>
          </w:tcPr>
          <w:p>
            <w:r>
              <w:t>Wind Energy</w:t>
            </w:r>
          </w:p>
        </w:tc>
        <w:tc>
          <w:tcPr>
            <w:tcW w:type="dxa" w:w="1806"/>
          </w:tcPr>
          <w:p>
            <w:r>
              <w:t>€500M+</w:t>
            </w:r>
          </w:p>
        </w:tc>
        <w:tc>
          <w:tcPr>
            <w:tcW w:type="dxa" w:w="1806"/>
            <w:shd w:fill="fff3cd"/>
          </w:tcPr>
          <w:p>
            <w:r>
              <w:t>Not contacted</w:t>
            </w:r>
          </w:p>
        </w:tc>
      </w:tr>
      <w:tr>
        <w:tc>
          <w:tcPr>
            <w:tcW w:type="dxa" w:w="1806"/>
          </w:tcPr>
          <w:p>
            <w:r>
              <w:t>Ørsted</w:t>
            </w:r>
          </w:p>
        </w:tc>
        <w:tc>
          <w:tcPr>
            <w:tcW w:type="dxa" w:w="1806"/>
          </w:tcPr>
          <w:p>
            <w:r>
              <w:t>Procurement Lead</w:t>
            </w:r>
          </w:p>
        </w:tc>
        <w:tc>
          <w:tcPr>
            <w:tcW w:type="dxa" w:w="1806"/>
          </w:tcPr>
          <w:p>
            <w:r>
              <w:t>Offshore Wind</w:t>
            </w:r>
          </w:p>
        </w:tc>
        <w:tc>
          <w:tcPr>
            <w:tcW w:type="dxa" w:w="1806"/>
          </w:tcPr>
          <w:p>
            <w:r>
              <w:t>€1B+</w:t>
            </w:r>
          </w:p>
        </w:tc>
        <w:tc>
          <w:tcPr>
            <w:tcW w:type="dxa" w:w="1806"/>
            <w:shd w:fill="fff3cd"/>
          </w:tcPr>
          <w:p>
            <w:r>
              <w:t>Not contacted</w:t>
            </w:r>
          </w:p>
        </w:tc>
      </w:tr>
      <w:tr>
        <w:tc>
          <w:tcPr>
            <w:tcW w:type="dxa" w:w="1806"/>
          </w:tcPr>
          <w:p>
            <w:r>
              <w:t>Siemens Energy (Nordics)</w:t>
            </w:r>
          </w:p>
        </w:tc>
        <w:tc>
          <w:tcPr>
            <w:tcW w:type="dxa" w:w="1806"/>
          </w:tcPr>
          <w:p>
            <w:r>
              <w:t>VP Procurement</w:t>
            </w:r>
          </w:p>
        </w:tc>
        <w:tc>
          <w:tcPr>
            <w:tcW w:type="dxa" w:w="1806"/>
          </w:tcPr>
          <w:p>
            <w:r>
              <w:t>Energy Technology</w:t>
            </w:r>
          </w:p>
        </w:tc>
        <w:tc>
          <w:tcPr>
            <w:tcW w:type="dxa" w:w="1806"/>
          </w:tcPr>
          <w:p>
            <w:r>
              <w:t>€300M+</w:t>
            </w:r>
          </w:p>
        </w:tc>
        <w:tc>
          <w:tcPr>
            <w:tcW w:type="dxa" w:w="1806"/>
            <w:shd w:fill="fff3cd"/>
          </w:tcPr>
          <w:p>
            <w:r>
              <w:t>Not contacted</w:t>
            </w:r>
          </w:p>
        </w:tc>
      </w:tr>
    </w:tbl>
    <w:p>
      <w:r>
        <w:br w:type="page"/>
      </w:r>
    </w:p>
    <w:p>
      <w:pPr>
        <w:pStyle w:val="Heading1"/>
      </w:pPr>
      <w:r>
        <w:rPr>
          <w:color w:val="002147"/>
        </w:rPr>
        <w:t>OUTREACH MESSAGING — BY INDUSTRY</w:t>
      </w:r>
    </w:p>
    <w:p>
      <w:r>
        <w:rPr>
          <w:b/>
        </w:rPr>
        <w:t>Renewable Energy (Scatec, OX2, Ørsted, Vestas)</w:t>
        <w:br/>
      </w:r>
      <w:r>
        <w:rPr>
          <w:i/>
        </w:rPr>
        <w:t>Angle: Rapid growth = supplier onboarding at scale</w:t>
        <w:br/>
      </w:r>
      <w:r>
        <w:t>"With your expansion in renewables, how are you handling supplier qualification at speed? We're seeing procurement teams struggle to vet new suppliers fast enough to keep projects on track. We can deliver a full 9-slide supplier intelligence report in 24 hours."</w:t>
      </w:r>
    </w:p>
    <w:p/>
    <w:p>
      <w:r>
        <w:rPr>
          <w:b/>
        </w:rPr>
        <w:t>Oil &amp; Gas Services (Aker Solutions, Equinor)</w:t>
        <w:br/>
      </w:r>
      <w:r>
        <w:rPr>
          <w:i/>
        </w:rPr>
        <w:t>Angle: Cost pressure + risk management</w:t>
        <w:br/>
      </w:r>
      <w:r>
        <w:t>"With the cost pressures in energy services, how are you balancing supplier cost reduction with operational risk? We help teams get faster, deeper supplier intelligence — delivered in 24 hours."</w:t>
      </w:r>
    </w:p>
    <w:p/>
    <w:p>
      <w:r>
        <w:rPr>
          <w:b/>
        </w:rPr>
        <w:t>Industrial Manufacturing (Atlas Copco, SKF, Siemens Energy)</w:t>
        <w:br/>
      </w:r>
      <w:r>
        <w:rPr>
          <w:i/>
        </w:rPr>
        <w:t>Angle: Supply chain resilience</w:t>
        <w:br/>
      </w:r>
      <w:r>
        <w:t>"Post-pandemic, how has your approach to supplier risk assessment changed? We help industrial companies build faster supplier evaluation processes — financial health, ESG, geopolitical risk, all in one report."</w:t>
      </w:r>
    </w:p>
    <w:p/>
    <w:p>
      <w:r>
        <w:rPr>
          <w:b/>
        </w:rPr>
        <w:t>Aluminium/Process Industry (Norsk Hydro)</w:t>
        <w:br/>
      </w:r>
      <w:r>
        <w:rPr>
          <w:i/>
        </w:rPr>
        <w:t>Angle: ESG + supplier compliance</w:t>
        <w:br/>
      </w:r>
      <w:r>
        <w:t>"With increasing ESG scrutiny in aluminium, how are you evaluating supplier sustainability? Our reports include ESG screening as standard — useful for board-level sign-off."</w:t>
      </w:r>
    </w:p>
    <w:p/>
    <w:p>
      <w:r>
        <w:br w:type="page"/>
      </w:r>
    </w:p>
    <w:p>
      <w:pPr>
        <w:pStyle w:val="Heading1"/>
      </w:pPr>
      <w:r>
        <w:rPr>
          <w:color w:val="002147"/>
        </w:rPr>
        <w:t>OUTREACH TRACKER</w:t>
      </w:r>
    </w:p>
    <w:p>
      <w:r>
        <w:t>Update this table after each contact. Target: 10 messages per week.</w:t>
      </w:r>
    </w:p>
    <w:tbl>
      <w:tblPr>
        <w:tblStyle w:val="LightGrid-Accent1"/>
        <w:tblW w:type="auto" w:w="0"/>
        <w:tblLook w:firstColumn="1" w:firstRow="1" w:lastColumn="0" w:lastRow="0" w:noHBand="0" w:noVBand="1" w:val="04A0"/>
      </w:tblPr>
      <w:tblGrid>
        <w:gridCol w:w="1290"/>
        <w:gridCol w:w="1290"/>
        <w:gridCol w:w="1290"/>
        <w:gridCol w:w="1290"/>
        <w:gridCol w:w="1290"/>
        <w:gridCol w:w="1290"/>
        <w:gridCol w:w="1290"/>
      </w:tblGrid>
      <w:tr>
        <w:tc>
          <w:tcPr>
            <w:tcW w:type="dxa" w:w="1290"/>
            <w:shd w:fill="002147"/>
          </w:tcPr>
          <w:p>
            <w:r>
              <w:rPr>
                <w:b/>
                <w:color w:val="FFFFFF"/>
              </w:rPr>
              <w:t>Name</w:t>
            </w:r>
          </w:p>
        </w:tc>
        <w:tc>
          <w:tcPr>
            <w:tcW w:type="dxa" w:w="1290"/>
            <w:shd w:fill="002147"/>
          </w:tcPr>
          <w:p>
            <w:r>
              <w:rPr>
                <w:b/>
                <w:color w:val="FFFFFF"/>
              </w:rPr>
              <w:t>Company</w:t>
            </w:r>
          </w:p>
        </w:tc>
        <w:tc>
          <w:tcPr>
            <w:tcW w:type="dxa" w:w="1290"/>
            <w:shd w:fill="002147"/>
          </w:tcPr>
          <w:p>
            <w:r>
              <w:rPr>
                <w:b/>
                <w:color w:val="FFFFFF"/>
              </w:rPr>
              <w:t>Date</w:t>
            </w:r>
          </w:p>
        </w:tc>
        <w:tc>
          <w:tcPr>
            <w:tcW w:type="dxa" w:w="1290"/>
            <w:shd w:fill="002147"/>
          </w:tcPr>
          <w:p>
            <w:r>
              <w:rPr>
                <w:b/>
                <w:color w:val="FFFFFF"/>
              </w:rPr>
              <w:t>Message #</w:t>
            </w:r>
          </w:p>
        </w:tc>
        <w:tc>
          <w:tcPr>
            <w:tcW w:type="dxa" w:w="1290"/>
            <w:shd w:fill="002147"/>
          </w:tcPr>
          <w:p>
            <w:r>
              <w:rPr>
                <w:b/>
                <w:color w:val="FFFFFF"/>
              </w:rPr>
              <w:t>Response?</w:t>
            </w:r>
          </w:p>
        </w:tc>
        <w:tc>
          <w:tcPr>
            <w:tcW w:type="dxa" w:w="1290"/>
            <w:shd w:fill="002147"/>
          </w:tcPr>
          <w:p>
            <w:r>
              <w:rPr>
                <w:b/>
                <w:color w:val="FFFFFF"/>
              </w:rPr>
              <w:t>Meeting?</w:t>
            </w:r>
          </w:p>
        </w:tc>
        <w:tc>
          <w:tcPr>
            <w:tcW w:type="dxa" w:w="1290"/>
            <w:shd w:fill="002147"/>
          </w:tcPr>
          <w:p>
            <w:r>
              <w:rPr>
                <w:b/>
                <w:color w:val="FFFFFF"/>
              </w:rPr>
              <w:t>Status</w:t>
            </w:r>
          </w:p>
        </w:tc>
      </w:tr>
      <w:tr>
        <w:tc>
          <w:tcPr>
            <w:tcW w:type="dxa" w:w="1290"/>
          </w:tcPr>
          <w:p/>
        </w:tc>
        <w:tc>
          <w:tcPr>
            <w:tcW w:type="dxa" w:w="1290"/>
          </w:tcPr>
          <w:p/>
        </w:tc>
        <w:tc>
          <w:tcPr>
            <w:tcW w:type="dxa" w:w="1290"/>
          </w:tcPr>
          <w:p/>
        </w:tc>
        <w:tc>
          <w:tcPr>
            <w:tcW w:type="dxa" w:w="1290"/>
          </w:tcPr>
          <w:p/>
        </w:tc>
        <w:tc>
          <w:tcPr>
            <w:tcW w:type="dxa" w:w="1290"/>
          </w:tcPr>
          <w:p/>
        </w:tc>
        <w:tc>
          <w:tcPr>
            <w:tcW w:type="dxa" w:w="1290"/>
          </w:tcPr>
          <w:p/>
        </w:tc>
        <w:tc>
          <w:tcPr>
            <w:tcW w:type="dxa" w:w="1290"/>
            <w:shd w:fill="e2e3e5"/>
          </w:tcPr>
          <w:p>
            <w:r>
              <w:t>Not contacted</w:t>
            </w:r>
          </w:p>
        </w:tc>
      </w:tr>
      <w:tr>
        <w:tc>
          <w:tcPr>
            <w:tcW w:type="dxa" w:w="1290"/>
          </w:tcPr>
          <w:p/>
        </w:tc>
        <w:tc>
          <w:tcPr>
            <w:tcW w:type="dxa" w:w="1290"/>
          </w:tcPr>
          <w:p/>
        </w:tc>
        <w:tc>
          <w:tcPr>
            <w:tcW w:type="dxa" w:w="1290"/>
          </w:tcPr>
          <w:p/>
        </w:tc>
        <w:tc>
          <w:tcPr>
            <w:tcW w:type="dxa" w:w="1290"/>
          </w:tcPr>
          <w:p/>
        </w:tc>
        <w:tc>
          <w:tcPr>
            <w:tcW w:type="dxa" w:w="1290"/>
          </w:tcPr>
          <w:p/>
        </w:tc>
        <w:tc>
          <w:tcPr>
            <w:tcW w:type="dxa" w:w="1290"/>
          </w:tcPr>
          <w:p/>
        </w:tc>
        <w:tc>
          <w:tcPr>
            <w:tcW w:type="dxa" w:w="1290"/>
            <w:shd w:fill="e2e3e5"/>
          </w:tcPr>
          <w:p>
            <w:r>
              <w:t>Not contacted</w:t>
            </w:r>
          </w:p>
        </w:tc>
      </w:tr>
      <w:tr>
        <w:tc>
          <w:tcPr>
            <w:tcW w:type="dxa" w:w="1290"/>
          </w:tcPr>
          <w:p/>
        </w:tc>
        <w:tc>
          <w:tcPr>
            <w:tcW w:type="dxa" w:w="1290"/>
          </w:tcPr>
          <w:p/>
        </w:tc>
        <w:tc>
          <w:tcPr>
            <w:tcW w:type="dxa" w:w="1290"/>
          </w:tcPr>
          <w:p/>
        </w:tc>
        <w:tc>
          <w:tcPr>
            <w:tcW w:type="dxa" w:w="1290"/>
          </w:tcPr>
          <w:p/>
        </w:tc>
        <w:tc>
          <w:tcPr>
            <w:tcW w:type="dxa" w:w="1290"/>
          </w:tcPr>
          <w:p/>
        </w:tc>
        <w:tc>
          <w:tcPr>
            <w:tcW w:type="dxa" w:w="1290"/>
          </w:tcPr>
          <w:p/>
        </w:tc>
        <w:tc>
          <w:tcPr>
            <w:tcW w:type="dxa" w:w="1290"/>
            <w:shd w:fill="e2e3e5"/>
          </w:tcPr>
          <w:p>
            <w:r>
              <w:t>Not contacted</w:t>
            </w:r>
          </w:p>
        </w:tc>
      </w:tr>
      <w:tr>
        <w:tc>
          <w:tcPr>
            <w:tcW w:type="dxa" w:w="1290"/>
          </w:tcPr>
          <w:p/>
        </w:tc>
        <w:tc>
          <w:tcPr>
            <w:tcW w:type="dxa" w:w="1290"/>
          </w:tcPr>
          <w:p/>
        </w:tc>
        <w:tc>
          <w:tcPr>
            <w:tcW w:type="dxa" w:w="1290"/>
          </w:tcPr>
          <w:p/>
        </w:tc>
        <w:tc>
          <w:tcPr>
            <w:tcW w:type="dxa" w:w="1290"/>
          </w:tcPr>
          <w:p/>
        </w:tc>
        <w:tc>
          <w:tcPr>
            <w:tcW w:type="dxa" w:w="1290"/>
          </w:tcPr>
          <w:p/>
        </w:tc>
        <w:tc>
          <w:tcPr>
            <w:tcW w:type="dxa" w:w="1290"/>
          </w:tcPr>
          <w:p/>
        </w:tc>
        <w:tc>
          <w:tcPr>
            <w:tcW w:type="dxa" w:w="1290"/>
            <w:shd w:fill="e2e3e5"/>
          </w:tcPr>
          <w:p>
            <w:r>
              <w:t>Not contacted</w:t>
            </w:r>
          </w:p>
        </w:tc>
      </w:tr>
      <w:tr>
        <w:tc>
          <w:tcPr>
            <w:tcW w:type="dxa" w:w="1290"/>
          </w:tcPr>
          <w:p/>
        </w:tc>
        <w:tc>
          <w:tcPr>
            <w:tcW w:type="dxa" w:w="1290"/>
          </w:tcPr>
          <w:p/>
        </w:tc>
        <w:tc>
          <w:tcPr>
            <w:tcW w:type="dxa" w:w="1290"/>
          </w:tcPr>
          <w:p/>
        </w:tc>
        <w:tc>
          <w:tcPr>
            <w:tcW w:type="dxa" w:w="1290"/>
          </w:tcPr>
          <w:p/>
        </w:tc>
        <w:tc>
          <w:tcPr>
            <w:tcW w:type="dxa" w:w="1290"/>
          </w:tcPr>
          <w:p/>
        </w:tc>
        <w:tc>
          <w:tcPr>
            <w:tcW w:type="dxa" w:w="1290"/>
          </w:tcPr>
          <w:p/>
        </w:tc>
        <w:tc>
          <w:tcPr>
            <w:tcW w:type="dxa" w:w="1290"/>
            <w:shd w:fill="e2e3e5"/>
          </w:tcPr>
          <w:p>
            <w:r>
              <w:t>Not contacted</w:t>
            </w:r>
          </w:p>
        </w:tc>
      </w:tr>
      <w:tr>
        <w:tc>
          <w:tcPr>
            <w:tcW w:type="dxa" w:w="1290"/>
          </w:tcPr>
          <w:p/>
        </w:tc>
        <w:tc>
          <w:tcPr>
            <w:tcW w:type="dxa" w:w="1290"/>
          </w:tcPr>
          <w:p/>
        </w:tc>
        <w:tc>
          <w:tcPr>
            <w:tcW w:type="dxa" w:w="1290"/>
          </w:tcPr>
          <w:p/>
        </w:tc>
        <w:tc>
          <w:tcPr>
            <w:tcW w:type="dxa" w:w="1290"/>
          </w:tcPr>
          <w:p/>
        </w:tc>
        <w:tc>
          <w:tcPr>
            <w:tcW w:type="dxa" w:w="1290"/>
          </w:tcPr>
          <w:p/>
        </w:tc>
        <w:tc>
          <w:tcPr>
            <w:tcW w:type="dxa" w:w="1290"/>
          </w:tcPr>
          <w:p/>
        </w:tc>
        <w:tc>
          <w:tcPr>
            <w:tcW w:type="dxa" w:w="1290"/>
            <w:shd w:fill="e2e3e5"/>
          </w:tcPr>
          <w:p>
            <w:r>
              <w:t>Not contacted</w:t>
            </w:r>
          </w:p>
        </w:tc>
      </w:tr>
      <w:tr>
        <w:tc>
          <w:tcPr>
            <w:tcW w:type="dxa" w:w="1290"/>
          </w:tcPr>
          <w:p/>
        </w:tc>
        <w:tc>
          <w:tcPr>
            <w:tcW w:type="dxa" w:w="1290"/>
          </w:tcPr>
          <w:p/>
        </w:tc>
        <w:tc>
          <w:tcPr>
            <w:tcW w:type="dxa" w:w="1290"/>
          </w:tcPr>
          <w:p/>
        </w:tc>
        <w:tc>
          <w:tcPr>
            <w:tcW w:type="dxa" w:w="1290"/>
          </w:tcPr>
          <w:p/>
        </w:tc>
        <w:tc>
          <w:tcPr>
            <w:tcW w:type="dxa" w:w="1290"/>
          </w:tcPr>
          <w:p/>
        </w:tc>
        <w:tc>
          <w:tcPr>
            <w:tcW w:type="dxa" w:w="1290"/>
          </w:tcPr>
          <w:p/>
        </w:tc>
        <w:tc>
          <w:tcPr>
            <w:tcW w:type="dxa" w:w="1290"/>
            <w:shd w:fill="e2e3e5"/>
          </w:tcPr>
          <w:p>
            <w:r>
              <w:t>Not contacted</w:t>
            </w:r>
          </w:p>
        </w:tc>
      </w:tr>
      <w:tr>
        <w:tc>
          <w:tcPr>
            <w:tcW w:type="dxa" w:w="1290"/>
          </w:tcPr>
          <w:p/>
        </w:tc>
        <w:tc>
          <w:tcPr>
            <w:tcW w:type="dxa" w:w="1290"/>
          </w:tcPr>
          <w:p/>
        </w:tc>
        <w:tc>
          <w:tcPr>
            <w:tcW w:type="dxa" w:w="1290"/>
          </w:tcPr>
          <w:p/>
        </w:tc>
        <w:tc>
          <w:tcPr>
            <w:tcW w:type="dxa" w:w="1290"/>
          </w:tcPr>
          <w:p/>
        </w:tc>
        <w:tc>
          <w:tcPr>
            <w:tcW w:type="dxa" w:w="1290"/>
          </w:tcPr>
          <w:p/>
        </w:tc>
        <w:tc>
          <w:tcPr>
            <w:tcW w:type="dxa" w:w="1290"/>
          </w:tcPr>
          <w:p/>
        </w:tc>
        <w:tc>
          <w:tcPr>
            <w:tcW w:type="dxa" w:w="1290"/>
            <w:shd w:fill="e2e3e5"/>
          </w:tcPr>
          <w:p>
            <w:r>
              <w:t>Not contacted</w:t>
            </w:r>
          </w:p>
        </w:tc>
      </w:tr>
      <w:tr>
        <w:tc>
          <w:tcPr>
            <w:tcW w:type="dxa" w:w="1290"/>
          </w:tcPr>
          <w:p/>
        </w:tc>
        <w:tc>
          <w:tcPr>
            <w:tcW w:type="dxa" w:w="1290"/>
          </w:tcPr>
          <w:p/>
        </w:tc>
        <w:tc>
          <w:tcPr>
            <w:tcW w:type="dxa" w:w="1290"/>
          </w:tcPr>
          <w:p/>
        </w:tc>
        <w:tc>
          <w:tcPr>
            <w:tcW w:type="dxa" w:w="1290"/>
          </w:tcPr>
          <w:p/>
        </w:tc>
        <w:tc>
          <w:tcPr>
            <w:tcW w:type="dxa" w:w="1290"/>
          </w:tcPr>
          <w:p/>
        </w:tc>
        <w:tc>
          <w:tcPr>
            <w:tcW w:type="dxa" w:w="1290"/>
          </w:tcPr>
          <w:p/>
        </w:tc>
        <w:tc>
          <w:tcPr>
            <w:tcW w:type="dxa" w:w="1290"/>
            <w:shd w:fill="e2e3e5"/>
          </w:tcPr>
          <w:p>
            <w:r>
              <w:t>Not contacted</w:t>
            </w:r>
          </w:p>
        </w:tc>
      </w:tr>
      <w:tr>
        <w:tc>
          <w:tcPr>
            <w:tcW w:type="dxa" w:w="1290"/>
          </w:tcPr>
          <w:p/>
        </w:tc>
        <w:tc>
          <w:tcPr>
            <w:tcW w:type="dxa" w:w="1290"/>
          </w:tcPr>
          <w:p/>
        </w:tc>
        <w:tc>
          <w:tcPr>
            <w:tcW w:type="dxa" w:w="1290"/>
          </w:tcPr>
          <w:p/>
        </w:tc>
        <w:tc>
          <w:tcPr>
            <w:tcW w:type="dxa" w:w="1290"/>
          </w:tcPr>
          <w:p/>
        </w:tc>
        <w:tc>
          <w:tcPr>
            <w:tcW w:type="dxa" w:w="1290"/>
          </w:tcPr>
          <w:p/>
        </w:tc>
        <w:tc>
          <w:tcPr>
            <w:tcW w:type="dxa" w:w="1290"/>
          </w:tcPr>
          <w:p/>
        </w:tc>
        <w:tc>
          <w:tcPr>
            <w:tcW w:type="dxa" w:w="1290"/>
            <w:shd w:fill="e2e3e5"/>
          </w:tcPr>
          <w:p>
            <w:r>
              <w:t>Not contacted</w:t>
            </w:r>
          </w:p>
        </w:tc>
      </w:tr>
      <w:tr>
        <w:tc>
          <w:tcPr>
            <w:tcW w:type="dxa" w:w="1290"/>
          </w:tcPr>
          <w:p/>
        </w:tc>
        <w:tc>
          <w:tcPr>
            <w:tcW w:type="dxa" w:w="1290"/>
          </w:tcPr>
          <w:p/>
        </w:tc>
        <w:tc>
          <w:tcPr>
            <w:tcW w:type="dxa" w:w="1290"/>
          </w:tcPr>
          <w:p/>
        </w:tc>
        <w:tc>
          <w:tcPr>
            <w:tcW w:type="dxa" w:w="1290"/>
          </w:tcPr>
          <w:p/>
        </w:tc>
        <w:tc>
          <w:tcPr>
            <w:tcW w:type="dxa" w:w="1290"/>
          </w:tcPr>
          <w:p/>
        </w:tc>
        <w:tc>
          <w:tcPr>
            <w:tcW w:type="dxa" w:w="1290"/>
          </w:tcPr>
          <w:p/>
        </w:tc>
        <w:tc>
          <w:tcPr>
            <w:tcW w:type="dxa" w:w="1290"/>
            <w:shd w:fill="e2e3e5"/>
          </w:tcPr>
          <w:p>
            <w:r>
              <w:t>Not contacted</w:t>
            </w:r>
          </w:p>
        </w:tc>
      </w:tr>
      <w:tr>
        <w:tc>
          <w:tcPr>
            <w:tcW w:type="dxa" w:w="1290"/>
          </w:tcPr>
          <w:p/>
        </w:tc>
        <w:tc>
          <w:tcPr>
            <w:tcW w:type="dxa" w:w="1290"/>
          </w:tcPr>
          <w:p/>
        </w:tc>
        <w:tc>
          <w:tcPr>
            <w:tcW w:type="dxa" w:w="1290"/>
          </w:tcPr>
          <w:p/>
        </w:tc>
        <w:tc>
          <w:tcPr>
            <w:tcW w:type="dxa" w:w="1290"/>
          </w:tcPr>
          <w:p/>
        </w:tc>
        <w:tc>
          <w:tcPr>
            <w:tcW w:type="dxa" w:w="1290"/>
          </w:tcPr>
          <w:p/>
        </w:tc>
        <w:tc>
          <w:tcPr>
            <w:tcW w:type="dxa" w:w="1290"/>
          </w:tcPr>
          <w:p/>
        </w:tc>
        <w:tc>
          <w:tcPr>
            <w:tcW w:type="dxa" w:w="1290"/>
            <w:shd w:fill="e2e3e5"/>
          </w:tcPr>
          <w:p>
            <w:r>
              <w:t>Not contacted</w:t>
            </w:r>
          </w:p>
        </w:tc>
      </w:tr>
      <w:tr>
        <w:tc>
          <w:tcPr>
            <w:tcW w:type="dxa" w:w="1290"/>
          </w:tcPr>
          <w:p/>
        </w:tc>
        <w:tc>
          <w:tcPr>
            <w:tcW w:type="dxa" w:w="1290"/>
          </w:tcPr>
          <w:p/>
        </w:tc>
        <w:tc>
          <w:tcPr>
            <w:tcW w:type="dxa" w:w="1290"/>
          </w:tcPr>
          <w:p/>
        </w:tc>
        <w:tc>
          <w:tcPr>
            <w:tcW w:type="dxa" w:w="1290"/>
          </w:tcPr>
          <w:p/>
        </w:tc>
        <w:tc>
          <w:tcPr>
            <w:tcW w:type="dxa" w:w="1290"/>
          </w:tcPr>
          <w:p/>
        </w:tc>
        <w:tc>
          <w:tcPr>
            <w:tcW w:type="dxa" w:w="1290"/>
          </w:tcPr>
          <w:p/>
        </w:tc>
        <w:tc>
          <w:tcPr>
            <w:tcW w:type="dxa" w:w="1290"/>
            <w:shd w:fill="e2e3e5"/>
          </w:tcPr>
          <w:p>
            <w:r>
              <w:t>Not contacted</w:t>
            </w:r>
          </w:p>
        </w:tc>
      </w:tr>
      <w:tr>
        <w:tc>
          <w:tcPr>
            <w:tcW w:type="dxa" w:w="1290"/>
          </w:tcPr>
          <w:p/>
        </w:tc>
        <w:tc>
          <w:tcPr>
            <w:tcW w:type="dxa" w:w="1290"/>
          </w:tcPr>
          <w:p/>
        </w:tc>
        <w:tc>
          <w:tcPr>
            <w:tcW w:type="dxa" w:w="1290"/>
          </w:tcPr>
          <w:p/>
        </w:tc>
        <w:tc>
          <w:tcPr>
            <w:tcW w:type="dxa" w:w="1290"/>
          </w:tcPr>
          <w:p/>
        </w:tc>
        <w:tc>
          <w:tcPr>
            <w:tcW w:type="dxa" w:w="1290"/>
          </w:tcPr>
          <w:p/>
        </w:tc>
        <w:tc>
          <w:tcPr>
            <w:tcW w:type="dxa" w:w="1290"/>
          </w:tcPr>
          <w:p/>
        </w:tc>
        <w:tc>
          <w:tcPr>
            <w:tcW w:type="dxa" w:w="1290"/>
            <w:shd w:fill="e2e3e5"/>
          </w:tcPr>
          <w:p>
            <w:r>
              <w:t>Not contacted</w:t>
            </w:r>
          </w:p>
        </w:tc>
      </w:tr>
      <w:tr>
        <w:tc>
          <w:tcPr>
            <w:tcW w:type="dxa" w:w="1290"/>
          </w:tcPr>
          <w:p/>
        </w:tc>
        <w:tc>
          <w:tcPr>
            <w:tcW w:type="dxa" w:w="1290"/>
          </w:tcPr>
          <w:p/>
        </w:tc>
        <w:tc>
          <w:tcPr>
            <w:tcW w:type="dxa" w:w="1290"/>
          </w:tcPr>
          <w:p/>
        </w:tc>
        <w:tc>
          <w:tcPr>
            <w:tcW w:type="dxa" w:w="1290"/>
          </w:tcPr>
          <w:p/>
        </w:tc>
        <w:tc>
          <w:tcPr>
            <w:tcW w:type="dxa" w:w="1290"/>
          </w:tcPr>
          <w:p/>
        </w:tc>
        <w:tc>
          <w:tcPr>
            <w:tcW w:type="dxa" w:w="1290"/>
          </w:tcPr>
          <w:p/>
        </w:tc>
        <w:tc>
          <w:tcPr>
            <w:tcW w:type="dxa" w:w="1290"/>
            <w:shd w:fill="e2e3e5"/>
          </w:tcPr>
          <w:p>
            <w:r>
              <w:t>Not contacted</w:t>
            </w:r>
          </w:p>
        </w:tc>
      </w:tr>
    </w:tbl>
    <w:p/>
    <w:p>
      <w:r>
        <w:rPr>
          <w:b/>
        </w:rPr>
        <w:t xml:space="preserve">Status options: </w:t>
      </w:r>
      <w:r>
        <w:t>Not contacted | Message 1 sent | Message 2 sent | Responded — positive | Responded — objection | Meeting booked | Proposal sent | Closed — won | Closed — lost | Nurture</w:t>
      </w:r>
    </w:p>
    <w:p>
      <w:r>
        <w:br w:type="page"/>
      </w:r>
    </w:p>
    <w:p>
      <w:pPr>
        <w:pStyle w:val="Heading1"/>
      </w:pPr>
      <w:r>
        <w:rPr>
          <w:color w:val="002147"/>
        </w:rPr>
        <w:t>WEEKLY ACTIVITY TARGETS</w:t>
      </w:r>
    </w:p>
    <w:tbl>
      <w:tblPr>
        <w:tblStyle w:val="LightGrid-Accent1"/>
        <w:tblW w:type="auto" w:w="0"/>
        <w:tblLook w:firstColumn="1" w:firstRow="1" w:lastColumn="0" w:lastRow="0" w:noHBand="0" w:noVBand="1" w:val="04A0"/>
      </w:tblPr>
      <w:tblGrid>
        <w:gridCol w:w="3010"/>
        <w:gridCol w:w="3010"/>
        <w:gridCol w:w="3010"/>
      </w:tblGrid>
      <w:tr>
        <w:tc>
          <w:tcPr>
            <w:tcW w:type="dxa" w:w="3010"/>
          </w:tcPr>
          <w:p>
            <w:r>
              <w:rPr>
                <w:b/>
              </w:rPr>
              <w:t>Week</w:t>
            </w:r>
          </w:p>
        </w:tc>
        <w:tc>
          <w:tcPr>
            <w:tcW w:type="dxa" w:w="3010"/>
          </w:tcPr>
          <w:p>
            <w:r>
              <w:rPr>
                <w:b/>
              </w:rPr>
              <w:t>Goal</w:t>
            </w:r>
          </w:p>
        </w:tc>
        <w:tc>
          <w:tcPr>
            <w:tcW w:type="dxa" w:w="3010"/>
          </w:tcPr>
          <w:p>
            <w:r>
              <w:rPr>
                <w:b/>
              </w:rPr>
              <w:t>Target Metric</w:t>
            </w:r>
          </w:p>
        </w:tc>
      </w:tr>
      <w:tr>
        <w:tc>
          <w:tcPr>
            <w:tcW w:type="dxa" w:w="3010"/>
          </w:tcPr>
          <w:p>
            <w:r>
              <w:t>Week 1</w:t>
            </w:r>
          </w:p>
        </w:tc>
        <w:tc>
          <w:tcPr>
            <w:tcW w:type="dxa" w:w="3010"/>
          </w:tcPr>
          <w:p>
            <w:r>
              <w:t>Send first 10 LinkedIn messages</w:t>
            </w:r>
          </w:p>
        </w:tc>
        <w:tc>
          <w:tcPr>
            <w:tcW w:type="dxa" w:w="3010"/>
          </w:tcPr>
          <w:p>
            <w:r>
              <w:t>10 sent | 3+ responses | 1 meeting booked</w:t>
            </w:r>
          </w:p>
        </w:tc>
      </w:tr>
      <w:tr>
        <w:tc>
          <w:tcPr>
            <w:tcW w:type="dxa" w:w="3010"/>
          </w:tcPr>
          <w:p>
            <w:r>
              <w:t>Week 2</w:t>
            </w:r>
          </w:p>
        </w:tc>
        <w:tc>
          <w:tcPr>
            <w:tcW w:type="dxa" w:w="3010"/>
          </w:tcPr>
          <w:p>
            <w:r>
              <w:t>Follow-up + 10 new messages</w:t>
            </w:r>
          </w:p>
        </w:tc>
        <w:tc>
          <w:tcPr>
            <w:tcW w:type="dxa" w:w="3010"/>
          </w:tcPr>
          <w:p>
            <w:r>
              <w:t>10 sent | 5 follow-ups | 2 meetings booked</w:t>
            </w:r>
          </w:p>
        </w:tc>
      </w:tr>
      <w:tr>
        <w:tc>
          <w:tcPr>
            <w:tcW w:type="dxa" w:w="3010"/>
          </w:tcPr>
          <w:p>
            <w:r>
              <w:t>Week 3</w:t>
            </w:r>
          </w:p>
        </w:tc>
        <w:tc>
          <w:tcPr>
            <w:tcW w:type="dxa" w:w="3010"/>
          </w:tcPr>
          <w:p>
            <w:r>
              <w:t>Convert meetings to proposals</w:t>
            </w:r>
          </w:p>
        </w:tc>
        <w:tc>
          <w:tcPr>
            <w:tcW w:type="dxa" w:w="3010"/>
          </w:tcPr>
          <w:p>
            <w:r>
              <w:t>1 proposal sent</w:t>
            </w:r>
          </w:p>
        </w:tc>
      </w:tr>
      <w:tr>
        <w:tc>
          <w:tcPr>
            <w:tcW w:type="dxa" w:w="3010"/>
          </w:tcPr>
          <w:p>
            <w:r>
              <w:t>Week 4</w:t>
            </w:r>
          </w:p>
        </w:tc>
        <w:tc>
          <w:tcPr>
            <w:tcW w:type="dxa" w:w="3010"/>
          </w:tcPr>
          <w:p>
            <w:r>
              <w:t>Close first customer</w:t>
            </w:r>
          </w:p>
        </w:tc>
        <w:tc>
          <w:tcPr>
            <w:tcW w:type="dxa" w:w="3010"/>
          </w:tcPr>
          <w:p>
            <w:r>
              <w:t>1 closed — won</w:t>
            </w:r>
          </w:p>
        </w:tc>
      </w:tr>
    </w:tbl>
    <w:p>
      <w:r>
        <w:br w:type="page"/>
      </w:r>
    </w:p>
    <w:p>
      <w:pPr>
        <w:pStyle w:val="Heading1"/>
      </w:pPr>
      <w:r>
        <w:rPr>
          <w:color w:val="002147"/>
        </w:rPr>
        <w:t>PRODUCTS TO PITCH</w:t>
      </w:r>
    </w:p>
    <w:p>
      <w:r>
        <w:rPr>
          <w:b/>
        </w:rPr>
        <w:t>Product 1 — Supplier Analysis Report</w:t>
        <w:br/>
      </w:r>
      <w:r>
        <w:rPr>
          <w:i/>
        </w:rPr>
        <w:t>€249 Standard | €349 Premium | €499 Enterprise</w:t>
        <w:br/>
      </w:r>
      <w:r>
        <w:t>9-slide executive report: financial health, risk, ESG, competitive benchmarking. Delivered in 24 hours. Best entry-level product for cold outreach.</w:t>
      </w:r>
    </w:p>
    <w:p/>
    <w:p>
      <w:r>
        <w:rPr>
          <w:b/>
        </w:rPr>
        <w:t>Category Strategy</w:t>
        <w:br/>
      </w:r>
      <w:r>
        <w:rPr>
          <w:i/>
        </w:rPr>
        <w:t>€3,999 (fixed price, everything included)</w:t>
        <w:br/>
      </w:r>
      <w:r>
        <w:t>Full procurement category strategy: market analysis, MCDM evaluation (AHP/TOPSIS), business case with Bear/Base/Bull, 3× supplier reports, 2× expert workshops. Best for CPO/VP Procurement level conversations.</w:t>
      </w:r>
    </w:p>
    <w:p/>
    <w:p>
      <w:r>
        <w:rPr>
          <w:b/>
        </w:rPr>
        <w:t>Media Monitoring — Supplier Intelligence</w:t>
        <w:br/>
      </w:r>
      <w:r>
        <w:rPr>
          <w:i/>
        </w:rPr>
        <w:t>€35/mo Monitor | €105/mo Alert | Enterprise custom</w:t>
        <w:br/>
      </w:r>
      <w:r>
        <w:t>30-day media coverage of suppliers: sentiment analysis, traditional + social media, ESG controversy detection. Recurring revenue product. Best as upsell after Product 1 or Category Strategy.</w:t>
      </w:r>
    </w:p>
    <w:p/>
    <w:p>
      <w:r>
        <w:t>────────────────────────────────────────────────────────────</w:t>
      </w:r>
    </w:p>
    <w:p>
      <w:r>
        <w:rPr>
          <w:b/>
        </w:rPr>
        <w:t xml:space="preserve">Manu Forti Intelligence | </w:t>
      </w:r>
      <w:r>
        <w:t>manuforti.as@gmail.com | manuforti.no</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