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2147"/>
          <w:sz w:val="56"/>
        </w:rPr>
        <w:t>MANU FORTI INTELLIGENCE</w:t>
      </w:r>
    </w:p>
    <w:p>
      <w:pPr>
        <w:jc w:val="center"/>
      </w:pPr>
      <w:r>
        <w:rPr>
          <w:color w:val="002147"/>
          <w:sz w:val="40"/>
        </w:rPr>
        <w:t>MEDIA MONITORING / SUPPLIER INTELLIGENCE REPORT</w:t>
      </w:r>
    </w:p>
    <w:p/>
    <w:p>
      <w:pPr>
        <w:jc w:val="center"/>
      </w:pPr>
      <w:r>
        <w:rPr>
          <w:b/>
          <w:color w:val="06B6D4"/>
          <w:sz w:val="28"/>
        </w:rPr>
        <w:t>ENTERPRISE TIER | VERSION 3.0</w:t>
      </w:r>
    </w:p>
    <w:p/>
    <w:p>
      <w:pPr>
        <w:jc w:val="center"/>
      </w:pPr>
      <w:r>
        <w:rPr>
          <w:b/>
          <w:color w:val="002147"/>
          <w:sz w:val="48"/>
        </w:rPr>
        <w:t>STATKRAFT AS</w:t>
      </w:r>
    </w:p>
    <w:p/>
    <w:p>
      <w:pPr>
        <w:jc w:val="center"/>
      </w:pPr>
      <w:r>
        <w:rPr>
          <w:sz w:val="24"/>
        </w:rPr>
        <w:t>Report Period: March 25 - April 1, 2026 (Weekly)</w:t>
      </w:r>
    </w:p>
    <w:p>
      <w:pPr>
        <w:jc w:val="center"/>
      </w:pPr>
      <w:r>
        <w:rPr>
          <w:sz w:val="24"/>
        </w:rPr>
        <w:t>Generated: April 01, 2026</w:t>
      </w:r>
    </w:p>
    <w:p>
      <w:r>
        <w:br w:type="page"/>
      </w:r>
    </w:p>
    <w:p>
      <w:pPr>
        <w:pStyle w:val="Heading1"/>
      </w:pPr>
      <w:r>
        <w:t>1. EXECUTIVE DASHBOARD</w:t>
      </w:r>
    </w:p>
    <w:p>
      <w:r>
        <w:rPr>
          <w:b/>
        </w:rPr>
        <w:t xml:space="preserve">REAL-TIME RISK SCORE: </w:t>
      </w:r>
      <w:r>
        <w:rPr>
          <w:b/>
          <w:sz w:val="28"/>
        </w:rPr>
        <w:t>68/100 (MODERATE-HIGH)</w:t>
      </w:r>
    </w:p>
    <w:p/>
    <w:p>
      <w:pPr>
        <w:pStyle w:val="Heading2"/>
      </w:pPr>
      <w:r>
        <w:t>Active Alerts</w:t>
      </w:r>
    </w:p>
    <w:p>
      <w:r>
        <w:rPr>
          <w:b/>
          <w:color w:val="E53E3E"/>
        </w:rPr>
        <w:t xml:space="preserve">[URGENT] </w:t>
      </w:r>
      <w:r>
        <w:rPr>
          <w:b/>
        </w:rPr>
        <w:t xml:space="preserve">ESG Controversy Escalation: </w:t>
      </w:r>
      <w:r>
        <w:t>Umbu opposition gaining international traction</w:t>
      </w:r>
    </w:p>
    <w:p>
      <w:r>
        <w:rPr>
          <w:b/>
        </w:rPr>
        <w:t xml:space="preserve">[HIGH] </w:t>
      </w:r>
      <w:r>
        <w:rPr>
          <w:b/>
        </w:rPr>
        <w:t xml:space="preserve">Legal Proceedings Active: </w:t>
      </w:r>
      <w:r>
        <w:t>MP-BA civil action ongoing; MPF federal review</w:t>
      </w:r>
    </w:p>
    <w:p>
      <w:r>
        <w:rPr>
          <w:b/>
        </w:rPr>
        <w:t xml:space="preserve">[HIGH] </w:t>
      </w:r>
      <w:r>
        <w:rPr>
          <w:b/>
        </w:rPr>
        <w:t xml:space="preserve">Media Sentiment Declining: </w:t>
      </w:r>
      <w:r>
        <w:t>Portuguese negative coverage +34% week-over-week</w:t>
      </w:r>
    </w:p>
    <w:p>
      <w:r>
        <w:rPr>
          <w:b/>
        </w:rPr>
        <w:t xml:space="preserve">[MEDIUM] </w:t>
      </w:r>
      <w:r>
        <w:rPr>
          <w:b/>
        </w:rPr>
        <w:t xml:space="preserve">Social Media Amplification: </w:t>
      </w:r>
      <w:r>
        <w:t>#TerraSemVida trending in Brazil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>
            <w:r>
              <w:rPr>
                <w:b/>
              </w:rPr>
              <w:t>Monitoring Period</w:t>
            </w:r>
          </w:p>
        </w:tc>
        <w:tc>
          <w:tcPr>
            <w:tcW w:type="dxa" w:w="4154"/>
          </w:tcPr>
          <w:p>
            <w:r>
              <w:t>March 25 - April 1, 2026 (7 days)</w:t>
            </w:r>
          </w:p>
        </w:tc>
      </w:tr>
      <w:tr>
        <w:tc>
          <w:tcPr>
            <w:tcW w:type="dxa" w:w="4154"/>
          </w:tcPr>
          <w:p>
            <w:r>
              <w:rPr>
                <w:b/>
              </w:rPr>
              <w:t>Total Mentions</w:t>
            </w:r>
          </w:p>
        </w:tc>
        <w:tc>
          <w:tcPr>
            <w:tcW w:type="dxa" w:w="4154"/>
          </w:tcPr>
          <w:p>
            <w:r>
              <w:t>203 (+37% vs. previous week)</w:t>
            </w:r>
          </w:p>
        </w:tc>
      </w:tr>
      <w:tr>
        <w:tc>
          <w:tcPr>
            <w:tcW w:type="dxa" w:w="4154"/>
          </w:tcPr>
          <w:p>
            <w:r>
              <w:rPr>
                <w:b/>
              </w:rPr>
              <w:t>Traditional Media</w:t>
            </w:r>
          </w:p>
        </w:tc>
        <w:tc>
          <w:tcPr>
            <w:tcW w:type="dxa" w:w="4154"/>
          </w:tcPr>
          <w:p>
            <w:r>
              <w:t>127 articles</w:t>
            </w:r>
          </w:p>
        </w:tc>
      </w:tr>
      <w:tr>
        <w:tc>
          <w:tcPr>
            <w:tcW w:type="dxa" w:w="4154"/>
          </w:tcPr>
          <w:p>
            <w:r>
              <w:rPr>
                <w:b/>
              </w:rPr>
              <w:t>Social Media</w:t>
            </w:r>
          </w:p>
        </w:tc>
        <w:tc>
          <w:tcPr>
            <w:tcW w:type="dxa" w:w="4154"/>
          </w:tcPr>
          <w:p>
            <w:r>
              <w:t>76 posts</w:t>
            </w:r>
          </w:p>
        </w:tc>
      </w:tr>
      <w:tr>
        <w:tc>
          <w:tcPr>
            <w:tcW w:type="dxa" w:w="4154"/>
          </w:tcPr>
          <w:p>
            <w:r>
              <w:rPr>
                <w:b/>
              </w:rPr>
              <w:t>Overall Sentiment</w:t>
            </w:r>
          </w:p>
        </w:tc>
        <w:tc>
          <w:tcPr>
            <w:tcW w:type="dxa" w:w="4154"/>
          </w:tcPr>
          <w:p>
            <w:r>
              <w:t>68/100 (Moderate-High Risk)</w:t>
            </w:r>
          </w:p>
        </w:tc>
      </w:tr>
      <w:tr>
        <w:tc>
          <w:tcPr>
            <w:tcW w:type="dxa" w:w="4154"/>
          </w:tcPr>
          <w:p>
            <w:r>
              <w:rPr>
                <w:b/>
              </w:rPr>
              <w:t>Geographic Coverage</w:t>
            </w:r>
          </w:p>
        </w:tc>
        <w:tc>
          <w:tcPr>
            <w:tcW w:type="dxa" w:w="4154"/>
          </w:tcPr>
          <w:p>
            <w:r>
              <w:t>Norway, Brazil, Sweden, Germany, UK</w:t>
            </w:r>
          </w:p>
        </w:tc>
      </w:tr>
    </w:tbl>
    <w:p>
      <w:r>
        <w:br w:type="page"/>
      </w:r>
    </w:p>
    <w:p>
      <w:pPr>
        <w:pStyle w:val="Heading1"/>
      </w:pPr>
      <w:r>
        <w:t>2. CRITICAL FINDINGS</w:t>
      </w:r>
    </w:p>
    <w:p>
      <w:pPr>
        <w:pStyle w:val="Heading2"/>
      </w:pPr>
      <w:r>
        <w:t>Umbu Controversy Status (Building on v2)</w:t>
      </w:r>
    </w:p>
    <w:p>
      <w:r>
        <w:rPr>
          <w:b/>
        </w:rPr>
        <w:t>Since v2 report, the Complexo Solar Santa Eugênia controversy has ESCALATED with new developments:</w:t>
      </w:r>
    </w:p>
    <w:p>
      <w:r>
        <w:t>• International attention growing — Greta Thunberg solidarity network activated</w:t>
        <w:br/>
        <w:t xml:space="preserve">• Norwegian media (NRK, Aftenposten) now covering the controversy  </w:t>
        <w:br/>
        <w:t>• Brazilian Federal Public Ministry (MPF) reviewing for federal intervention</w:t>
        <w:br/>
        <w:t>• ESG-focused investors inquiring at Statkraft Norway headquarters</w:t>
        <w:br/>
        <w:t>• Sentiment trajectory: ▼ Declining (-8 points vs. v2 baseline)</w:t>
      </w:r>
    </w:p>
    <w:p>
      <w:pPr>
        <w:pStyle w:val="Heading2"/>
      </w:pPr>
      <w:r>
        <w:t>Updated Risk Matrix (Since v2)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</w:rPr>
              <w:t>Risk Category</w:t>
            </w:r>
          </w:p>
        </w:tc>
        <w:tc>
          <w:tcPr>
            <w:tcW w:type="dxa" w:w="2770"/>
          </w:tcPr>
          <w:p>
            <w:r>
              <w:rPr>
                <w:b/>
              </w:rPr>
              <w:t>Level Change</w:t>
            </w:r>
          </w:p>
        </w:tc>
        <w:tc>
          <w:tcPr>
            <w:tcW w:type="dxa" w:w="2770"/>
          </w:tcPr>
          <w:p>
            <w:r>
              <w:rPr>
                <w:b/>
              </w:rPr>
              <w:t>Key Factor</w:t>
            </w:r>
          </w:p>
        </w:tc>
      </w:tr>
      <w:tr>
        <w:tc>
          <w:tcPr>
            <w:tcW w:type="dxa" w:w="2770"/>
          </w:tcPr>
          <w:p>
            <w:r>
              <w:t>Legal Risk</w:t>
            </w:r>
          </w:p>
        </w:tc>
        <w:tc>
          <w:tcPr>
            <w:tcW w:type="dxa" w:w="2770"/>
          </w:tcPr>
          <w:p>
            <w:r>
              <w:rPr>
                <w:color w:val="E53E3E"/>
              </w:rPr>
              <w:t>HIGH → CRITICAL</w:t>
            </w:r>
          </w:p>
        </w:tc>
        <w:tc>
          <w:tcPr>
            <w:tcW w:type="dxa" w:w="2770"/>
          </w:tcPr>
          <w:p>
            <w:r>
              <w:t>MPF federal review; potential class-action</w:t>
            </w:r>
          </w:p>
        </w:tc>
      </w:tr>
      <w:tr>
        <w:tc>
          <w:tcPr>
            <w:tcW w:type="dxa" w:w="2770"/>
          </w:tcPr>
          <w:p>
            <w:r>
              <w:t>ESG/Reputational</w:t>
            </w:r>
          </w:p>
        </w:tc>
        <w:tc>
          <w:tcPr>
            <w:tcW w:type="dxa" w:w="2770"/>
          </w:tcPr>
          <w:p>
            <w:r>
              <w:rPr>
                <w:color w:val="E53E3E"/>
              </w:rPr>
              <w:t>HIGH → CRITICAL</w:t>
            </w:r>
          </w:p>
        </w:tc>
        <w:tc>
          <w:tcPr>
            <w:tcW w:type="dxa" w:w="2770"/>
          </w:tcPr>
          <w:p>
            <w:r>
              <w:t>Greenwashing accusations; GPFG monitoring</w:t>
            </w:r>
          </w:p>
        </w:tc>
      </w:tr>
      <w:tr>
        <w:tc>
          <w:tcPr>
            <w:tcW w:type="dxa" w:w="2770"/>
          </w:tcPr>
          <w:p>
            <w:r>
              <w:t>Operational</w:t>
            </w:r>
          </w:p>
        </w:tc>
        <w:tc>
          <w:tcPr>
            <w:tcW w:type="dxa" w:w="2770"/>
          </w:tcPr>
          <w:p>
            <w:r>
              <w:t>MEDIUM → HIGH</w:t>
            </w:r>
          </w:p>
        </w:tc>
        <w:tc>
          <w:tcPr>
            <w:tcW w:type="dxa" w:w="2770"/>
          </w:tcPr>
          <w:p>
            <w:r>
              <w:t>Phase 2 expansion on hold</w:t>
            </w:r>
          </w:p>
        </w:tc>
      </w:tr>
      <w:tr>
        <w:tc>
          <w:tcPr>
            <w:tcW w:type="dxa" w:w="2770"/>
          </w:tcPr>
          <w:p>
            <w:r>
              <w:t>Regulatory</w:t>
            </w:r>
          </w:p>
        </w:tc>
        <w:tc>
          <w:tcPr>
            <w:tcW w:type="dxa" w:w="2770"/>
          </w:tcPr>
          <w:p>
            <w:r>
              <w:t>MEDIUM → HIGH</w:t>
            </w:r>
          </w:p>
        </w:tc>
        <w:tc>
          <w:tcPr>
            <w:tcW w:type="dxa" w:w="2770"/>
          </w:tcPr>
          <w:p>
            <w:r>
              <w:t>INEMA procedures under federal review</w:t>
            </w:r>
          </w:p>
        </w:tc>
      </w:tr>
      <w:tr>
        <w:tc>
          <w:tcPr>
            <w:tcW w:type="dxa" w:w="2770"/>
          </w:tcPr>
          <w:p>
            <w:r>
              <w:t>Financial</w:t>
            </w:r>
          </w:p>
        </w:tc>
        <w:tc>
          <w:tcPr>
            <w:tcW w:type="dxa" w:w="2770"/>
          </w:tcPr>
          <w:p>
            <w:r>
              <w:t>LOW → MEDIUM</w:t>
            </w:r>
          </w:p>
        </w:tc>
        <w:tc>
          <w:tcPr>
            <w:tcW w:type="dxa" w:w="2770"/>
          </w:tcPr>
          <w:p>
            <w:r>
              <w:t>NOK 2.3B investment at risk</w:t>
            </w:r>
          </w:p>
        </w:tc>
      </w:tr>
    </w:tbl>
    <w:p>
      <w:r>
        <w:br w:type="page"/>
      </w:r>
    </w:p>
    <w:p>
      <w:pPr>
        <w:pStyle w:val="Heading1"/>
      </w:pPr>
      <w:r>
        <w:t>3. TREND ANALYSIS</w:t>
      </w:r>
    </w:p>
    <w:p>
      <w:pPr>
        <w:pStyle w:val="Heading2"/>
      </w:pPr>
      <w:r>
        <w:t>Week-over-Week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077"/>
          </w:tcPr>
          <w:p>
            <w:r>
              <w:rPr>
                <w:b/>
              </w:rPr>
              <w:t>Week of Mar 18</w:t>
            </w:r>
          </w:p>
        </w:tc>
        <w:tc>
          <w:tcPr>
            <w:tcW w:type="dxa" w:w="2077"/>
          </w:tcPr>
          <w:p>
            <w:r>
              <w:rPr>
                <w:b/>
              </w:rPr>
              <w:t>Week of Mar 25</w:t>
            </w:r>
          </w:p>
        </w:tc>
        <w:tc>
          <w:tcPr>
            <w:tcW w:type="dxa" w:w="2077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077"/>
          </w:tcPr>
          <w:p>
            <w:r>
              <w:t>Total Mentions</w:t>
            </w:r>
          </w:p>
        </w:tc>
        <w:tc>
          <w:tcPr>
            <w:tcW w:type="dxa" w:w="2077"/>
          </w:tcPr>
          <w:p>
            <w:r>
              <w:t>148</w:t>
            </w:r>
          </w:p>
        </w:tc>
        <w:tc>
          <w:tcPr>
            <w:tcW w:type="dxa" w:w="2077"/>
          </w:tcPr>
          <w:p>
            <w:r>
              <w:t>203</w:t>
            </w:r>
          </w:p>
        </w:tc>
        <w:tc>
          <w:tcPr>
            <w:tcW w:type="dxa" w:w="2077"/>
          </w:tcPr>
          <w:p>
            <w:r>
              <w:t>+37% ▲</w:t>
            </w:r>
          </w:p>
        </w:tc>
      </w:tr>
      <w:tr>
        <w:tc>
          <w:tcPr>
            <w:tcW w:type="dxa" w:w="2077"/>
          </w:tcPr>
          <w:p>
            <w:r>
              <w:t>Negative Sentiment %</w:t>
            </w:r>
          </w:p>
        </w:tc>
        <w:tc>
          <w:tcPr>
            <w:tcW w:type="dxa" w:w="2077"/>
          </w:tcPr>
          <w:p>
            <w:r>
              <w:t>42%</w:t>
            </w:r>
          </w:p>
        </w:tc>
        <w:tc>
          <w:tcPr>
            <w:tcW w:type="dxa" w:w="2077"/>
          </w:tcPr>
          <w:p>
            <w:r>
              <w:t>58%</w:t>
            </w:r>
          </w:p>
        </w:tc>
        <w:tc>
          <w:tcPr>
            <w:tcW w:type="dxa" w:w="2077"/>
          </w:tcPr>
          <w:p>
            <w:r>
              <w:t>+16pp ▲</w:t>
            </w:r>
          </w:p>
        </w:tc>
      </w:tr>
      <w:tr>
        <w:tc>
          <w:tcPr>
            <w:tcW w:type="dxa" w:w="2077"/>
          </w:tcPr>
          <w:p>
            <w:r>
              <w:t>Portuguese Sources</w:t>
            </w:r>
          </w:p>
        </w:tc>
        <w:tc>
          <w:tcPr>
            <w:tcW w:type="dxa" w:w="2077"/>
          </w:tcPr>
          <w:p>
            <w:r>
              <w:t>23</w:t>
            </w:r>
          </w:p>
        </w:tc>
        <w:tc>
          <w:tcPr>
            <w:tcW w:type="dxa" w:w="2077"/>
          </w:tcPr>
          <w:p>
            <w:r>
              <w:t>41</w:t>
            </w:r>
          </w:p>
        </w:tc>
        <w:tc>
          <w:tcPr>
            <w:tcW w:type="dxa" w:w="2077"/>
          </w:tcPr>
          <w:p>
            <w:r>
              <w:t>+78% ▲</w:t>
            </w:r>
          </w:p>
        </w:tc>
      </w:tr>
      <w:tr>
        <w:tc>
          <w:tcPr>
            <w:tcW w:type="dxa" w:w="2077"/>
          </w:tcPr>
          <w:p>
            <w:r>
              <w:t>Social Engagement</w:t>
            </w:r>
          </w:p>
        </w:tc>
        <w:tc>
          <w:tcPr>
            <w:tcW w:type="dxa" w:w="2077"/>
          </w:tcPr>
          <w:p>
            <w:r>
              <w:t>12.4K</w:t>
            </w:r>
          </w:p>
        </w:tc>
        <w:tc>
          <w:tcPr>
            <w:tcW w:type="dxa" w:w="2077"/>
          </w:tcPr>
          <w:p>
            <w:r>
              <w:t>28.7K</w:t>
            </w:r>
          </w:p>
        </w:tc>
        <w:tc>
          <w:tcPr>
            <w:tcW w:type="dxa" w:w="2077"/>
          </w:tcPr>
          <w:p>
            <w:r>
              <w:t>+131% ▲</w:t>
            </w:r>
          </w:p>
        </w:tc>
      </w:tr>
    </w:tbl>
    <w:p/>
    <w:p>
      <w:pPr>
        <w:pStyle w:val="Heading2"/>
      </w:pPr>
      <w:r>
        <w:t>Geographic Distribution</w:t>
      </w:r>
    </w:p>
    <w:p>
      <w:r>
        <w:t>• Brazil: 45% (critical/local opposition)</w:t>
      </w:r>
    </w:p>
    <w:p>
      <w:r>
        <w:t>• Norway: 28% (ESG/investor concern)</w:t>
      </w:r>
    </w:p>
    <w:p>
      <w:r>
        <w:t>• International: 18% (climate/energy press)</w:t>
      </w:r>
    </w:p>
    <w:p>
      <w:r>
        <w:t>• Europe (ex-Norway): 9% (solidarity campaigns)</w:t>
      </w:r>
    </w:p>
    <w:p>
      <w:r>
        <w:br w:type="page"/>
      </w:r>
    </w:p>
    <w:p>
      <w:pPr>
        <w:pStyle w:val="Heading1"/>
      </w:pPr>
      <w:r>
        <w:t>4. TRADITIONAL MEDIA COVERAGE</w:t>
      </w:r>
    </w:p>
    <w:p>
      <w:pPr>
        <w:pStyle w:val="Heading2"/>
      </w:pPr>
      <w:r>
        <w:t>New Coverage Since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07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077"/>
          </w:tcPr>
          <w:p>
            <w:r>
              <w:rPr>
                <w:b/>
              </w:rPr>
              <w:t>Headline/Language</w:t>
            </w:r>
          </w:p>
        </w:tc>
        <w:tc>
          <w:tcPr>
            <w:tcW w:type="dxa" w:w="2077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077"/>
          </w:tcPr>
          <w:p>
            <w:r>
              <w:t>Mar 29</w:t>
            </w:r>
          </w:p>
        </w:tc>
        <w:tc>
          <w:tcPr>
            <w:tcW w:type="dxa" w:w="2077"/>
          </w:tcPr>
          <w:p>
            <w:r>
              <w:t>Folha de S.Paulo</w:t>
            </w:r>
          </w:p>
        </w:tc>
        <w:tc>
          <w:tcPr>
            <w:tcW w:type="dxa" w:w="2077"/>
          </w:tcPr>
          <w:p>
            <w:r>
              <w:t>Energia limpa destrói bioma (PT)</w:t>
            </w:r>
          </w:p>
        </w:tc>
        <w:tc>
          <w:tcPr>
            <w:tcW w:type="dxa" w:w="2077"/>
          </w:tcPr>
          <w:p>
            <w:r>
              <w:t>High</w:t>
            </w:r>
          </w:p>
        </w:tc>
      </w:tr>
      <w:tr>
        <w:tc>
          <w:tcPr>
            <w:tcW w:type="dxa" w:w="2077"/>
          </w:tcPr>
          <w:p>
            <w:r>
              <w:t>Mar 30</w:t>
            </w:r>
          </w:p>
        </w:tc>
        <w:tc>
          <w:tcPr>
            <w:tcW w:type="dxa" w:w="2077"/>
          </w:tcPr>
          <w:p>
            <w:r>
              <w:t>NRK (Norway)</w:t>
            </w:r>
          </w:p>
        </w:tc>
        <w:tc>
          <w:tcPr>
            <w:tcW w:type="dxa" w:w="2077"/>
          </w:tcPr>
          <w:p>
            <w:r>
              <w:t>Statkraft i miljøkonflikt (NO)</w:t>
            </w:r>
          </w:p>
        </w:tc>
        <w:tc>
          <w:tcPr>
            <w:tcW w:type="dxa" w:w="2077"/>
          </w:tcPr>
          <w:p>
            <w:r>
              <w:t>High</w:t>
            </w:r>
          </w:p>
        </w:tc>
      </w:tr>
      <w:tr>
        <w:tc>
          <w:tcPr>
            <w:tcW w:type="dxa" w:w="2077"/>
          </w:tcPr>
          <w:p>
            <w:r>
              <w:t>Mar 31</w:t>
            </w:r>
          </w:p>
        </w:tc>
        <w:tc>
          <w:tcPr>
            <w:tcW w:type="dxa" w:w="2077"/>
          </w:tcPr>
          <w:p>
            <w:r>
              <w:t>Mongabay Brasil</w:t>
            </w:r>
          </w:p>
        </w:tc>
        <w:tc>
          <w:tcPr>
            <w:tcW w:type="dxa" w:w="2077"/>
          </w:tcPr>
          <w:p>
            <w:r>
              <w:t>Caatinga em perigo (PT)</w:t>
            </w:r>
          </w:p>
        </w:tc>
        <w:tc>
          <w:tcPr>
            <w:tcW w:type="dxa" w:w="2077"/>
          </w:tcPr>
          <w:p>
            <w:r>
              <w:t>Medium</w:t>
            </w:r>
          </w:p>
        </w:tc>
      </w:tr>
      <w:tr>
        <w:tc>
          <w:tcPr>
            <w:tcW w:type="dxa" w:w="2077"/>
          </w:tcPr>
          <w:p>
            <w:r>
              <w:t>Apr 1</w:t>
            </w:r>
          </w:p>
        </w:tc>
        <w:tc>
          <w:tcPr>
            <w:tcW w:type="dxa" w:w="2077"/>
          </w:tcPr>
          <w:p>
            <w:r>
              <w:t>Aftenposten</w:t>
            </w:r>
          </w:p>
        </w:tc>
        <w:tc>
          <w:tcPr>
            <w:tcW w:type="dxa" w:w="2077"/>
          </w:tcPr>
          <w:p>
            <w:r>
              <w:t>Norsk kraftselskap i konflikt (NO)</w:t>
            </w:r>
          </w:p>
        </w:tc>
        <w:tc>
          <w:tcPr>
            <w:tcW w:type="dxa" w:w="2077"/>
          </w:tcPr>
          <w:p>
            <w:r>
              <w:t>Medium</w:t>
            </w:r>
          </w:p>
        </w:tc>
      </w:tr>
      <w:tr>
        <w:tc>
          <w:tcPr>
            <w:tcW w:type="dxa" w:w="2077"/>
          </w:tcPr>
          <w:p>
            <w:r>
              <w:t>Apr 1</w:t>
            </w:r>
          </w:p>
        </w:tc>
        <w:tc>
          <w:tcPr>
            <w:tcW w:type="dxa" w:w="2077"/>
          </w:tcPr>
          <w:p>
            <w:r>
              <w:t>Reuters</w:t>
            </w:r>
          </w:p>
        </w:tc>
        <w:tc>
          <w:tcPr>
            <w:tcW w:type="dxa" w:w="2077"/>
          </w:tcPr>
          <w:p>
            <w:r>
              <w:t>Statkraft expands despite opposition (EN)</w:t>
            </w:r>
          </w:p>
        </w:tc>
        <w:tc>
          <w:tcPr>
            <w:tcW w:type="dxa" w:w="2077"/>
          </w:tcPr>
          <w:p>
            <w:r>
              <w:t>Medium</w:t>
            </w:r>
          </w:p>
        </w:tc>
      </w:tr>
    </w:tbl>
    <w:p>
      <w:r>
        <w:br w:type="page"/>
      </w:r>
    </w:p>
    <w:p>
      <w:pPr>
        <w:pStyle w:val="Heading1"/>
      </w:pPr>
      <w:r>
        <w:t>5. SOCIAL MEDIA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1662"/>
          </w:tcPr>
          <w:p>
            <w:r>
              <w:rPr>
                <w:b/>
              </w:rPr>
              <w:t>Mentions</w:t>
            </w:r>
          </w:p>
        </w:tc>
        <w:tc>
          <w:tcPr>
            <w:tcW w:type="dxa" w:w="1662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1662"/>
          </w:tcPr>
          <w:p>
            <w:r>
              <w:rPr>
                <w:b/>
              </w:rPr>
              <w:t>Sentiment</w:t>
            </w:r>
          </w:p>
        </w:tc>
        <w:tc>
          <w:tcPr>
            <w:tcW w:type="dxa" w:w="1662"/>
          </w:tcPr>
          <w:p>
            <w:r>
              <w:rPr>
                <w:b/>
              </w:rPr>
              <w:t>Key Hashtags</w:t>
            </w:r>
          </w:p>
        </w:tc>
      </w:tr>
      <w:tr>
        <w:tc>
          <w:tcPr>
            <w:tcW w:type="dxa" w:w="1662"/>
          </w:tcPr>
          <w:p>
            <w:r>
              <w:t>X/Twitter</w:t>
            </w:r>
          </w:p>
        </w:tc>
        <w:tc>
          <w:tcPr>
            <w:tcW w:type="dxa" w:w="1662"/>
          </w:tcPr>
          <w:p>
            <w:r>
              <w:t>32</w:t>
            </w:r>
          </w:p>
        </w:tc>
        <w:tc>
          <w:tcPr>
            <w:tcW w:type="dxa" w:w="1662"/>
          </w:tcPr>
          <w:p>
            <w:r>
              <w:t>18.5K</w:t>
            </w:r>
          </w:p>
        </w:tc>
        <w:tc>
          <w:tcPr>
            <w:tcW w:type="dxa" w:w="1662"/>
          </w:tcPr>
          <w:p>
            <w:r>
              <w:t>Negative</w:t>
            </w:r>
          </w:p>
        </w:tc>
        <w:tc>
          <w:tcPr>
            <w:tcW w:type="dxa" w:w="1662"/>
          </w:tcPr>
          <w:p>
            <w:r>
              <w:t>#TerraSemVida #Statkraft</w:t>
            </w:r>
          </w:p>
        </w:tc>
      </w:tr>
      <w:tr>
        <w:tc>
          <w:tcPr>
            <w:tcW w:type="dxa" w:w="1662"/>
          </w:tcPr>
          <w:p>
            <w:r>
              <w:t>LinkedIn</w:t>
            </w:r>
          </w:p>
        </w:tc>
        <w:tc>
          <w:tcPr>
            <w:tcW w:type="dxa" w:w="1662"/>
          </w:tcPr>
          <w:p>
            <w:r>
              <w:t>12</w:t>
            </w:r>
          </w:p>
        </w:tc>
        <w:tc>
          <w:tcPr>
            <w:tcW w:type="dxa" w:w="1662"/>
          </w:tcPr>
          <w:p>
            <w:r>
              <w:t>4.2K</w:t>
            </w:r>
          </w:p>
        </w:tc>
        <w:tc>
          <w:tcPr>
            <w:tcW w:type="dxa" w:w="1662"/>
          </w:tcPr>
          <w:p>
            <w:r>
              <w:t>Mixed</w:t>
            </w:r>
          </w:p>
        </w:tc>
        <w:tc>
          <w:tcPr>
            <w:tcW w:type="dxa" w:w="1662"/>
          </w:tcPr>
          <w:p>
            <w:r>
              <w:t>#ESG #RenewableEnergy</w:t>
            </w:r>
          </w:p>
        </w:tc>
      </w:tr>
      <w:tr>
        <w:tc>
          <w:tcPr>
            <w:tcW w:type="dxa" w:w="1662"/>
          </w:tcPr>
          <w:p>
            <w:r>
              <w:t>Facebook</w:t>
            </w:r>
          </w:p>
        </w:tc>
        <w:tc>
          <w:tcPr>
            <w:tcW w:type="dxa" w:w="1662"/>
          </w:tcPr>
          <w:p>
            <w:r>
              <w:t>18</w:t>
            </w:r>
          </w:p>
        </w:tc>
        <w:tc>
          <w:tcPr>
            <w:tcW w:type="dxa" w:w="1662"/>
          </w:tcPr>
          <w:p>
            <w:r>
              <w:t>3.8K</w:t>
            </w:r>
          </w:p>
        </w:tc>
        <w:tc>
          <w:tcPr>
            <w:tcW w:type="dxa" w:w="1662"/>
          </w:tcPr>
          <w:p>
            <w:r>
              <w:t>Negative</w:t>
            </w:r>
          </w:p>
        </w:tc>
        <w:tc>
          <w:tcPr>
            <w:tcW w:type="dxa" w:w="1662"/>
          </w:tcPr>
          <w:p>
            <w:r>
              <w:t>#Umbu #SalveACaatinga</w:t>
            </w:r>
          </w:p>
        </w:tc>
      </w:tr>
      <w:tr>
        <w:tc>
          <w:tcPr>
            <w:tcW w:type="dxa" w:w="1662"/>
          </w:tcPr>
          <w:p>
            <w:r>
              <w:t>Instagram</w:t>
            </w:r>
          </w:p>
        </w:tc>
        <w:tc>
          <w:tcPr>
            <w:tcW w:type="dxa" w:w="1662"/>
          </w:tcPr>
          <w:p>
            <w:r>
              <w:t>14</w:t>
            </w:r>
          </w:p>
        </w:tc>
        <w:tc>
          <w:tcPr>
            <w:tcW w:type="dxa" w:w="1662"/>
          </w:tcPr>
          <w:p>
            <w:r>
              <w:t>2.2K</w:t>
            </w:r>
          </w:p>
        </w:tc>
        <w:tc>
          <w:tcPr>
            <w:tcW w:type="dxa" w:w="1662"/>
          </w:tcPr>
          <w:p>
            <w:r>
              <w:t>Negative</w:t>
            </w:r>
          </w:p>
        </w:tc>
        <w:tc>
          <w:tcPr>
            <w:tcW w:type="dxa" w:w="1662"/>
          </w:tcPr>
          <w:p>
            <w:r>
              <w:t>#MeioAmbiente</w:t>
            </w:r>
          </w:p>
        </w:tc>
      </w:tr>
    </w:tbl>
    <w:p/>
    <w:p>
      <w:pPr>
        <w:pStyle w:val="Heading2"/>
      </w:pPr>
      <w:r>
        <w:t>Viral Risk Posts</w:t>
      </w:r>
    </w:p>
    <w:p>
      <w:r>
        <w:rPr>
          <w:b/>
          <w:color w:val="E53E3E"/>
        </w:rPr>
        <w:t>[VIRAL RISK] @GretaThunberg retweet:</w:t>
        <w:br/>
      </w:r>
      <w:r>
        <w:t>Solidarity with indigenous communities fighting corporate destruction. #ClimateJustice</w:t>
        <w:br/>
      </w:r>
      <w:r>
        <w:rPr>
          <w:i/>
        </w:rPr>
        <w:t>45.2K likes, 12.3K retweets</w:t>
      </w:r>
    </w:p>
    <w:p>
      <w:r>
        <w:br w:type="page"/>
      </w:r>
    </w:p>
    <w:p>
      <w:pPr>
        <w:pStyle w:val="Heading1"/>
      </w:pPr>
      <w:r>
        <w:t>6. ESG &amp; REGULATORY MONITORING</w:t>
      </w:r>
    </w:p>
    <w:p>
      <w:pPr>
        <w:pStyle w:val="Heading2"/>
      </w:pPr>
      <w:r>
        <w:t>Environmental Controversies</w:t>
      </w:r>
    </w:p>
    <w:p>
      <w:r>
        <w:t>• Complexo Solar Santa Eugênia: ESCALATING (international attention)</w:t>
      </w:r>
    </w:p>
    <w:p>
      <w:r>
        <w:t>• Desertification acceleration: INEMA confirms 2,500mm/year evaporation vs. 700mm rainfall</w:t>
      </w:r>
    </w:p>
    <w:p>
      <w:r>
        <w:t>• Water security concerns emerging as secondary issue</w:t>
      </w:r>
    </w:p>
    <w:p>
      <w:pPr>
        <w:pStyle w:val="Heading2"/>
      </w:pPr>
      <w:r>
        <w:t>Social / License to Operate</w:t>
      </w:r>
    </w:p>
    <w:p>
      <w:r>
        <w:t>CRITICAL: ILO Convention 169 compliance questioned</w:t>
      </w:r>
    </w:p>
    <w:p>
      <w:r>
        <w:t>• Two quilombola communities claim non-consultation</w:t>
      </w:r>
    </w:p>
    <w:p>
      <w:r>
        <w:t>• Archaeological sites at risk (rock paintings, caverns)</w:t>
      </w:r>
    </w:p>
    <w:p>
      <w:r>
        <w:t>UMB U opposition: FORMAL | CODETER: FORMAL | FETAG: FORMAL</w:t>
      </w:r>
    </w:p>
    <w:p>
      <w:pPr>
        <w:pStyle w:val="Heading2"/>
      </w:pPr>
      <w:r>
        <w:t>Legal Proceedings Status</w:t>
      </w:r>
    </w:p>
    <w:p>
      <w:r>
        <w:t>1. MP-BA Civil Action: License suspension lifted; documentation under review</w:t>
      </w:r>
    </w:p>
    <w:p>
      <w:r>
        <w:t>2. MPF Federal Review: Initiated March 2026; 60-90 day timeline</w:t>
      </w:r>
    </w:p>
    <w:p>
      <w:r>
        <w:t>3. Extrajudicial Harassment: UMBU claims SLAPP suit intimidation</w:t>
      </w:r>
    </w:p>
    <w:p>
      <w:r>
        <w:br w:type="page"/>
      </w:r>
    </w:p>
    <w:p>
      <w:pPr>
        <w:pStyle w:val="Heading1"/>
      </w:pPr>
      <w:r>
        <w:t>7. COMPETITIVE INTELLIGENCE</w:t>
      </w:r>
    </w:p>
    <w:p>
      <w:pPr>
        <w:pStyle w:val="Heading2"/>
      </w:pPr>
      <w:r>
        <w:t>Comparative Sentiment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2770"/>
          </w:tcPr>
          <w:p>
            <w:r>
              <w:rPr>
                <w:b/>
              </w:rPr>
              <w:t>Brazil Sentiment</w:t>
            </w:r>
          </w:p>
        </w:tc>
        <w:tc>
          <w:tcPr>
            <w:tcW w:type="dxa" w:w="2770"/>
          </w:tcPr>
          <w:p>
            <w:r>
              <w:rPr>
                <w:b/>
              </w:rPr>
              <w:t>ESG Status</w:t>
            </w:r>
          </w:p>
        </w:tc>
      </w:tr>
      <w:tr>
        <w:tc>
          <w:tcPr>
            <w:tcW w:type="dxa" w:w="2770"/>
          </w:tcPr>
          <w:p>
            <w:r>
              <w:t>Statkraft</w:t>
            </w:r>
          </w:p>
        </w:tc>
        <w:tc>
          <w:tcPr>
            <w:tcW w:type="dxa" w:w="2770"/>
          </w:tcPr>
          <w:p>
            <w:r>
              <w:t>Negative (68/100)</w:t>
            </w:r>
          </w:p>
        </w:tc>
        <w:tc>
          <w:tcPr>
            <w:tcW w:type="dxa" w:w="2770"/>
          </w:tcPr>
          <w:p>
            <w:r>
              <w:rPr>
                <w:color w:val="E53E3E"/>
              </w:rPr>
              <w:t>AT RISK</w:t>
            </w:r>
          </w:p>
        </w:tc>
      </w:tr>
      <w:tr>
        <w:tc>
          <w:tcPr>
            <w:tcW w:type="dxa" w:w="2770"/>
          </w:tcPr>
          <w:p>
            <w:r>
              <w:t>Equinor</w:t>
            </w:r>
          </w:p>
        </w:tc>
        <w:tc>
          <w:tcPr>
            <w:tcW w:type="dxa" w:w="2770"/>
          </w:tcPr>
          <w:p>
            <w:r>
              <w:t>Neutral (78/100)</w:t>
            </w:r>
          </w:p>
        </w:tc>
        <w:tc>
          <w:tcPr>
            <w:tcW w:type="dxa" w:w="2770"/>
          </w:tcPr>
          <w:p>
            <w:r>
              <w:t>Stable</w:t>
            </w:r>
          </w:p>
        </w:tc>
      </w:tr>
      <w:tr>
        <w:tc>
          <w:tcPr>
            <w:tcW w:type="dxa" w:w="2770"/>
          </w:tcPr>
          <w:p>
            <w:r>
              <w:t>Scatec</w:t>
            </w:r>
          </w:p>
        </w:tc>
        <w:tc>
          <w:tcPr>
            <w:tcW w:type="dxa" w:w="2770"/>
          </w:tcPr>
          <w:p>
            <w:r>
              <w:t>Neutral-Positive (82/100)</w:t>
            </w:r>
          </w:p>
        </w:tc>
        <w:tc>
          <w:tcPr>
            <w:tcW w:type="dxa" w:w="2770"/>
          </w:tcPr>
          <w:p>
            <w:r>
              <w:t>Stable</w:t>
            </w:r>
          </w:p>
        </w:tc>
      </w:tr>
      <w:tr>
        <w:tc>
          <w:tcPr>
            <w:tcW w:type="dxa" w:w="2770"/>
          </w:tcPr>
          <w:p>
            <w:r>
              <w:t>Enel Green Power</w:t>
            </w:r>
          </w:p>
        </w:tc>
        <w:tc>
          <w:tcPr>
            <w:tcW w:type="dxa" w:w="2770"/>
          </w:tcPr>
          <w:p>
            <w:r>
              <w:t>Neutral (75/100)</w:t>
            </w:r>
          </w:p>
        </w:tc>
        <w:tc>
          <w:tcPr>
            <w:tcW w:type="dxa" w:w="2770"/>
          </w:tcPr>
          <w:p>
            <w:r>
              <w:t>Stable</w:t>
            </w:r>
          </w:p>
        </w:tc>
      </w:tr>
    </w:tbl>
    <w:p>
      <w:r>
        <w:br w:type="page"/>
      </w:r>
    </w:p>
    <w:p>
      <w:pPr>
        <w:pStyle w:val="Heading1"/>
      </w:pPr>
      <w:r>
        <w:t>8. RISK ASSESSMENT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</w:tcPr>
          <w:p>
            <w:r>
              <w:rPr>
                <w:b/>
              </w:rPr>
              <w:t>Risk Category</w:t>
            </w:r>
          </w:p>
        </w:tc>
        <w:tc>
          <w:tcPr>
            <w:tcW w:type="dxa" w:w="2077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07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077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2077"/>
          </w:tcPr>
          <w:p>
            <w:r>
              <w:t>Legal</w:t>
            </w:r>
          </w:p>
        </w:tc>
        <w:tc>
          <w:tcPr>
            <w:tcW w:type="dxa" w:w="2077"/>
          </w:tcPr>
          <w:p>
            <w:r>
              <w:rPr>
                <w:color w:val="E53E3E"/>
              </w:rPr>
              <w:t>CRITICAL</w:t>
            </w:r>
          </w:p>
        </w:tc>
        <w:tc>
          <w:tcPr>
            <w:tcW w:type="dxa" w:w="2077"/>
          </w:tcPr>
          <w:p>
            <w:r>
              <w:t>MPF federal review; class-action potential</w:t>
            </w:r>
          </w:p>
        </w:tc>
        <w:tc>
          <w:tcPr>
            <w:tcW w:type="dxa" w:w="2077"/>
          </w:tcPr>
          <w:p>
            <w:r>
              <w:t>Immediate</w:t>
            </w:r>
          </w:p>
        </w:tc>
      </w:tr>
      <w:tr>
        <w:tc>
          <w:tcPr>
            <w:tcW w:type="dxa" w:w="2077"/>
          </w:tcPr>
          <w:p>
            <w:r>
              <w:t>ESG/Reputational</w:t>
            </w:r>
          </w:p>
        </w:tc>
        <w:tc>
          <w:tcPr>
            <w:tcW w:type="dxa" w:w="2077"/>
          </w:tcPr>
          <w:p>
            <w:r>
              <w:rPr>
                <w:color w:val="E53E3E"/>
              </w:rPr>
              <w:t>CRITICAL</w:t>
            </w:r>
          </w:p>
        </w:tc>
        <w:tc>
          <w:tcPr>
            <w:tcW w:type="dxa" w:w="2077"/>
          </w:tcPr>
          <w:p>
            <w:r>
              <w:t>Greenwashing; investor inquiries</w:t>
            </w:r>
          </w:p>
        </w:tc>
        <w:tc>
          <w:tcPr>
            <w:tcW w:type="dxa" w:w="2077"/>
          </w:tcPr>
          <w:p>
            <w:r>
              <w:t>Immediate</w:t>
            </w:r>
          </w:p>
        </w:tc>
      </w:tr>
      <w:tr>
        <w:tc>
          <w:tcPr>
            <w:tcW w:type="dxa" w:w="2077"/>
          </w:tcPr>
          <w:p>
            <w:r>
              <w:t>Operational</w:t>
            </w:r>
          </w:p>
        </w:tc>
        <w:tc>
          <w:tcPr>
            <w:tcW w:type="dxa" w:w="2077"/>
          </w:tcPr>
          <w:p>
            <w:r>
              <w:t>HIGH</w:t>
            </w:r>
          </w:p>
        </w:tc>
        <w:tc>
          <w:tcPr>
            <w:tcW w:type="dxa" w:w="2077"/>
          </w:tcPr>
          <w:p>
            <w:r>
              <w:t>Phase 2 on hold</w:t>
            </w:r>
          </w:p>
        </w:tc>
        <w:tc>
          <w:tcPr>
            <w:tcW w:type="dxa" w:w="2077"/>
          </w:tcPr>
          <w:p>
            <w:r>
              <w:t>30 days</w:t>
            </w:r>
          </w:p>
        </w:tc>
      </w:tr>
      <w:tr>
        <w:tc>
          <w:tcPr>
            <w:tcW w:type="dxa" w:w="2077"/>
          </w:tcPr>
          <w:p>
            <w:r>
              <w:t>Regulatory</w:t>
            </w:r>
          </w:p>
        </w:tc>
        <w:tc>
          <w:tcPr>
            <w:tcW w:type="dxa" w:w="2077"/>
          </w:tcPr>
          <w:p>
            <w:r>
              <w:t>HIGH</w:t>
            </w:r>
          </w:p>
        </w:tc>
        <w:tc>
          <w:tcPr>
            <w:tcW w:type="dxa" w:w="2077"/>
          </w:tcPr>
          <w:p>
            <w:r>
              <w:t>INEMA under review</w:t>
            </w:r>
          </w:p>
        </w:tc>
        <w:tc>
          <w:tcPr>
            <w:tcW w:type="dxa" w:w="2077"/>
          </w:tcPr>
          <w:p>
            <w:r>
              <w:t>60 days</w:t>
            </w:r>
          </w:p>
        </w:tc>
      </w:tr>
      <w:tr>
        <w:tc>
          <w:tcPr>
            <w:tcW w:type="dxa" w:w="2077"/>
          </w:tcPr>
          <w:p>
            <w:r>
              <w:t>Financial</w:t>
            </w:r>
          </w:p>
        </w:tc>
        <w:tc>
          <w:tcPr>
            <w:tcW w:type="dxa" w:w="2077"/>
          </w:tcPr>
          <w:p>
            <w:r>
              <w:t>MEDIUM</w:t>
            </w:r>
          </w:p>
        </w:tc>
        <w:tc>
          <w:tcPr>
            <w:tcW w:type="dxa" w:w="2077"/>
          </w:tcPr>
          <w:p>
            <w:r>
              <w:t>NOK 2.3B at risk</w:t>
            </w:r>
          </w:p>
        </w:tc>
        <w:tc>
          <w:tcPr>
            <w:tcW w:type="dxa" w:w="2077"/>
          </w:tcPr>
          <w:p>
            <w:r>
              <w:t>90 days</w:t>
            </w:r>
          </w:p>
        </w:tc>
      </w:tr>
      <w:tr>
        <w:tc>
          <w:tcPr>
            <w:tcW w:type="dxa" w:w="2077"/>
          </w:tcPr>
          <w:p>
            <w:r>
              <w:t>Strategic</w:t>
            </w:r>
          </w:p>
        </w:tc>
        <w:tc>
          <w:tcPr>
            <w:tcW w:type="dxa" w:w="2077"/>
          </w:tcPr>
          <w:p>
            <w:r>
              <w:t>MEDIUM</w:t>
            </w:r>
          </w:p>
        </w:tc>
        <w:tc>
          <w:tcPr>
            <w:tcW w:type="dxa" w:w="2077"/>
          </w:tcPr>
          <w:p>
            <w:r>
              <w:t>Brazil strategy compromised</w:t>
            </w:r>
          </w:p>
        </w:tc>
        <w:tc>
          <w:tcPr>
            <w:tcW w:type="dxa" w:w="2077"/>
          </w:tcPr>
          <w:p>
            <w:r>
              <w:t>Ongoing</w:t>
            </w:r>
          </w:p>
        </w:tc>
      </w:tr>
    </w:tbl>
    <w:p>
      <w:r>
        <w:br w:type="page"/>
      </w:r>
    </w:p>
    <w:p>
      <w:pPr>
        <w:pStyle w:val="Heading1"/>
      </w:pPr>
      <w:r>
        <w:t>9. GAP ANALYSIS &amp; LIMITATIONS</w:t>
      </w:r>
    </w:p>
    <w:p>
      <w:pPr>
        <w:pStyle w:val="Heading2"/>
      </w:pPr>
      <w:r>
        <w:t>What May Have Been Missed</w:t>
      </w:r>
    </w:p>
    <w:p>
      <w:r>
        <w:t>• TikTok and emerging platforms — viral risk underestimated</w:t>
      </w:r>
    </w:p>
    <w:p>
      <w:r>
        <w:t>• Local radio in Bahia — limited transcript access</w:t>
      </w:r>
    </w:p>
    <w:p>
      <w:r>
        <w:t>• WhatsApp groups — primary communication, encrypted</w:t>
      </w:r>
    </w:p>
    <w:p>
      <w:r>
        <w:t>• Brazilian court database (TJ-BA) — not automated</w:t>
      </w:r>
    </w:p>
    <w:p>
      <w:pPr>
        <w:pStyle w:val="Heading2"/>
      </w:pPr>
      <w:r>
        <w:t>Methodology Improvements for v4</w:t>
      </w:r>
    </w:p>
    <w:p>
      <w:r>
        <w:t>• Add TikTok monitoring for viral early warning</w:t>
      </w:r>
    </w:p>
    <w:p>
      <w:r>
        <w:t>• Portuguese native speaker sentiment validation</w:t>
      </w:r>
    </w:p>
    <w:p>
      <w:r>
        <w:t>• UMBU-specific keyword set development</w:t>
      </w:r>
    </w:p>
    <w:p>
      <w:r>
        <w:t>• Automated GPFG ethics mention alerts</w:t>
      </w:r>
    </w:p>
    <w:p>
      <w:r>
        <w:br w:type="page"/>
      </w:r>
    </w:p>
    <w:p>
      <w:pPr>
        <w:pStyle w:val="Heading1"/>
      </w:pPr>
      <w:r>
        <w:t>10. STRATEGIC RECOMMENDATIONS</w:t>
      </w:r>
    </w:p>
    <w:p>
      <w:pPr>
        <w:pStyle w:val="Heading2"/>
      </w:pPr>
      <w:r>
        <w:t>Immediate Actions (Next 7 Days)</w:t>
      </w:r>
    </w:p>
    <w:p>
      <w:r>
        <w:t>1. CEO-LEVEL DIALOGUE with UMBU — de-escalate directly</w:t>
      </w:r>
    </w:p>
    <w:p>
      <w:r>
        <w:t>2. PAUSE PHASE 2 ACTIVITIES — demonstrate good faith</w:t>
      </w:r>
    </w:p>
    <w:p>
      <w:r>
        <w:t>3. INDEPENDENT ESG AUDIT — third-party assessment</w:t>
      </w:r>
    </w:p>
    <w:p>
      <w:r>
        <w:t>4. PROACTIVE INVESTOR COMMUNICATION — get ahead of ratings</w:t>
      </w:r>
    </w:p>
    <w:p>
      <w:r>
        <w:t>5. NORWEGIAN MEDIA BRIEFING — NRK/Aftenposten context</w:t>
      </w:r>
    </w:p>
    <w:p>
      <w:pPr>
        <w:pStyle w:val="Heading2"/>
      </w:pPr>
      <w:r>
        <w:t>Short-Term (Next 30 Days)</w:t>
      </w:r>
    </w:p>
    <w:p>
      <w:r>
        <w:t>1. Full ILO 169 compliance protocol</w:t>
      </w:r>
    </w:p>
    <w:p>
      <w:r>
        <w:t>2. Alternative site assessment (degraded lands)</w:t>
      </w:r>
    </w:p>
    <w:p>
      <w:r>
        <w:t>3. Community benefit agreement negotiations</w:t>
      </w:r>
    </w:p>
    <w:p>
      <w:r>
        <w:t>4. Archaeological protection plan (IPHAN)</w:t>
      </w:r>
    </w:p>
    <w:p>
      <w:r>
        <w:t>5. Public transparency dashboard</w:t>
      </w:r>
    </w:p>
    <w:p>
      <w:pPr>
        <w:pStyle w:val="Heading2"/>
      </w:pPr>
      <w:r>
        <w:t>Long-Term Strategic</w:t>
      </w:r>
    </w:p>
    <w:p>
      <w:r>
        <w:t>1. Brazil strategy review — community-first approach</w:t>
      </w:r>
    </w:p>
    <w:p>
      <w:r>
        <w:t>2. ESG integration overhaul — consultation standard</w:t>
      </w:r>
    </w:p>
    <w:p>
      <w:r>
        <w:t>3. Reputational recovery campaign</w:t>
      </w:r>
    </w:p>
    <w:p>
      <w:r>
        <w:t>4. Industry leadership — propose sector-wide standards</w:t>
      </w:r>
    </w:p>
    <w:p>
      <w:r>
        <w:t>5. Portfolio diversification — reduce single-market risk</w:t>
      </w:r>
    </w:p>
    <w:p>
      <w:r>
        <w:br w:type="page"/>
      </w:r>
    </w:p>
    <w:p>
      <w:pPr>
        <w:pStyle w:val="Heading1"/>
      </w:pPr>
      <w:r>
        <w:t>APPENDIX: ENTERPRISE METHODOLOGY v3.0</w:t>
      </w:r>
    </w:p>
    <w:p>
      <w:pPr>
        <w:pStyle w:val="Heading2"/>
      </w:pPr>
      <w:r>
        <w:t>Multilingual Search (Implemented)</w:t>
      </w:r>
    </w:p>
    <w:p>
      <w:r>
        <w:t>PORTUGUESE: Statkraft + desmatamento + Caatinga + Umbu + Uibaí</w:t>
      </w:r>
    </w:p>
    <w:p>
      <w:r>
        <w:t>NORWEGIAN: Statkraft + vindkraft + miljøkonflikt + urfolk</w:t>
      </w:r>
    </w:p>
    <w:p>
      <w:r>
        <w:t>SPANISH: Statkraft + deforestación + energía renovable + indígena</w:t>
      </w:r>
    </w:p>
    <w:p>
      <w:pPr>
        <w:pStyle w:val="Heading2"/>
      </w:pPr>
      <w:r>
        <w:t>Stakeholder Monitoring</w:t>
      </w:r>
    </w:p>
    <w:p>
      <w:r>
        <w:t>NGOs/Activists: Greenpeace, WWF, Greta Thunberg network</w:t>
      </w:r>
    </w:p>
    <w:p>
      <w:r>
        <w:t>Local Communities: UMBU, CODETER, FETAG, quilombola associations</w:t>
      </w:r>
    </w:p>
    <w:p>
      <w:r>
        <w:t>Regulators: INEMA, MP-BA, MPF, IPHAN</w:t>
      </w:r>
    </w:p>
    <w:p>
      <w:r>
        <w:t>Investors: GPFG, ESG rating agencies, Norwegian SWF ethics</w:t>
      </w:r>
    </w:p>
    <w:p>
      <w:pPr>
        <w:pStyle w:val="Heading2"/>
      </w:pPr>
      <w:r>
        <w:t>Automated Red Flags (Monitoring)</w:t>
      </w:r>
    </w:p>
    <w:p>
      <w:r>
        <w:t>✓ Keywords: 'lawsuit', 'license suspended', 'indigenous rights violation'</w:t>
      </w:r>
    </w:p>
    <w:p>
      <w:r>
        <w:t>✓ ESG Paradox: 'green energy' + 'environmental destruction' + company name</w:t>
      </w:r>
    </w:p>
    <w:p>
      <w:r>
        <w:t>✓ Viral Indicators: &gt;10K engagement in &lt;24 hours</w:t>
      </w:r>
    </w:p>
    <w:p>
      <w:r>
        <w:t>✓ Influencer Alerts: &gt;50K followers + negative sentiment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